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rPr>
          <w:rFonts w:ascii="Calibri" w:hAnsi="Calibri" w:eastAsia="STHeiti" w:cs="Calibri"/>
        </w:rPr>
      </w:pPr>
      <w:r>
        <w:rPr>
          <w:rFonts w:ascii="Calibri" w:hAnsi="Calibri" w:eastAsia="STHeiti" w:cs="Calibri"/>
          <w:color w:val="6B6B6B"/>
          <w:sz w:val="24"/>
        </w:rPr>
        <w:t>COMM7660 / AIDM7920</w:t>
      </w:r>
    </w:p>
    <w:p>
      <w:pPr>
        <w:spacing w:after="40"/>
        <w:jc w:val="center"/>
        <w:rPr>
          <w:rFonts w:ascii="Calibri" w:hAnsi="Calibri" w:eastAsia="STHeiti" w:cs="Calibri"/>
        </w:rPr>
      </w:pPr>
      <w:r>
        <w:rPr>
          <w:rFonts w:ascii="Calibri" w:hAnsi="Calibri" w:eastAsia="STHeiti" w:cs="Calibri"/>
          <w:b/>
          <w:color w:val="1F3864"/>
          <w:sz w:val="44"/>
        </w:rPr>
        <w:t>Individual Project — Working Plan</w:t>
      </w:r>
    </w:p>
    <w:p>
      <w:pPr>
        <w:spacing w:after="560"/>
        <w:jc w:val="center"/>
        <w:rPr>
          <w:rFonts w:ascii="Calibri" w:hAnsi="Calibri" w:eastAsia="STHeiti" w:cs="Calibri"/>
        </w:rPr>
        <w:pBdr>
          <w:bottom w:val="single" w:sz="6" w:space="1" w:color="1F3864"/>
        </w:pBdr>
      </w:pPr>
      <w:r>
        <w:rPr>
          <w:rFonts w:ascii="Calibri" w:hAnsi="Calibri" w:eastAsia="STHeiti" w:cs="Calibri"/>
          <w:i/>
          <w:color w:val="595959"/>
          <w:sz w:val="26"/>
        </w:rPr>
        <w:t>From Media Evidence to a Working Media Product Prototype</w:t>
      </w:r>
    </w:p>
    <w:tbl>
      <w:tblPr>
        <w:tblW w:type="auto" w:w="0"/>
        <w:jc w:val="left"/>
        <w:tblLayout w:type="fixed"/>
        <w:tblLook w:firstColumn="1" w:firstRow="1" w:lastColumn="0" w:lastRow="0" w:noHBand="0" w:noVBand="1" w:val="04A0"/>
      </w:tblPr>
      <w:tblGrid>
        <w:gridCol w:w="2381"/>
        <w:gridCol w:w="6520"/>
      </w:tblGrid>
      <w:tr>
        <w:tc>
          <w:tcPr>
            <w:tcW w:type="dxa" w:w="2381"/>
            <w:vAlign w:val="top"/>
            <w:shd w:val="clear" w:color="auto" w:fill="F2F2F2"/>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b/>
                <w:color w:val="1F3864"/>
                <w:sz w:val="21"/>
              </w:rPr>
              <w:t>Student</w:t>
            </w:r>
          </w:p>
        </w:tc>
        <w:tc>
          <w:tcPr>
            <w:tcW w:type="dxa" w:w="6520"/>
            <w:vAlign w:val="top"/>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sz w:val="21"/>
              </w:rPr>
              <w:t xml:space="preserve">Han Yushan  ·  </w:t>
            </w:r>
            <w:r>
              <w:drawing>
                <wp:inline xmlns:a="http://schemas.openxmlformats.org/drawingml/2006/main" xmlns:pic="http://schemas.openxmlformats.org/drawingml/2006/picture">
                  <wp:extent cx="381000" cy="152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1000" cy="152400"/>
                          </a:xfrm>
                          <a:prstGeom prst="rect"/>
                        </pic:spPr>
                      </pic:pic>
                    </a:graphicData>
                  </a:graphic>
                </wp:inline>
              </w:drawing>
            </w:r>
            <w:r>
              <w:t xml:space="preserve">  ·  GitHub: JacksonHan33</w:t>
            </w:r>
          </w:p>
        </w:tc>
      </w:tr>
      <w:tr>
        <w:tc>
          <w:tcPr>
            <w:tcW w:type="dxa" w:w="2381"/>
            <w:vAlign w:val="top"/>
            <w:shd w:val="clear" w:color="auto" w:fill="F2F2F2"/>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b/>
                <w:color w:val="1F3864"/>
                <w:sz w:val="21"/>
              </w:rPr>
              <w:t>Repository</w:t>
            </w:r>
          </w:p>
        </w:tc>
        <w:tc>
          <w:tcPr>
            <w:tcW w:type="dxa" w:w="6520"/>
            <w:vAlign w:val="top"/>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sz w:val="21"/>
              </w:rPr>
              <w:t>github.com/JacksonHan33/AIDM7920-HanYushan-MediaDiscovery  (Private)</w:t>
            </w:r>
          </w:p>
        </w:tc>
      </w:tr>
      <w:tr>
        <w:tc>
          <w:tcPr>
            <w:tcW w:type="dxa" w:w="2381"/>
            <w:vAlign w:val="top"/>
            <w:shd w:val="clear" w:color="auto" w:fill="F2F2F2"/>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b/>
                <w:color w:val="1F3864"/>
                <w:sz w:val="21"/>
              </w:rPr>
              <w:t>Instructor</w:t>
            </w:r>
          </w:p>
        </w:tc>
        <w:tc>
          <w:tcPr>
            <w:tcW w:type="dxa" w:w="6520"/>
            <w:vAlign w:val="top"/>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sz w:val="21"/>
              </w:rPr>
              <w:t>Professor Charles Feng  ·  GitHub: fffchaobu  ·  Collaborator invite: sent (pending acceptance)</w:t>
            </w:r>
          </w:p>
        </w:tc>
      </w:tr>
      <w:tr>
        <w:tc>
          <w:tcPr>
            <w:tcW w:type="dxa" w:w="2381"/>
            <w:vAlign w:val="top"/>
            <w:shd w:val="clear" w:color="auto" w:fill="F2F2F2"/>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b/>
                <w:color w:val="1F3864"/>
                <w:sz w:val="21"/>
              </w:rPr>
              <w:t>Course codes</w:t>
            </w:r>
          </w:p>
        </w:tc>
        <w:tc>
          <w:tcPr>
            <w:tcW w:type="dxa" w:w="6520"/>
            <w:vAlign w:val="top"/>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sz w:val="21"/>
              </w:rPr>
              <w:t>COMM7660 and AIDM7920 (same course, dual coding)</w:t>
            </w:r>
          </w:p>
        </w:tc>
      </w:tr>
      <w:tr>
        <w:tc>
          <w:tcPr>
            <w:tcW w:type="dxa" w:w="2381"/>
            <w:vAlign w:val="top"/>
            <w:shd w:val="clear" w:color="auto" w:fill="F2F2F2"/>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b/>
                <w:color w:val="1F3864"/>
                <w:sz w:val="21"/>
              </w:rPr>
              <w:t>Format</w:t>
            </w:r>
          </w:p>
        </w:tc>
        <w:tc>
          <w:tcPr>
            <w:tcW w:type="dxa" w:w="6520"/>
            <w:vAlign w:val="top"/>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sz w:val="21"/>
              </w:rPr>
              <w:t>Individual project  ·  Total 100 points (Phase 1: 70, Phase 2: 30)</w:t>
            </w:r>
          </w:p>
        </w:tc>
      </w:tr>
      <w:tr>
        <w:tc>
          <w:tcPr>
            <w:tcW w:type="dxa" w:w="2381"/>
            <w:vAlign w:val="top"/>
            <w:shd w:val="clear" w:color="auto" w:fill="F2F2F2"/>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b/>
                <w:color w:val="1F3864"/>
                <w:sz w:val="21"/>
              </w:rPr>
              <w:t>Phase 1 period</w:t>
            </w:r>
          </w:p>
        </w:tc>
        <w:tc>
          <w:tcPr>
            <w:tcW w:type="dxa" w:w="6520"/>
            <w:vAlign w:val="top"/>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sz w:val="21"/>
              </w:rPr>
              <w:t>October 5 – October 19, 2026  ·  GitHub + Moodle deadlines: Oct 19, 2026</w:t>
            </w:r>
          </w:p>
        </w:tc>
      </w:tr>
      <w:tr>
        <w:tc>
          <w:tcPr>
            <w:tcW w:type="dxa" w:w="2381"/>
            <w:vAlign w:val="top"/>
            <w:shd w:val="clear" w:color="auto" w:fill="F2F2F2"/>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b/>
                <w:color w:val="1F3864"/>
                <w:sz w:val="21"/>
              </w:rPr>
              <w:t>Phase 2 period</w:t>
            </w:r>
          </w:p>
        </w:tc>
        <w:tc>
          <w:tcPr>
            <w:tcW w:type="dxa" w:w="6520"/>
            <w:vAlign w:val="top"/>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sz w:val="21"/>
              </w:rPr>
              <w:t>Phase 1 → November 19, 2026  ·  MVP + CI/CD + Moodle report</w:t>
            </w:r>
          </w:p>
        </w:tc>
      </w:tr>
      <w:tr>
        <w:tc>
          <w:tcPr>
            <w:tcW w:type="dxa" w:w="2381"/>
            <w:vAlign w:val="top"/>
            <w:shd w:val="clear" w:color="auto" w:fill="F2F2F2"/>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b/>
                <w:color w:val="1F3864"/>
                <w:sz w:val="21"/>
              </w:rPr>
              <w:t>Document role</w:t>
            </w:r>
          </w:p>
        </w:tc>
        <w:tc>
          <w:tcPr>
            <w:tcW w:type="dxa" w:w="6520"/>
            <w:vAlign w:val="top"/>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sz w:val="21"/>
              </w:rPr>
              <w:t>Working plan (Phase 1, 600–800 words) + Phase 2 overview.  This is a planning artifact, not the final Phase 1 analytical deliverable.</w:t>
            </w:r>
          </w:p>
        </w:tc>
      </w:tr>
      <w:tr>
        <w:tc>
          <w:tcPr>
            <w:tcW w:type="dxa" w:w="2381"/>
            <w:vAlign w:val="top"/>
            <w:shd w:val="clear" w:color="auto" w:fill="F2F2F2"/>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b/>
                <w:color w:val="1F3864"/>
                <w:sz w:val="21"/>
              </w:rPr>
              <w:t>Plan prepared</w:t>
            </w:r>
          </w:p>
        </w:tc>
        <w:tc>
          <w:tcPr>
            <w:tcW w:type="dxa" w:w="6520"/>
            <w:vAlign w:val="top"/>
            <w:tcBorders>
              <w:top w:val="single" w:sz="6" w:color="BFBFBF"/>
              <w:left w:val="single" w:sz="6" w:color="BFBFBF"/>
              <w:bottom w:val="single" w:sz="6" w:color="BFBFBF"/>
              <w:right w:val="single" w:sz="6" w:color="BFBFBF"/>
            </w:tcBorders>
          </w:tcPr>
          <w:p>
            <w:pPr>
              <w:spacing w:after="40"/>
              <w:rPr>
                <w:rFonts w:ascii="Calibri" w:hAnsi="Calibri" w:eastAsia="STHeiti" w:cs="Calibri"/>
              </w:rPr>
            </w:pPr>
            <w:r>
              <w:rPr>
                <w:rFonts w:ascii="Calibri" w:hAnsi="Calibri" w:eastAsia="STHeiti" w:cs="Calibri"/>
                <w:sz w:val="21"/>
              </w:rPr>
              <w:t>October 11, 2026</w:t>
            </w:r>
          </w:p>
        </w:tc>
      </w:tr>
    </w:tbl>
    <w:p/>
    <w:tbl>
      <w:tblPr>
        <w:tblW w:type="auto" w:w="0"/>
        <w:tblLook w:firstColumn="1" w:firstRow="1" w:lastColumn="0" w:lastRow="0" w:noHBand="0" w:noVBand="1" w:val="04A0"/>
      </w:tblPr>
      <w:tblGrid>
        <w:gridCol w:w="9746"/>
      </w:tblGrid>
      <w:tr>
        <w:tc>
          <w:tcPr>
            <w:tcW w:type="dxa" w:w="8901"/>
            <w:shd w:val="clear" w:color="auto" w:fill="EEF3FB"/>
            <w:tcBorders>
              <w:top w:val="single" w:sz="6" w:color="BFBFBF"/>
              <w:left w:val="single" w:sz="6" w:color="BFBFBF"/>
              <w:bottom w:val="single" w:sz="6" w:color="BFBFBF"/>
              <w:right w:val="single" w:sz="6" w:color="BFBFBF"/>
            </w:tcBorders>
          </w:tcPr>
          <w:p>
            <w:pPr>
              <w:spacing w:after="0"/>
              <w:rPr>
                <w:rFonts w:ascii="Calibri" w:hAnsi="Calibri" w:eastAsia="STHeiti" w:cs="Calibri"/>
              </w:rPr>
            </w:pPr>
            <w:r>
              <w:rPr>
                <w:rFonts w:ascii="Calibri" w:hAnsi="Calibri" w:eastAsia="STHeiti" w:cs="Calibri"/>
                <w:b/>
                <w:color w:val="1F3864"/>
                <w:sz w:val="21"/>
              </w:rPr>
              <w:t xml:space="preserve">Status. </w:t>
            </w:r>
            <w:r>
              <w:rPr>
                <w:rFonts w:ascii="Calibri" w:hAnsi="Calibri" w:eastAsia="STHeiti" w:cs="Calibri"/>
                <w:sz w:val="21"/>
              </w:rPr>
              <w:t>Phase 1 working plan submitted at the start of Phase 1, as required.  The final Phase 1 deliverable (executed analysis, statistical model, results, conclusions, evidence-based concept choice) will be committed to GitHub and a short report will be submitted via Moodle on or before October 19, 2026.  The Phase 2 plan below will be refined after Phase 1 concludes.</w:t>
            </w:r>
          </w:p>
        </w:tc>
      </w:tr>
    </w:tbl>
    <w:p>
      <w:pPr>
        <w:pStyle w:val="Heading1"/>
        <w:keepNext/>
        <w:spacing w:before="280" w:after="120"/>
        <w:rPr>
          <w:rFonts w:ascii="Calibri" w:hAnsi="Calibri" w:eastAsia="STHeiti" w:cs="Calibri"/>
        </w:rPr>
        <w:pageBreakBefore/>
        <w:pBdr>
          <w:bottom w:val="single" w:sz="6" w:space="1" w:color="1F3864"/>
        </w:pBdr>
      </w:pPr>
      <w:r>
        <w:rPr>
          <w:rFonts w:ascii="Calibri" w:hAnsi="Calibri" w:eastAsia="STHeiti" w:cs="Calibri"/>
          <w:b/>
          <w:color w:val="1F3864"/>
          <w:sz w:val="32"/>
        </w:rPr>
        <w:t>Contents</w:t>
      </w:r>
    </w:p>
    <w:tbl>
      <w:tblPr>
        <w:tblW w:type="auto" w:w="0"/>
        <w:jc w:val="left"/>
        <w:tblLayout w:type="fixed"/>
        <w:tblLook w:firstColumn="1" w:firstRow="1" w:lastColumn="0" w:lastRow="0" w:noHBand="0" w:noVBand="1" w:val="04A0"/>
      </w:tblPr>
      <w:tblGrid>
        <w:gridCol w:w="3118"/>
        <w:gridCol w:w="5783"/>
      </w:tblGrid>
      <w:tr>
        <w:tc>
          <w:tcPr>
            <w:tcW w:type="dxa" w:w="3118"/>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Section</w:t>
            </w:r>
          </w:p>
        </w:tc>
        <w:tc>
          <w:tcPr>
            <w:tcW w:type="dxa" w:w="5783"/>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Content / Scope</w:t>
            </w:r>
          </w:p>
        </w:tc>
      </w:tr>
      <w:tr>
        <w:tc>
          <w:tcPr>
            <w:tcW w:type="dxa" w:w="3118"/>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1.  Phase 1 Working Plan (600–800 words)</w:t>
            </w:r>
          </w:p>
        </w:tc>
        <w:tc>
          <w:tcPr>
            <w:tcW w:type="dxa" w:w="5783"/>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r>
          </w:p>
        </w:tc>
      </w:tr>
      <w:tr>
        <w:tc>
          <w:tcPr>
            <w:tcW w:type="dxa" w:w="3118"/>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2.  Phase 1 — Two Competing Concepts</w:t>
            </w:r>
          </w:p>
        </w:tc>
        <w:tc>
          <w:tcPr>
            <w:tcW w:type="dxa" w:w="5783"/>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VibePick (Conversational AI) · MoodFlix (Structured Filter)</w:t>
            </w:r>
          </w:p>
        </w:tc>
      </w:tr>
      <w:tr>
        <w:tc>
          <w:tcPr>
            <w:tcW w:type="dxa" w:w="3118"/>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3.  Phase 1 — Research Methodology</w:t>
            </w:r>
          </w:p>
        </w:tc>
        <w:tc>
          <w:tcPr>
            <w:tcW w:type="dxa" w:w="5783"/>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Within-subjects design, sampling, model, success criteria</w:t>
            </w:r>
          </w:p>
        </w:tc>
      </w:tr>
      <w:tr>
        <w:tc>
          <w:tcPr>
            <w:tcW w:type="dxa" w:w="3118"/>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4.  Phase 1 — Sources</w:t>
            </w:r>
          </w:p>
        </w:tc>
        <w:tc>
          <w:tcPr>
            <w:tcW w:type="dxa" w:w="5783"/>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Two academic + one or more credible industry sources</w:t>
            </w:r>
          </w:p>
        </w:tc>
      </w:tr>
      <w:tr>
        <w:tc>
          <w:tcPr>
            <w:tcW w:type="dxa" w:w="3118"/>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5.  Phase 2 Plan (Overview)</w:t>
            </w:r>
          </w:p>
        </w:tc>
        <w:tc>
          <w:tcPr>
            <w:tcW w:type="dxa" w:w="5783"/>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MVP selection criteria · Build, test, deploy · CI/CD</w:t>
            </w:r>
          </w:p>
        </w:tc>
      </w:tr>
      <w:tr>
        <w:tc>
          <w:tcPr>
            <w:tcW w:type="dxa" w:w="3118"/>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Appendix A.  Tools Stack</w:t>
            </w:r>
          </w:p>
        </w:tc>
        <w:tc>
          <w:tcPr>
            <w:tcW w:type="dxa" w:w="5783"/>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Recommended tools from Table 1 of the assignment</w:t>
            </w:r>
          </w:p>
        </w:tc>
      </w:tr>
      <w:tr>
        <w:tc>
          <w:tcPr>
            <w:tcW w:type="dxa" w:w="3118"/>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Appendix B.  Required GitHub Contents</w:t>
            </w:r>
          </w:p>
        </w:tc>
        <w:tc>
          <w:tcPr>
            <w:tcW w:type="dxa" w:w="5783"/>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Mapped to PDF Table 8</w:t>
            </w:r>
          </w:p>
        </w:tc>
      </w:tr>
      <w:tr>
        <w:tc>
          <w:tcPr>
            <w:tcW w:type="dxa" w:w="3118"/>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Appendix C.  Submission Checklist</w:t>
            </w:r>
          </w:p>
        </w:tc>
        <w:tc>
          <w:tcPr>
            <w:tcW w:type="dxa" w:w="5783"/>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and Phase 2 channels and deadlines</w:t>
            </w:r>
          </w:p>
        </w:tc>
      </w:tr>
    </w:tbl>
    <w:p>
      <w:pPr>
        <w:pStyle w:val="Heading1"/>
        <w:keepNext/>
        <w:spacing w:before="280" w:after="120"/>
        <w:rPr>
          <w:rFonts w:ascii="Calibri" w:hAnsi="Calibri" w:eastAsia="STHeiti" w:cs="Calibri"/>
        </w:rPr>
        <w:pageBreakBefore/>
        <w:pBdr>
          <w:bottom w:val="single" w:sz="6" w:space="1" w:color="1F3864"/>
        </w:pBdr>
      </w:pPr>
      <w:r>
        <w:rPr>
          <w:rFonts w:ascii="Calibri" w:hAnsi="Calibri" w:eastAsia="STHeiti" w:cs="Calibri"/>
          <w:b/>
          <w:color w:val="1F3864"/>
          <w:sz w:val="32"/>
        </w:rPr>
        <w:t>1.  Phase 1 Working Plan (600–800 words)</w:t>
      </w:r>
    </w:p>
    <w:p>
      <w:pPr>
        <w:spacing w:after="200" w:line="300" w:lineRule="auto"/>
        <w:rPr>
          <w:rFonts w:ascii="Calibri" w:hAnsi="Calibri" w:eastAsia="STHeiti" w:cs="Calibri"/>
        </w:rPr>
      </w:pPr>
      <w:r>
        <w:rPr>
          <w:rFonts w:ascii="Calibri" w:hAnsi="Calibri" w:eastAsia="STHeiti" w:cs="Calibri"/>
          <w:b w:val="0"/>
          <w:i/>
          <w:color w:val="595959"/>
          <w:sz w:val="21"/>
        </w:rPr>
        <w:t>The following nine items satisfy the Phase 1 working-plan requirements on intended users, two competing concepts, research question and rationale, sampling frame, source permissions, provisional model, prototype boundary, and practical success criteria.  This plan guides the completed analysis; it is not the Phase 1 deliverable on its own.</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A.  Intended users and decision-maker</w:t>
      </w:r>
    </w:p>
    <w:p>
      <w:pPr>
        <w:spacing w:after="120" w:line="300" w:lineRule="auto"/>
        <w:rPr>
          <w:rFonts w:ascii="Calibri" w:hAnsi="Calibri" w:eastAsia="STHeiti" w:cs="Calibri"/>
        </w:rPr>
      </w:pPr>
      <w:r>
        <w:rPr>
          <w:rFonts w:ascii="Calibri" w:hAnsi="Calibri" w:eastAsia="STHeiti" w:cs="Calibri"/>
          <w:b w:val="0"/>
          <w:i w:val="0"/>
          <w:sz w:val="22"/>
        </w:rPr>
        <w:t>The intended users are video-platform subscribers aged 15–55 globally who actively browse or stream on Netflix, Disney+, Prime Video, Apple TV+, HBO Max, Hulu, and YouTube.  The intended decision-maker is the student PM (Han Yushan); I will personally approve scope changes, the choice between competing concepts after Phase 1, and the final Phase 2 release.  Instructor feedback informs the work; it does not replace the PM's verification or release decision.</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B.  Two competing concepts</w:t>
      </w:r>
    </w:p>
    <w:p>
      <w:pPr>
        <w:spacing w:after="120" w:line="300" w:lineRule="auto"/>
        <w:rPr>
          <w:rFonts w:ascii="Calibri" w:hAnsi="Calibri" w:eastAsia="STHeiti" w:cs="Calibri"/>
        </w:rPr>
      </w:pPr>
      <w:r>
        <w:rPr>
          <w:rFonts w:ascii="Calibri" w:hAnsi="Calibri" w:eastAsia="STHeiti" w:cs="Calibri"/>
          <w:b w:val="0"/>
          <w:i w:val="0"/>
          <w:sz w:val="22"/>
        </w:rPr>
        <w:t>Both concepts address the same user problem — “I have a defined time window and a mood; find me something to watch across the platforms I already subscribe to.”  They differ in the interaction paradigm.</w:t>
      </w:r>
    </w:p>
    <w:p>
      <w:pPr>
        <w:pStyle w:val="ListBullet"/>
        <w:spacing w:after="60" w:line="288" w:lineRule="auto"/>
        <w:rPr>
          <w:rFonts w:ascii="Calibri" w:hAnsi="Calibri" w:eastAsia="STHeiti" w:cs="Calibri"/>
        </w:rPr>
      </w:pPr>
      <w:r>
        <w:rPr>
          <w:rFonts w:ascii="Calibri" w:hAnsi="Calibri" w:eastAsia="STHeiti" w:cs="Calibri"/>
          <w:sz w:val="22"/>
        </w:rPr>
        <w:t>VibePick (Concept 1, conversational AI).  The user types a free-form request such as “45 minutes, something light, not too sad.”  The system returns three cross-platform picks with a written rationale and a direct deep link via the JustWatch availability layer.</w:t>
      </w:r>
    </w:p>
    <w:p>
      <w:pPr>
        <w:pStyle w:val="ListBullet"/>
        <w:spacing w:after="60" w:line="288" w:lineRule="auto"/>
        <w:rPr>
          <w:rFonts w:ascii="Calibri" w:hAnsi="Calibri" w:eastAsia="STHeiti" w:cs="Calibri"/>
        </w:rPr>
      </w:pPr>
      <w:r>
        <w:rPr>
          <w:rFonts w:ascii="Calibri" w:hAnsi="Calibri" w:eastAsia="STHeiti" w:cs="Calibri"/>
          <w:sz w:val="22"/>
        </w:rPr>
        <w:t>MoodFlix (Concept 2, structured filter form).  The user selects time bucket (&lt;30, 30–90, &gt;90 min), mood tags, genre multi-select, and platform toggles.  The system returns a ranked cross-platform list with transparent match scores and deep links.</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C.  Research question and conceptual rationale</w:t>
      </w:r>
    </w:p>
    <w:p>
      <w:pPr>
        <w:spacing w:after="120" w:line="300" w:lineRule="auto"/>
        <w:rPr>
          <w:rFonts w:ascii="Calibri" w:hAnsi="Calibri" w:eastAsia="STHeiti" w:cs="Calibri"/>
        </w:rPr>
      </w:pPr>
      <w:r>
        <w:rPr>
          <w:rFonts w:ascii="Calibri" w:hAnsi="Calibri" w:eastAsia="STHeiti" w:cs="Calibri"/>
          <w:b w:val="0"/>
          <w:i w:val="0"/>
          <w:sz w:val="22"/>
        </w:rPr>
        <w:t>Central question:  for the “find me something to watch in my situation” task, do users prefer a conversational AI interface (VibePick) or a structured filter interface (MoodFlix), and what predicts the preference?  The conceptual rationale is that conversational systems are widely believed to feel more natural and to handle ambiguous intent, while structured filters offer transparency, faster scanning, lower cognitive switching cost, and zero LLM cost.  Whether the conversational advantage or the structured advantage dominates for this specific task and audience is the empirical question Phase 1 must answer.</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D.  Population, sampling frame, period, unit of analysis, outcome, and predictors</w:t>
      </w:r>
    </w:p>
    <w:p>
      <w:pPr>
        <w:pStyle w:val="ListBullet"/>
        <w:spacing w:after="60" w:line="288" w:lineRule="auto"/>
        <w:rPr>
          <w:rFonts w:ascii="Calibri" w:hAnsi="Calibri" w:eastAsia="STHeiti" w:cs="Calibri"/>
        </w:rPr>
      </w:pPr>
      <w:r>
        <w:rPr>
          <w:rFonts w:ascii="Calibri" w:hAnsi="Calibri" w:eastAsia="STHeiti" w:cs="Calibri"/>
          <w:sz w:val="22"/>
        </w:rPr>
        <w:t>Population.  Video-platform users aged 15–55 worldwide.</w:t>
      </w:r>
    </w:p>
    <w:p>
      <w:pPr>
        <w:pStyle w:val="ListBullet"/>
        <w:spacing w:after="60" w:line="288" w:lineRule="auto"/>
        <w:rPr>
          <w:rFonts w:ascii="Calibri" w:hAnsi="Calibri" w:eastAsia="STHeiti" w:cs="Calibri"/>
        </w:rPr>
      </w:pPr>
      <w:r>
        <w:rPr>
          <w:rFonts w:ascii="Calibri" w:hAnsi="Calibri" w:eastAsia="STHeiti" w:cs="Calibri"/>
          <w:sz w:val="22"/>
        </w:rPr>
        <w:t>Sampling frame.  Recruited online via university mailing lists, social-media posts, and a panel provider (Prolific acceptable), with a screening question that confirms current use of at least one major video platform.</w:t>
      </w:r>
    </w:p>
    <w:p>
      <w:pPr>
        <w:pStyle w:val="ListBullet"/>
        <w:spacing w:after="60" w:line="288" w:lineRule="auto"/>
        <w:rPr>
          <w:rFonts w:ascii="Calibri" w:hAnsi="Calibri" w:eastAsia="STHeiti" w:cs="Calibri"/>
        </w:rPr>
      </w:pPr>
      <w:r>
        <w:rPr>
          <w:rFonts w:ascii="Calibri" w:hAnsi="Calibri" w:eastAsia="STHeiti" w:cs="Calibri"/>
          <w:sz w:val="22"/>
        </w:rPr>
        <w:t>Period.  Field work in October 2026; declared data cutoff October 19, 2026 (Phase 1 deadline).</w:t>
      </w:r>
    </w:p>
    <w:p>
      <w:pPr>
        <w:pStyle w:val="ListBullet"/>
        <w:spacing w:after="60" w:line="288" w:lineRule="auto"/>
        <w:rPr>
          <w:rFonts w:ascii="Calibri" w:hAnsi="Calibri" w:eastAsia="STHeiti" w:cs="Calibri"/>
        </w:rPr>
      </w:pPr>
      <w:r>
        <w:rPr>
          <w:rFonts w:ascii="Calibri" w:hAnsi="Calibri" w:eastAsia="STHeiti" w:cs="Calibri"/>
          <w:sz w:val="22"/>
        </w:rPr>
        <w:t>Unit of analysis.  Each participant completes BOTH prototypes in counterbalanced order (within-subjects design).  Half of participants see VibePick first then MoodFlix; the other half see MoodFlix first then VibePick.  A short unrelated filler task separates the two sessions to reduce carryover.</w:t>
      </w:r>
    </w:p>
    <w:p>
      <w:pPr>
        <w:pStyle w:val="ListBullet"/>
        <w:spacing w:after="60" w:line="288" w:lineRule="auto"/>
        <w:rPr>
          <w:rFonts w:ascii="Calibri" w:hAnsi="Calibri" w:eastAsia="STHeiti" w:cs="Calibri"/>
        </w:rPr>
      </w:pPr>
      <w:r>
        <w:rPr>
          <w:rFonts w:ascii="Calibri" w:hAnsi="Calibri" w:eastAsia="STHeiti" w:cs="Calibri"/>
          <w:sz w:val="22"/>
        </w:rPr>
        <w:t>Outcomes.  Primary: completion rate of the find-something-to-watch task; time to first pick (seconds); self-reported satisfaction (7-point Likert).  Secondary: choice of recommended item, perceived transparency, perceived trust.</w:t>
      </w:r>
    </w:p>
    <w:p>
      <w:pPr>
        <w:pStyle w:val="ListBullet"/>
        <w:spacing w:after="60" w:line="288" w:lineRule="auto"/>
        <w:rPr>
          <w:rFonts w:ascii="Calibri" w:hAnsi="Calibri" w:eastAsia="STHeiti" w:cs="Calibri"/>
        </w:rPr>
      </w:pPr>
      <w:r>
        <w:rPr>
          <w:rFonts w:ascii="Calibri" w:hAnsi="Calibri" w:eastAsia="STHeiti" w:cs="Calibri"/>
          <w:sz w:val="22"/>
        </w:rPr>
        <w:t>Predictors.  Assigned variant (VibePick vs MoodFlix), age band, region, weekly video-platform hours, prior use of recommendation tools.</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E.  Source permissions</w:t>
      </w:r>
    </w:p>
    <w:p>
      <w:pPr>
        <w:spacing w:after="120" w:line="300" w:lineRule="auto"/>
        <w:rPr>
          <w:rFonts w:ascii="Calibri" w:hAnsi="Calibri" w:eastAsia="STHeiti" w:cs="Calibri"/>
        </w:rPr>
      </w:pPr>
      <w:r>
        <w:rPr>
          <w:rFonts w:ascii="Calibri" w:hAnsi="Calibri" w:eastAsia="STHeiti" w:cs="Calibri"/>
          <w:b w:val="0"/>
          <w:i w:val="0"/>
          <w:sz w:val="22"/>
        </w:rPr>
        <w:t>Only public or permission-respecting data will be used.  Cross-platform availability metadata will come from the JustWatch API (subject to JustWatch's terms).  Survey responses will be collected with informed consent and stored with hashed identifiers; no participant-identifiable data will be stored in the repository.  Behavioral logs from the test prototypes will be exported in aggregate form.  Restricted datasets, login-protected content, and identifiable participant records will not be stored in GitHub; any exception will be requested from the instructor in advance and recorded in a manifest.</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F.  Provisional model</w:t>
      </w:r>
    </w:p>
    <w:p>
      <w:pPr>
        <w:spacing w:after="120" w:line="300" w:lineRule="auto"/>
        <w:rPr>
          <w:rFonts w:ascii="Calibri" w:hAnsi="Calibri" w:eastAsia="STHeiti" w:cs="Calibri"/>
        </w:rPr>
      </w:pPr>
      <w:r>
        <w:rPr>
          <w:rFonts w:ascii="Calibri" w:hAnsi="Calibri" w:eastAsia="STHeiti" w:cs="Calibri"/>
          <w:b w:val="0"/>
          <w:i w:val="0"/>
          <w:sz w:val="22"/>
        </w:rPr>
        <w:t>Within-subjects paired comparison: VibePick vs MoodFlix.  Continuous outcomes (time to first pick) modeled with a paired t-test on log-transformed time, and confirmed with a linear mixed-effects model with participant as a random effect and version, order, and version×order as fixed effects.  Ordinal outcomes (7-point satisfaction, perceived trust, perceived transparency) modeled with a Wilcoxon signed-rank test and a paired proportional-odds model as a confirmatory analysis.  Covariates: age band, region, weekly platform hours, prior recommendation-tool use.  I will report effect sizes with confidence intervals, not p-values alone.  Robustness checks: signed-rank alternative, sensitivity to outliers (top/bottom 1% time), per-region subgroup checks, and an order-effect check (does the version seen first score higher regardless of identity?).</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G.  Possible prototype boundary</w:t>
      </w:r>
    </w:p>
    <w:p>
      <w:pPr>
        <w:spacing w:after="120" w:line="300" w:lineRule="auto"/>
        <w:rPr>
          <w:rFonts w:ascii="Calibri" w:hAnsi="Calibri" w:eastAsia="STHeiti" w:cs="Calibri"/>
        </w:rPr>
      </w:pPr>
      <w:r>
        <w:rPr>
          <w:rFonts w:ascii="Calibri" w:hAnsi="Calibri" w:eastAsia="STHeiti" w:cs="Calibri"/>
          <w:b w:val="0"/>
          <w:i w:val="0"/>
          <w:sz w:val="22"/>
        </w:rPr>
        <w:t>Each prototype covers exactly one task — find something to watch given the user's situation.  Out of scope: persistent accounts, watchlist, social features, in-app playback.  Cross-platform availability via JustWatch API only; no direct streaming integration, no scraping of paywalled catalogs, no DRM-protected media in the repository.  The Phase 1 prototypes are research instruments, not the final MVP.</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H.  Practical success criteria</w:t>
      </w:r>
    </w:p>
    <w:p>
      <w:pPr>
        <w:pStyle w:val="ListBullet"/>
        <w:spacing w:after="60" w:line="288" w:lineRule="auto"/>
        <w:rPr>
          <w:rFonts w:ascii="Calibri" w:hAnsi="Calibri" w:eastAsia="STHeiti" w:cs="Calibri"/>
        </w:rPr>
      </w:pPr>
      <w:r>
        <w:rPr>
          <w:rFonts w:ascii="Calibri" w:hAnsi="Calibri" w:eastAsia="STHeiti" w:cs="Calibri"/>
          <w:sz w:val="22"/>
        </w:rPr>
        <w:t>At least 30 valid paired participants (≈60 paired observations) before the data cutoff.  Every participant must complete BOTH prototypes; partial responses are excluded.</w:t>
      </w:r>
    </w:p>
    <w:p>
      <w:pPr>
        <w:pStyle w:val="ListBullet"/>
        <w:spacing w:after="60" w:line="288" w:lineRule="auto"/>
        <w:rPr>
          <w:rFonts w:ascii="Calibri" w:hAnsi="Calibri" w:eastAsia="STHeiti" w:cs="Calibri"/>
        </w:rPr>
      </w:pPr>
      <w:r>
        <w:rPr>
          <w:rFonts w:ascii="Calibri" w:hAnsi="Calibri" w:eastAsia="STHeiti" w:cs="Calibri"/>
          <w:sz w:val="22"/>
        </w:rPr>
        <w:t>The variant comparison yields a clear winner — effect size in the expected direction and a confidence interval that excludes zero on the primary outcome.</w:t>
      </w:r>
    </w:p>
    <w:p>
      <w:pPr>
        <w:pStyle w:val="ListBullet"/>
        <w:spacing w:after="60" w:line="288" w:lineRule="auto"/>
        <w:rPr>
          <w:rFonts w:ascii="Calibri" w:hAnsi="Calibri" w:eastAsia="STHeiti" w:cs="Calibri"/>
        </w:rPr>
      </w:pPr>
      <w:r>
        <w:rPr>
          <w:rFonts w:ascii="Calibri" w:hAnsi="Calibri" w:eastAsia="STHeiti" w:cs="Calibri"/>
          <w:sz w:val="22"/>
        </w:rPr>
        <w:t>The chosen variant has a documented MVP scope that can be delivered in Phase 2 within the remaining time and within the GitHub Pages + JustWatch API + Playwright + Actions envelope.</w:t>
      </w:r>
    </w:p>
    <w:p>
      <w:pPr>
        <w:pStyle w:val="ListBullet"/>
        <w:spacing w:after="60" w:line="288" w:lineRule="auto"/>
        <w:rPr>
          <w:rFonts w:ascii="Calibri" w:hAnsi="Calibri" w:eastAsia="STHeiti" w:cs="Calibri"/>
        </w:rPr>
      </w:pPr>
      <w:r>
        <w:rPr>
          <w:rFonts w:ascii="Calibri" w:hAnsi="Calibri" w:eastAsia="STHeiti" w:cs="Calibri"/>
          <w:sz w:val="22"/>
        </w:rPr>
        <w:t>Three or more credible sources support the rationale, of which at least two are relevant academic publications (see Section 4).</w:t>
      </w:r>
    </w:p>
    <w:p>
      <w:pPr>
        <w:pStyle w:val="ListBullet"/>
        <w:spacing w:after="60" w:line="288" w:lineRule="auto"/>
        <w:rPr>
          <w:rFonts w:ascii="Calibri" w:hAnsi="Calibri" w:eastAsia="STHeiti" w:cs="Calibri"/>
        </w:rPr>
      </w:pPr>
      <w:r>
        <w:rPr>
          <w:rFonts w:ascii="Calibri" w:hAnsi="Calibri" w:eastAsia="STHeiti" w:cs="Calibri"/>
          <w:sz w:val="22"/>
        </w:rPr>
        <w:t>All required GitHub contents for Phase 1 are committed before tagging the phase1-analytics release on October 19, 2026 (see Appendix B).</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I.  Sources supporting this plan</w:t>
      </w:r>
    </w:p>
    <w:p>
      <w:pPr>
        <w:spacing w:after="120" w:line="300" w:lineRule="auto"/>
        <w:rPr>
          <w:rFonts w:ascii="Calibri" w:hAnsi="Calibri" w:eastAsia="STHeiti" w:cs="Calibri"/>
        </w:rPr>
      </w:pPr>
      <w:r>
        <w:rPr>
          <w:rFonts w:ascii="Calibri" w:hAnsi="Calibri" w:eastAsia="STHeiti" w:cs="Calibri"/>
          <w:b w:val="0"/>
          <w:i w:val="0"/>
          <w:sz w:val="22"/>
        </w:rPr>
        <w:t>Three credible sources underpin the rationale: Adomavicius and Tuzhilin (2005) on the next generation of recommender systems; Hennig-Thurau, Houston, and Walsh (2006) on motion-picture success drivers across release phases; and the JustWatch (n.d.) platform documentation for cross-platform availability metadata.  Full bibliographic details appear in Section 4.</w:t>
      </w:r>
    </w:p>
    <w:p>
      <w:pPr>
        <w:pStyle w:val="Heading1"/>
        <w:keepNext/>
        <w:spacing w:before="280" w:after="120"/>
        <w:rPr>
          <w:rFonts w:ascii="Calibri" w:hAnsi="Calibri" w:eastAsia="STHeiti" w:cs="Calibri"/>
        </w:rPr>
        <w:pageBreakBefore/>
        <w:pBdr>
          <w:bottom w:val="single" w:sz="6" w:space="1" w:color="1F3864"/>
        </w:pBdr>
      </w:pPr>
      <w:r>
        <w:rPr>
          <w:rFonts w:ascii="Calibri" w:hAnsi="Calibri" w:eastAsia="STHeiti" w:cs="Calibri"/>
          <w:b/>
          <w:color w:val="1F3864"/>
          <w:sz w:val="32"/>
        </w:rPr>
        <w:t>2.  Phase 1 — Two Competing Concepts</w:t>
      </w:r>
    </w:p>
    <w:p>
      <w:pPr>
        <w:spacing w:after="200" w:line="300" w:lineRule="auto"/>
        <w:rPr>
          <w:rFonts w:ascii="Calibri" w:hAnsi="Calibri" w:eastAsia="STHeiti" w:cs="Calibri"/>
        </w:rPr>
      </w:pPr>
      <w:r>
        <w:rPr>
          <w:rFonts w:ascii="Calibri" w:hAnsi="Calibri" w:eastAsia="STHeiti" w:cs="Calibri"/>
          <w:b w:val="0"/>
          <w:i/>
          <w:color w:val="595959"/>
          <w:sz w:val="21"/>
        </w:rPr>
        <w:t>The two competing concepts target the same user need but use different interaction paradigms.  Phase 1 analysis will produce the evidence base for selecting one for the Phase 2 MVP.</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2.1  VibePick — Conversational AI Recommendation</w:t>
      </w:r>
    </w:p>
    <w:p>
      <w:pPr>
        <w:pStyle w:val="ListBullet"/>
        <w:spacing w:after="60" w:line="288" w:lineRule="auto"/>
        <w:rPr>
          <w:rFonts w:ascii="Calibri" w:hAnsi="Calibri" w:eastAsia="STHeiti" w:cs="Calibri"/>
        </w:rPr>
      </w:pPr>
      <w:r>
        <w:rPr>
          <w:rFonts w:ascii="Calibri" w:hAnsi="Calibri" w:eastAsia="STHeiti" w:cs="Calibri"/>
          <w:sz w:val="22"/>
        </w:rPr>
        <w:t>Core promise.  “Tell me what you have time for and how you feel; I will pick for you and explain why.”</w:t>
      </w:r>
    </w:p>
    <w:p>
      <w:pPr>
        <w:pStyle w:val="ListBullet"/>
        <w:spacing w:after="60" w:line="288" w:lineRule="auto"/>
        <w:rPr>
          <w:rFonts w:ascii="Calibri" w:hAnsi="Calibri" w:eastAsia="STHeiti" w:cs="Calibri"/>
        </w:rPr>
      </w:pPr>
      <w:r>
        <w:rPr>
          <w:rFonts w:ascii="Calibri" w:hAnsi="Calibri" w:eastAsia="STHeiti" w:cs="Calibri"/>
          <w:sz w:val="22"/>
        </w:rPr>
        <w:t>Interaction.  A single chat-style input box accepting natural-language requests; follow-up turns for narrowing (“lighter, please”, “not horror”).</w:t>
      </w:r>
    </w:p>
    <w:p>
      <w:pPr>
        <w:pStyle w:val="ListBullet"/>
        <w:spacing w:after="60" w:line="288" w:lineRule="auto"/>
        <w:rPr>
          <w:rFonts w:ascii="Calibri" w:hAnsi="Calibri" w:eastAsia="STHeiti" w:cs="Calibri"/>
        </w:rPr>
      </w:pPr>
      <w:r>
        <w:rPr>
          <w:rFonts w:ascii="Calibri" w:hAnsi="Calibri" w:eastAsia="STHeiti" w:cs="Calibri"/>
          <w:sz w:val="22"/>
        </w:rPr>
        <w:t>Output.  Three picks in priority order, each with: title, poster, runtime, age rating, platforms available in the user's region (via JustWatch), and a one-sentence AI rationale.</w:t>
      </w:r>
    </w:p>
    <w:p>
      <w:pPr>
        <w:pStyle w:val="ListBullet"/>
        <w:spacing w:after="60" w:line="288" w:lineRule="auto"/>
        <w:rPr>
          <w:rFonts w:ascii="Calibri" w:hAnsi="Calibri" w:eastAsia="STHeiti" w:cs="Calibri"/>
        </w:rPr>
      </w:pPr>
      <w:r>
        <w:rPr>
          <w:rFonts w:ascii="Calibri" w:hAnsi="Calibri" w:eastAsia="STHeiti" w:cs="Calibri"/>
          <w:sz w:val="22"/>
        </w:rPr>
        <w:t>Technology.  Frontend: chat UI (React or Next.js).  Backend: LLM API call (model chosen for cost and latency), constrained to call JustWatch availability and a curated catalog.  CI/CD: GitHub Actions + Pages deployment + Playwright end-to-end tests.</w:t>
      </w:r>
    </w:p>
    <w:p>
      <w:pPr>
        <w:pStyle w:val="ListBullet"/>
        <w:spacing w:after="60" w:line="288" w:lineRule="auto"/>
        <w:rPr>
          <w:rFonts w:ascii="Calibri" w:hAnsi="Calibri" w:eastAsia="STHeiti" w:cs="Calibri"/>
        </w:rPr>
      </w:pPr>
      <w:r>
        <w:rPr>
          <w:rFonts w:ascii="Calibri" w:hAnsi="Calibri" w:eastAsia="STHeiti" w:cs="Calibri"/>
          <w:sz w:val="22"/>
        </w:rPr>
        <w:t>Strengths.  Natural for ambiguous intent; explanations build trust; feels personal.</w:t>
      </w:r>
    </w:p>
    <w:p>
      <w:pPr>
        <w:pStyle w:val="ListBullet"/>
        <w:spacing w:after="60" w:line="288" w:lineRule="auto"/>
        <w:rPr>
          <w:rFonts w:ascii="Calibri" w:hAnsi="Calibri" w:eastAsia="STHeiti" w:cs="Calibri"/>
        </w:rPr>
      </w:pPr>
      <w:r>
        <w:rPr>
          <w:rFonts w:ascii="Calibri" w:hAnsi="Calibri" w:eastAsia="STHeiti" w:cs="Calibri"/>
          <w:sz w:val="22"/>
        </w:rPr>
        <w:t>Risks.  Higher LLM cost and latency; explanation quality is model-dependent; risk of fabricated titles — mitigation: tool-use constraint to JustWatch-catalog-only picks.</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2.2  MoodFlix — Structured Filter Recommendation</w:t>
      </w:r>
    </w:p>
    <w:p>
      <w:pPr>
        <w:pStyle w:val="ListBullet"/>
        <w:spacing w:after="60" w:line="288" w:lineRule="auto"/>
        <w:rPr>
          <w:rFonts w:ascii="Calibri" w:hAnsi="Calibri" w:eastAsia="STHeiti" w:cs="Calibri"/>
        </w:rPr>
      </w:pPr>
      <w:r>
        <w:rPr>
          <w:rFonts w:ascii="Calibri" w:hAnsi="Calibri" w:eastAsia="STHeiti" w:cs="Calibri"/>
          <w:sz w:val="22"/>
        </w:rPr>
        <w:t>Core promise.  “Tap a few chips and get a ranked list of what to watch, with the reasons shown.”</w:t>
      </w:r>
    </w:p>
    <w:p>
      <w:pPr>
        <w:pStyle w:val="ListBullet"/>
        <w:spacing w:after="60" w:line="288" w:lineRule="auto"/>
        <w:rPr>
          <w:rFonts w:ascii="Calibri" w:hAnsi="Calibri" w:eastAsia="STHeiti" w:cs="Calibri"/>
        </w:rPr>
      </w:pPr>
      <w:r>
        <w:rPr>
          <w:rFonts w:ascii="Calibri" w:hAnsi="Calibri" w:eastAsia="STHeiti" w:cs="Calibri"/>
          <w:sz w:val="22"/>
        </w:rPr>
        <w:t>Interaction.  Multi-step form: time bucket (3 chips), mood (5 tags), genre (multi-select), platform (multi-select).  Optional explicit filters for language and year.</w:t>
      </w:r>
    </w:p>
    <w:p>
      <w:pPr>
        <w:pStyle w:val="ListBullet"/>
        <w:spacing w:after="60" w:line="288" w:lineRule="auto"/>
        <w:rPr>
          <w:rFonts w:ascii="Calibri" w:hAnsi="Calibri" w:eastAsia="STHeiti" w:cs="Calibri"/>
        </w:rPr>
      </w:pPr>
      <w:r>
        <w:rPr>
          <w:rFonts w:ascii="Calibri" w:hAnsi="Calibri" w:eastAsia="STHeiti" w:cs="Calibri"/>
          <w:sz w:val="22"/>
        </w:rPr>
        <w:t>Output.  Ranked list of up to 20 titles with: poster, runtime, age rating, available platforms, match score, and a transparent breakdown of why each title matched.</w:t>
      </w:r>
    </w:p>
    <w:p>
      <w:pPr>
        <w:pStyle w:val="ListBullet"/>
        <w:spacing w:after="60" w:line="288" w:lineRule="auto"/>
        <w:rPr>
          <w:rFonts w:ascii="Calibri" w:hAnsi="Calibri" w:eastAsia="STHeiti" w:cs="Calibri"/>
        </w:rPr>
      </w:pPr>
      <w:r>
        <w:rPr>
          <w:rFonts w:ascii="Calibri" w:hAnsi="Calibri" w:eastAsia="STHeiti" w:cs="Calibri"/>
          <w:sz w:val="22"/>
        </w:rPr>
        <w:t>Technology.  Frontend: form UI (Next.js or similar).  Backend: deterministic ranking over JustWatch availability plus a curated catalog — match score = weighted sum of attribute overlap, calibrated by recent popularity.  CI/CD: same envelope as VibePick.</w:t>
      </w:r>
    </w:p>
    <w:p>
      <w:pPr>
        <w:pStyle w:val="ListBullet"/>
        <w:spacing w:after="60" w:line="288" w:lineRule="auto"/>
        <w:rPr>
          <w:rFonts w:ascii="Calibri" w:hAnsi="Calibri" w:eastAsia="STHeiti" w:cs="Calibri"/>
        </w:rPr>
      </w:pPr>
      <w:r>
        <w:rPr>
          <w:rFonts w:ascii="Calibri" w:hAnsi="Calibri" w:eastAsia="STHeiti" w:cs="Calibri"/>
          <w:sz w:val="22"/>
        </w:rPr>
        <w:t>Strengths.  Transparent criteria; fast to scan; zero LLM cost; reproducible.</w:t>
      </w:r>
    </w:p>
    <w:p>
      <w:pPr>
        <w:pStyle w:val="ListBullet"/>
        <w:spacing w:after="60" w:line="288" w:lineRule="auto"/>
        <w:rPr>
          <w:rFonts w:ascii="Calibri" w:hAnsi="Calibri" w:eastAsia="STHeiti" w:cs="Calibri"/>
        </w:rPr>
      </w:pPr>
      <w:r>
        <w:rPr>
          <w:rFonts w:ascii="Calibri" w:hAnsi="Calibri" w:eastAsia="STHeiti" w:cs="Calibri"/>
          <w:sz w:val="22"/>
        </w:rPr>
        <w:t>Risks.  Less natural for very ambiguous requests; cold-start for niche moods; match-score calibration may need tuning.</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2.3  Side-by-side comparison</w:t>
      </w:r>
    </w:p>
    <w:tbl>
      <w:tblPr>
        <w:tblW w:type="auto" w:w="0"/>
        <w:jc w:val="left"/>
        <w:tblLayout w:type="fixed"/>
        <w:tblLook w:firstColumn="1" w:firstRow="1" w:lastColumn="0" w:lastRow="0" w:noHBand="0" w:noVBand="1" w:val="04A0"/>
      </w:tblPr>
      <w:tblGrid>
        <w:gridCol w:w="2551"/>
        <w:gridCol w:w="3175"/>
        <w:gridCol w:w="3175"/>
      </w:tblGrid>
      <w:tr>
        <w:tc>
          <w:tcPr>
            <w:tcW w:type="dxa" w:w="2551"/>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Dimension</w:t>
            </w:r>
          </w:p>
        </w:tc>
        <w:tc>
          <w:tcPr>
            <w:tcW w:type="dxa" w:w="3175"/>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VibePick (Concept 1)</w:t>
            </w:r>
          </w:p>
        </w:tc>
        <w:tc>
          <w:tcPr>
            <w:tcW w:type="dxa" w:w="3175"/>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MoodFlix (Concept 2)</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Interaction paradigm</w:t>
            </w:r>
          </w:p>
        </w:tc>
        <w:tc>
          <w:tcPr>
            <w:tcW w:type="dxa" w:w="317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Free-form natural-language chat</w:t>
            </w:r>
          </w:p>
        </w:tc>
        <w:tc>
          <w:tcPr>
            <w:tcW w:type="dxa" w:w="317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Multi-step structured form</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Ambiguity handling</w:t>
            </w:r>
          </w:p>
        </w:tc>
        <w:tc>
          <w:tcPr>
            <w:tcW w:type="dxa" w:w="317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Strong — model can ask follow-ups</w:t>
            </w:r>
          </w:p>
        </w:tc>
        <w:tc>
          <w:tcPr>
            <w:tcW w:type="dxa" w:w="317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Weak — user must map to chips</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Explanation transparency</w:t>
            </w:r>
          </w:p>
        </w:tc>
        <w:tc>
          <w:tcPr>
            <w:tcW w:type="dxa" w:w="317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AI-written, may feel opaque</w:t>
            </w:r>
          </w:p>
        </w:tc>
        <w:tc>
          <w:tcPr>
            <w:tcW w:type="dxa" w:w="317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Explicit attribute breakdown</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Cognitive switching cost</w:t>
            </w:r>
          </w:p>
        </w:tc>
        <w:tc>
          <w:tcPr>
            <w:tcW w:type="dxa" w:w="317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Lower for casual users</w:t>
            </w:r>
          </w:p>
        </w:tc>
        <w:tc>
          <w:tcPr>
            <w:tcW w:type="dxa" w:w="317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Lower for power users</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Per-request cost</w:t>
            </w:r>
          </w:p>
        </w:tc>
        <w:tc>
          <w:tcPr>
            <w:tcW w:type="dxa" w:w="317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LLM call — non-trivial at scale</w:t>
            </w:r>
          </w:p>
        </w:tc>
        <w:tc>
          <w:tcPr>
            <w:tcW w:type="dxa" w:w="317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Pure ranking — near-zero</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Latency</w:t>
            </w:r>
          </w:p>
        </w:tc>
        <w:tc>
          <w:tcPr>
            <w:tcW w:type="dxa" w:w="317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Model-dependent, multi-second typical</w:t>
            </w:r>
          </w:p>
        </w:tc>
        <w:tc>
          <w:tcPr>
            <w:tcW w:type="dxa" w:w="317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Sub-second typical</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Failure modes</w:t>
            </w:r>
          </w:p>
        </w:tc>
        <w:tc>
          <w:tcPr>
            <w:tcW w:type="dxa" w:w="317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Hallucinated titles if unconstrained</w:t>
            </w:r>
          </w:p>
        </w:tc>
        <w:tc>
          <w:tcPr>
            <w:tcW w:type="dxa" w:w="317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Empty results for rare combos</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Pilot feasibility (Phase 1)</w:t>
            </w:r>
          </w:p>
        </w:tc>
        <w:tc>
          <w:tcPr>
            <w:tcW w:type="dxa" w:w="317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High</w:t>
            </w:r>
          </w:p>
        </w:tc>
        <w:tc>
          <w:tcPr>
            <w:tcW w:type="dxa" w:w="317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High</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MVP feasibility (Phase 2)</w:t>
            </w:r>
          </w:p>
        </w:tc>
        <w:tc>
          <w:tcPr>
            <w:tcW w:type="dxa" w:w="317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High</w:t>
            </w:r>
          </w:p>
        </w:tc>
        <w:tc>
          <w:tcPr>
            <w:tcW w:type="dxa" w:w="317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High</w:t>
            </w:r>
          </w:p>
        </w:tc>
      </w:tr>
    </w:tbl>
    <w:p>
      <w:pPr>
        <w:pStyle w:val="Heading1"/>
        <w:keepNext/>
        <w:spacing w:before="280" w:after="120"/>
        <w:rPr>
          <w:rFonts w:ascii="Calibri" w:hAnsi="Calibri" w:eastAsia="STHeiti" w:cs="Calibri"/>
        </w:rPr>
        <w:pageBreakBefore/>
        <w:pBdr>
          <w:bottom w:val="single" w:sz="6" w:space="1" w:color="1F3864"/>
        </w:pBdr>
      </w:pPr>
      <w:r>
        <w:rPr>
          <w:rFonts w:ascii="Calibri" w:hAnsi="Calibri" w:eastAsia="STHeiti" w:cs="Calibri"/>
          <w:b/>
          <w:color w:val="1F3864"/>
          <w:sz w:val="32"/>
        </w:rPr>
        <w:t>3.  Phase 1 — Research Methodology</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3.1  Recent definition and data cutoff</w:t>
      </w:r>
    </w:p>
    <w:p>
      <w:pPr>
        <w:spacing w:after="120" w:line="300" w:lineRule="auto"/>
        <w:rPr>
          <w:rFonts w:ascii="Calibri" w:hAnsi="Calibri" w:eastAsia="STHeiti" w:cs="Calibri"/>
        </w:rPr>
      </w:pPr>
      <w:r>
        <w:rPr>
          <w:rFonts w:ascii="Calibri" w:hAnsi="Calibri" w:eastAsia="STHeiti" w:cs="Calibri"/>
          <w:b w:val="0"/>
          <w:i w:val="0"/>
          <w:sz w:val="22"/>
        </w:rPr>
        <w:t>Per the assignment brief, “recent” is defined as release within 24 months before the declared data cutoff.  Data cutoff for Phase 1: October 19, 2026.  Therefore, the recent window is October 19, 2024 – October 19, 2026.  Catalog entries outside this window may be included for cold-start coverage but will be flagged and reported separately.</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3.2  Pilot (10–20 records)</w:t>
      </w:r>
    </w:p>
    <w:p>
      <w:pPr>
        <w:spacing w:after="120" w:line="300" w:lineRule="auto"/>
        <w:rPr>
          <w:rFonts w:ascii="Calibri" w:hAnsi="Calibri" w:eastAsia="STHeiti" w:cs="Calibri"/>
        </w:rPr>
      </w:pPr>
      <w:r>
        <w:rPr>
          <w:rFonts w:ascii="Calibri" w:hAnsi="Calibri" w:eastAsia="STHeiti" w:cs="Calibri"/>
          <w:b w:val="0"/>
          <w:i w:val="0"/>
          <w:sz w:val="22"/>
        </w:rPr>
        <w:t>Before any hypothesis testing, a 10–20 record pilot will validate the JustWatch API endpoint coverage, the time-bucket taxonomy, and the mood-tag vocabulary.  The pilot output will be checked for catalog freshness, missing-platform false negatives, and runtime outliers.  The pilot is internal to the workflow and will be logged in analysis/.</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3.3  Frozen analysis plan</w:t>
      </w:r>
    </w:p>
    <w:p>
      <w:pPr>
        <w:pStyle w:val="ListBullet"/>
        <w:spacing w:after="60" w:line="288" w:lineRule="auto"/>
        <w:rPr>
          <w:rFonts w:ascii="Calibri" w:hAnsi="Calibri" w:eastAsia="STHeiti" w:cs="Calibri"/>
        </w:rPr>
      </w:pPr>
      <w:r>
        <w:rPr>
          <w:rFonts w:ascii="Calibri" w:hAnsi="Calibri" w:eastAsia="STHeiti" w:cs="Calibri"/>
          <w:sz w:val="22"/>
        </w:rPr>
        <w:t>Sampling plan: stratified by age band and region; quotas to avoid skew.</w:t>
      </w:r>
    </w:p>
    <w:p>
      <w:pPr>
        <w:pStyle w:val="ListBullet"/>
        <w:spacing w:after="60" w:line="288" w:lineRule="auto"/>
        <w:rPr>
          <w:rFonts w:ascii="Calibri" w:hAnsi="Calibri" w:eastAsia="STHeiti" w:cs="Calibri"/>
        </w:rPr>
      </w:pPr>
      <w:r>
        <w:rPr>
          <w:rFonts w:ascii="Calibri" w:hAnsi="Calibri" w:eastAsia="STHeiti" w:cs="Calibri"/>
          <w:sz w:val="22"/>
        </w:rPr>
        <w:t>Order randomization (counterbalancing): each participant sees both prototypes, with order randomized 1:1 (VibePick→MoodFlix vs MoodFlix→VibePick) to control for order effects; a short filler task (an unrelated 60-second distractor, e.g., a 5-question word puzzle) separates the two sessions.  Order assignment is stratified by age band for balance.</w:t>
      </w:r>
    </w:p>
    <w:p>
      <w:pPr>
        <w:pStyle w:val="ListBullet"/>
        <w:spacing w:after="60" w:line="288" w:lineRule="auto"/>
        <w:rPr>
          <w:rFonts w:ascii="Calibri" w:hAnsi="Calibri" w:eastAsia="STHeiti" w:cs="Calibri"/>
        </w:rPr>
      </w:pPr>
      <w:r>
        <w:rPr>
          <w:rFonts w:ascii="Calibri" w:hAnsi="Calibri" w:eastAsia="STHeiti" w:cs="Calibri"/>
          <w:sz w:val="22"/>
        </w:rPr>
        <w:t>Pre-registered outcomes and covariates (registered in docs/ before data collection).</w:t>
      </w:r>
    </w:p>
    <w:p>
      <w:pPr>
        <w:pStyle w:val="ListBullet"/>
        <w:spacing w:after="60" w:line="288" w:lineRule="auto"/>
        <w:rPr>
          <w:rFonts w:ascii="Calibri" w:hAnsi="Calibri" w:eastAsia="STHeiti" w:cs="Calibri"/>
        </w:rPr>
      </w:pPr>
      <w:r>
        <w:rPr>
          <w:rFonts w:ascii="Calibri" w:hAnsi="Calibri" w:eastAsia="STHeiti" w:cs="Calibri"/>
          <w:sz w:val="22"/>
        </w:rPr>
        <w:t>Analysis script and seed committed to the repository; reruns reproduce the headline numbers.</w:t>
      </w:r>
    </w:p>
    <w:p>
      <w:pPr>
        <w:pStyle w:val="ListBullet"/>
        <w:spacing w:after="60" w:line="288" w:lineRule="auto"/>
        <w:rPr>
          <w:rFonts w:ascii="Calibri" w:hAnsi="Calibri" w:eastAsia="STHeiti" w:cs="Calibri"/>
        </w:rPr>
      </w:pPr>
      <w:r>
        <w:rPr>
          <w:rFonts w:ascii="Calibri" w:hAnsi="Calibri" w:eastAsia="STHeiti" w:cs="Calibri"/>
          <w:sz w:val="22"/>
        </w:rPr>
        <w:t>Amendments log: every change after the freeze is logged and labeled outcome-informed or exploratory.</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3.4a  Why within-subjects (and not between-subjects)</w:t>
      </w:r>
    </w:p>
    <w:p>
      <w:pPr>
        <w:spacing w:after="120" w:line="300" w:lineRule="auto"/>
        <w:rPr>
          <w:rFonts w:ascii="Calibri" w:hAnsi="Calibri" w:eastAsia="STHeiti" w:cs="Calibri"/>
        </w:rPr>
      </w:pPr>
      <w:r>
        <w:rPr>
          <w:rFonts w:ascii="Calibri" w:hAnsi="Calibri" w:eastAsia="STHeiti" w:cs="Calibri"/>
          <w:b w:val="0"/>
          <w:i w:val="0"/>
          <w:sz w:val="22"/>
        </w:rPr>
        <w:t>A within-subjects design gives each participant BOTH VibePick and MoodFlix, in randomized order.  It is preferred here for three reasons.</w:t>
      </w:r>
    </w:p>
    <w:p>
      <w:pPr>
        <w:pStyle w:val="ListBullet"/>
        <w:spacing w:after="60" w:line="288" w:lineRule="auto"/>
        <w:rPr>
          <w:rFonts w:ascii="Calibri" w:hAnsi="Calibri" w:eastAsia="STHeiti" w:cs="Calibri"/>
        </w:rPr>
      </w:pPr>
      <w:r>
        <w:rPr>
          <w:rFonts w:ascii="Calibri" w:hAnsi="Calibri" w:eastAsia="STHeiti" w:cs="Calibri"/>
          <w:sz w:val="22"/>
        </w:rPr>
        <w:t>Statistical power with fewer participants.  Each participant contributes a paired observation, so 30 participants deliver the same power as approximately 60–80 participants in a between-subjects design.  Phase 1 has a 7-day collection window and a single recruiter, so this matters.</w:t>
      </w:r>
    </w:p>
    <w:p>
      <w:pPr>
        <w:pStyle w:val="ListBullet"/>
        <w:spacing w:after="60" w:line="288" w:lineRule="auto"/>
        <w:rPr>
          <w:rFonts w:ascii="Calibri" w:hAnsi="Calibri" w:eastAsia="STHeiti" w:cs="Calibri"/>
        </w:rPr>
      </w:pPr>
      <w:r>
        <w:rPr>
          <w:rFonts w:ascii="Calibri" w:hAnsi="Calibri" w:eastAsia="STHeiti" w:cs="Calibri"/>
          <w:sz w:val="22"/>
        </w:rPr>
        <w:t>Individual-difference noise is absorbed.  Each person is their own control; personality, mood on the day of the test, and platform familiarity cannot bias the comparison between VibePick and MoodFlix because both are seen by the same person.</w:t>
      </w:r>
    </w:p>
    <w:p>
      <w:pPr>
        <w:pStyle w:val="ListBullet"/>
        <w:spacing w:after="60" w:line="288" w:lineRule="auto"/>
        <w:rPr>
          <w:rFonts w:ascii="Calibri" w:hAnsi="Calibri" w:eastAsia="STHeiti" w:cs="Calibri"/>
        </w:rPr>
      </w:pPr>
      <w:r>
        <w:rPr>
          <w:rFonts w:ascii="Calibri" w:hAnsi="Calibri" w:eastAsia="STHeiti" w:cs="Calibri"/>
          <w:sz w:val="22"/>
        </w:rPr>
        <w:t>Direct preference signal.  After the second prototype, each participant picks “which one would you actually use?”  This is a stronger outcome than between-subjects comparisons of average satisfaction.</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3.4b  Procedure for each participant</w:t>
      </w:r>
    </w:p>
    <w:p>
      <w:pPr>
        <w:pStyle w:val="ListBullet"/>
        <w:spacing w:after="60" w:line="288" w:lineRule="auto"/>
        <w:rPr>
          <w:rFonts w:ascii="Calibri" w:hAnsi="Calibri" w:eastAsia="STHeiti" w:cs="Calibri"/>
        </w:rPr>
      </w:pPr>
      <w:r>
        <w:rPr>
          <w:rFonts w:ascii="Calibri" w:hAnsi="Calibri" w:eastAsia="STHeiti" w:cs="Calibri"/>
          <w:sz w:val="22"/>
        </w:rPr>
        <w:t>Consent and screening (1 min): confirm age 15–55 and current use of at least one major video platform.</w:t>
      </w:r>
    </w:p>
    <w:p>
      <w:pPr>
        <w:pStyle w:val="ListBullet"/>
        <w:spacing w:after="60" w:line="288" w:lineRule="auto"/>
        <w:rPr>
          <w:rFonts w:ascii="Calibri" w:hAnsi="Calibri" w:eastAsia="STHeiti" w:cs="Calibri"/>
        </w:rPr>
      </w:pPr>
      <w:r>
        <w:rPr>
          <w:rFonts w:ascii="Calibri" w:hAnsi="Calibri" w:eastAsia="STHeiti" w:cs="Calibri"/>
          <w:sz w:val="22"/>
        </w:rPr>
        <w:t>Pre-task survey (2 min): demographics, weekly platform hours, prior recommendation-tool use.</w:t>
      </w:r>
    </w:p>
    <w:p>
      <w:pPr>
        <w:pStyle w:val="ListBullet"/>
        <w:spacing w:after="60" w:line="288" w:lineRule="auto"/>
        <w:rPr>
          <w:rFonts w:ascii="Calibri" w:hAnsi="Calibri" w:eastAsia="STHeiti" w:cs="Calibri"/>
        </w:rPr>
      </w:pPr>
      <w:r>
        <w:rPr>
          <w:rFonts w:ascii="Calibri" w:hAnsi="Calibri" w:eastAsia="STHeiti" w:cs="Calibri"/>
          <w:sz w:val="22"/>
        </w:rPr>
        <w:t>Prototype session 1 (5–7 min): first prototype in the participant's assigned order.</w:t>
      </w:r>
    </w:p>
    <w:p>
      <w:pPr>
        <w:pStyle w:val="ListBullet"/>
        <w:spacing w:after="60" w:line="288" w:lineRule="auto"/>
        <w:rPr>
          <w:rFonts w:ascii="Calibri" w:hAnsi="Calibri" w:eastAsia="STHeiti" w:cs="Calibri"/>
        </w:rPr>
      </w:pPr>
      <w:r>
        <w:rPr>
          <w:rFonts w:ascii="Calibri" w:hAnsi="Calibri" w:eastAsia="STHeiti" w:cs="Calibri"/>
          <w:sz w:val="22"/>
        </w:rPr>
        <w:t>Filler task (1 min): an unrelated word puzzle to mask the previous experience.</w:t>
      </w:r>
    </w:p>
    <w:p>
      <w:pPr>
        <w:pStyle w:val="ListBullet"/>
        <w:spacing w:after="60" w:line="288" w:lineRule="auto"/>
        <w:rPr>
          <w:rFonts w:ascii="Calibri" w:hAnsi="Calibri" w:eastAsia="STHeiti" w:cs="Calibri"/>
        </w:rPr>
      </w:pPr>
      <w:r>
        <w:rPr>
          <w:rFonts w:ascii="Calibri" w:hAnsi="Calibri" w:eastAsia="STHeiti" w:cs="Calibri"/>
          <w:sz w:val="22"/>
        </w:rPr>
        <w:t>Prototype session 2 (5–7 min): second prototype.</w:t>
      </w:r>
    </w:p>
    <w:p>
      <w:pPr>
        <w:pStyle w:val="ListBullet"/>
        <w:spacing w:after="60" w:line="288" w:lineRule="auto"/>
        <w:rPr>
          <w:rFonts w:ascii="Calibri" w:hAnsi="Calibri" w:eastAsia="STHeiti" w:cs="Calibri"/>
        </w:rPr>
      </w:pPr>
      <w:r>
        <w:rPr>
          <w:rFonts w:ascii="Calibri" w:hAnsi="Calibri" w:eastAsia="STHeiti" w:cs="Calibri"/>
          <w:sz w:val="22"/>
        </w:rPr>
        <w:t>Post-task survey (2 min): comparative preference, satisfaction on a 7-point Likert for each prototype, perceived trust and transparency for each, and one open-ended “why” question.</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3.4  Pilot findings → MVP boundary</w:t>
      </w:r>
    </w:p>
    <w:p>
      <w:pPr>
        <w:spacing w:after="120" w:line="300" w:lineRule="auto"/>
        <w:rPr>
          <w:rFonts w:ascii="Calibri" w:hAnsi="Calibri" w:eastAsia="STHeiti" w:cs="Calibri"/>
        </w:rPr>
      </w:pPr>
      <w:r>
        <w:rPr>
          <w:rFonts w:ascii="Calibri" w:hAnsi="Calibri" w:eastAsia="STHeiti" w:cs="Calibri"/>
          <w:b w:val="0"/>
          <w:i w:val="0"/>
          <w:sz w:val="22"/>
        </w:rPr>
        <w:t>Once Phase 1 analysis is complete, the variant with the better primary-outcome effect (completion rate and satisfaction) is selected for the Phase 2 MVP.  The MVP scope is the boundary in Section 1.G plus any evidence-based adjustments recorded in the decision memo.  The losing variant's rationale and code are retained in the repository for review.</w:t>
      </w:r>
    </w:p>
    <w:p>
      <w:pPr>
        <w:pStyle w:val="Heading1"/>
        <w:keepNext/>
        <w:spacing w:before="280" w:after="120"/>
        <w:rPr>
          <w:rFonts w:ascii="Calibri" w:hAnsi="Calibri" w:eastAsia="STHeiti" w:cs="Calibri"/>
        </w:rPr>
        <w:pageBreakBefore/>
        <w:pBdr>
          <w:bottom w:val="single" w:sz="6" w:space="1" w:color="1F3864"/>
        </w:pBdr>
      </w:pPr>
      <w:r>
        <w:rPr>
          <w:rFonts w:ascii="Calibri" w:hAnsi="Calibri" w:eastAsia="STHeiti" w:cs="Calibri"/>
          <w:b/>
          <w:color w:val="1F3864"/>
          <w:sz w:val="32"/>
        </w:rPr>
        <w:t>4.  Phase 1 — Sources</w:t>
      </w:r>
    </w:p>
    <w:p>
      <w:pPr>
        <w:spacing w:after="200" w:line="300" w:lineRule="auto"/>
        <w:rPr>
          <w:rFonts w:ascii="Calibri" w:hAnsi="Calibri" w:eastAsia="STHeiti" w:cs="Calibri"/>
        </w:rPr>
      </w:pPr>
      <w:r>
        <w:rPr>
          <w:rFonts w:ascii="Calibri" w:hAnsi="Calibri" w:eastAsia="STHeiti" w:cs="Calibri"/>
          <w:b w:val="0"/>
          <w:i/>
          <w:color w:val="595959"/>
          <w:sz w:val="21"/>
        </w:rPr>
        <w:t>Three or more credible sources underpin the rationale.  At least two are academic publications, as required by the brief.  Industry sources provide operational context for the cross-platform availability layer.</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4.1  Academic sources</w:t>
      </w:r>
    </w:p>
    <w:p>
      <w:pPr>
        <w:pStyle w:val="ListBullet"/>
        <w:spacing w:after="60" w:line="288" w:lineRule="auto"/>
        <w:rPr>
          <w:rFonts w:ascii="Calibri" w:hAnsi="Calibri" w:eastAsia="STHeiti" w:cs="Calibri"/>
        </w:rPr>
      </w:pPr>
      <w:r>
        <w:rPr>
          <w:rFonts w:ascii="Calibri" w:hAnsi="Calibri" w:eastAsia="STHeiti" w:cs="Calibri"/>
          <w:sz w:val="22"/>
        </w:rPr>
        <w:t>Adomavicius, G., &amp; Tuzhilin, A. (2005).  Toward the next generation of recommender systems: A survey of the state-of-the-art and possible extensions.  IEEE Transactions on Knowledge and Data Engineering, 17(6), 734–749.  Foundational survey of recommender-system paradigms; supports the structured-filter approach and the rationale for transparent match scoring.</w:t>
      </w:r>
    </w:p>
    <w:p>
      <w:pPr>
        <w:pStyle w:val="ListBullet"/>
        <w:spacing w:after="60" w:line="288" w:lineRule="auto"/>
        <w:rPr>
          <w:rFonts w:ascii="Calibri" w:hAnsi="Calibri" w:eastAsia="STHeiti" w:cs="Calibri"/>
        </w:rPr>
      </w:pPr>
      <w:r>
        <w:rPr>
          <w:rFonts w:ascii="Calibri" w:hAnsi="Calibri" w:eastAsia="STHeiti" w:cs="Calibri"/>
          <w:sz w:val="22"/>
        </w:rPr>
        <w:t>Hennig-Thurau, T., Houston, M. B., &amp; Walsh, G. (2006).  The differing roles of success drivers across sequential release phases: An application to the motion picture industry.  Marketing Letters, 17(1), 13–29.  Empirical evidence on which content attributes predict performance in different release contexts; informs the choice of predictors in the provisional model.</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4.2  Credible industry sources</w:t>
      </w:r>
    </w:p>
    <w:p>
      <w:pPr>
        <w:pStyle w:val="ListBullet"/>
        <w:spacing w:after="60" w:line="288" w:lineRule="auto"/>
        <w:rPr>
          <w:rFonts w:ascii="Calibri" w:hAnsi="Calibri" w:eastAsia="STHeiti" w:cs="Calibri"/>
        </w:rPr>
      </w:pPr>
      <w:r>
        <w:rPr>
          <w:rFonts w:ascii="Calibri" w:hAnsi="Calibri" w:eastAsia="STHeiti" w:cs="Calibri"/>
          <w:sz w:val="22"/>
        </w:rPr>
        <w:t>JustWatch.  (n.d.).  JustWatch API documentation.  Retrieved October 2, 2026, from https://www.justwatch.com/business-api  —  Operational source for cross-platform availability metadata used by both VibePick and MoodFlix.</w:t>
      </w:r>
    </w:p>
    <w:p>
      <w:pPr>
        <w:pStyle w:val="ListBullet"/>
        <w:spacing w:after="60" w:line="288" w:lineRule="auto"/>
        <w:rPr>
          <w:rFonts w:ascii="Calibri" w:hAnsi="Calibri" w:eastAsia="STHeiti" w:cs="Calibri"/>
        </w:rPr>
      </w:pPr>
      <w:r>
        <w:rPr>
          <w:rFonts w:ascii="Calibri" w:hAnsi="Calibri" w:eastAsia="STHeiti" w:cs="Calibri"/>
          <w:sz w:val="22"/>
        </w:rPr>
        <w:t>FlixPatrol.  (n.d.).  Streaming charts API.  https://flixpatrol.com/about/api/  —  Used for cross-platform trend context (popularity calibration), not as the primary availability source.</w:t>
      </w:r>
    </w:p>
    <w:p>
      <w:pPr>
        <w:pStyle w:val="Heading1"/>
        <w:keepNext/>
        <w:spacing w:before="280" w:after="120"/>
        <w:rPr>
          <w:rFonts w:ascii="Calibri" w:hAnsi="Calibri" w:eastAsia="STHeiti" w:cs="Calibri"/>
        </w:rPr>
        <w:pageBreakBefore/>
        <w:pBdr>
          <w:bottom w:val="single" w:sz="6" w:space="1" w:color="1F3864"/>
        </w:pBdr>
      </w:pPr>
      <w:r>
        <w:rPr>
          <w:rFonts w:ascii="Calibri" w:hAnsi="Calibri" w:eastAsia="STHeiti" w:cs="Calibri"/>
          <w:b/>
          <w:color w:val="1F3864"/>
          <w:sz w:val="32"/>
        </w:rPr>
        <w:t>5.  Phase 2 Plan (Overview)</w:t>
      </w:r>
    </w:p>
    <w:p>
      <w:pPr>
        <w:spacing w:after="200" w:line="300" w:lineRule="auto"/>
        <w:rPr>
          <w:rFonts w:ascii="Calibri" w:hAnsi="Calibri" w:eastAsia="STHeiti" w:cs="Calibri"/>
        </w:rPr>
      </w:pPr>
      <w:r>
        <w:rPr>
          <w:rFonts w:ascii="Calibri" w:hAnsi="Calibri" w:eastAsia="STHeiti" w:cs="Calibri"/>
          <w:b w:val="0"/>
          <w:i/>
          <w:color w:val="595959"/>
          <w:sz w:val="21"/>
        </w:rPr>
        <w:t>Phase 2 delivers a functioning, deliberately narrow MVP — the winning variant from Phase 1 — with continuous integration and continuous delivery, deployed to a publicly accessible URL for review.</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5.1  MVP selection approach</w:t>
      </w:r>
    </w:p>
    <w:p>
      <w:pPr>
        <w:pStyle w:val="ListBullet"/>
        <w:spacing w:after="60" w:line="288" w:lineRule="auto"/>
        <w:rPr>
          <w:rFonts w:ascii="Calibri" w:hAnsi="Calibri" w:eastAsia="STHeiti" w:cs="Calibri"/>
        </w:rPr>
      </w:pPr>
      <w:r>
        <w:rPr>
          <w:rFonts w:ascii="Calibri" w:hAnsi="Calibri" w:eastAsia="STHeiti" w:cs="Calibri"/>
          <w:sz w:val="22"/>
        </w:rPr>
        <w:t>Selection criterion.  The variant with the better primary-outcome effect (Phase 1 analysis) is selected.  Effect size and CI must exclude zero on the primary outcome.</w:t>
      </w:r>
    </w:p>
    <w:p>
      <w:pPr>
        <w:pStyle w:val="ListBullet"/>
        <w:spacing w:after="60" w:line="288" w:lineRule="auto"/>
        <w:rPr>
          <w:rFonts w:ascii="Calibri" w:hAnsi="Calibri" w:eastAsia="STHeiti" w:cs="Calibri"/>
        </w:rPr>
      </w:pPr>
      <w:r>
        <w:rPr>
          <w:rFonts w:ascii="Calibri" w:hAnsi="Calibri" w:eastAsia="STHeiti" w:cs="Calibri"/>
          <w:sz w:val="22"/>
        </w:rPr>
        <w:t>Decision artifact.  A short decision memo in docs/ records the choice, the supporting evidence, and any boundary adjustments.</w:t>
      </w:r>
    </w:p>
    <w:p>
      <w:pPr>
        <w:pStyle w:val="ListBullet"/>
        <w:spacing w:after="60" w:line="288" w:lineRule="auto"/>
        <w:rPr>
          <w:rFonts w:ascii="Calibri" w:hAnsi="Calibri" w:eastAsia="STHeiti" w:cs="Calibri"/>
        </w:rPr>
      </w:pPr>
      <w:r>
        <w:rPr>
          <w:rFonts w:ascii="Calibri" w:hAnsi="Calibri" w:eastAsia="STHeiti" w:cs="Calibri"/>
          <w:sz w:val="22"/>
        </w:rPr>
        <w:t>Pre-mortem.  Before Phase 2 build, the PM lists plausible failure modes (e.g., API rate-limit, model latency, broken-deep-link) and adds tests for each.</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5.2  Build, test, deploy</w:t>
      </w:r>
    </w:p>
    <w:p>
      <w:pPr>
        <w:pStyle w:val="ListBullet"/>
        <w:spacing w:after="60" w:line="288" w:lineRule="auto"/>
        <w:rPr>
          <w:rFonts w:ascii="Calibri" w:hAnsi="Calibri" w:eastAsia="STHeiti" w:cs="Calibri"/>
        </w:rPr>
      </w:pPr>
      <w:r>
        <w:rPr>
          <w:rFonts w:ascii="Calibri" w:hAnsi="Calibri" w:eastAsia="STHeiti" w:cs="Calibri"/>
          <w:sz w:val="22"/>
        </w:rPr>
        <w:t>Build.  Implement only the chosen variant.  Use a tested agent skill for implementation; retain executed checks and reviewed changes, not only the agent's assurance.</w:t>
      </w:r>
    </w:p>
    <w:p>
      <w:pPr>
        <w:pStyle w:val="ListBullet"/>
        <w:spacing w:after="60" w:line="288" w:lineRule="auto"/>
        <w:rPr>
          <w:rFonts w:ascii="Calibri" w:hAnsi="Calibri" w:eastAsia="STHeiti" w:cs="Calibri"/>
        </w:rPr>
      </w:pPr>
      <w:r>
        <w:rPr>
          <w:rFonts w:ascii="Calibri" w:hAnsi="Calibri" w:eastAsia="STHeiti" w:cs="Calibri"/>
          <w:sz w:val="22"/>
        </w:rPr>
        <w:t>Test.  Playwright covers the full user journey: load, input, recommendation render, deep-link resolution, error and restart paths, recorded actions saved as repeatable scripts.</w:t>
      </w:r>
    </w:p>
    <w:p>
      <w:pPr>
        <w:pStyle w:val="ListBullet"/>
        <w:spacing w:after="60" w:line="288" w:lineRule="auto"/>
        <w:rPr>
          <w:rFonts w:ascii="Calibri" w:hAnsi="Calibri" w:eastAsia="STHeiti" w:cs="Calibri"/>
        </w:rPr>
      </w:pPr>
      <w:r>
        <w:rPr>
          <w:rFonts w:ascii="Calibri" w:hAnsi="Calibri" w:eastAsia="STHeiti" w:cs="Calibri"/>
          <w:sz w:val="22"/>
        </w:rPr>
        <w:t>Deploy.  GitHub Pages (or an equivalent) hosts a static browser product.  GitHub Actions run checks on every change and deploy the approved release.  Both phase tags (phase1-analytics and v0.2-submission) remain reachable as GitHub Releases with identical Moodle reports attached.</w:t>
      </w:r>
    </w:p>
    <w:p>
      <w:pPr>
        <w:pStyle w:val="ListBullet"/>
        <w:spacing w:after="60" w:line="288" w:lineRule="auto"/>
        <w:rPr>
          <w:rFonts w:ascii="Calibri" w:hAnsi="Calibri" w:eastAsia="STHeiti" w:cs="Calibri"/>
        </w:rPr>
      </w:pPr>
      <w:r>
        <w:rPr>
          <w:rFonts w:ascii="Calibri" w:hAnsi="Calibri" w:eastAsia="STHeiti" w:cs="Calibri"/>
          <w:sz w:val="22"/>
        </w:rPr>
        <w:t>User evidence.  PostHog (or a privacy-protected local event export) records product-use events, completion / drop-off, and informs a documented revision if needed.</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5.3  CI/CD envelope (from Table 1)</w:t>
      </w:r>
    </w:p>
    <w:p>
      <w:pPr>
        <w:pStyle w:val="ListBullet"/>
        <w:spacing w:after="60" w:line="288" w:lineRule="auto"/>
        <w:rPr>
          <w:rFonts w:ascii="Calibri" w:hAnsi="Calibri" w:eastAsia="STHeiti" w:cs="Calibri"/>
        </w:rPr>
      </w:pPr>
      <w:r>
        <w:rPr>
          <w:rFonts w:ascii="Calibri" w:hAnsi="Calibri" w:eastAsia="STHeiti" w:cs="Calibri"/>
          <w:sz w:val="22"/>
        </w:rPr>
        <w:t>GitHub Actions for continuous checks on every push and pull request.</w:t>
      </w:r>
    </w:p>
    <w:p>
      <w:pPr>
        <w:pStyle w:val="ListBullet"/>
        <w:spacing w:after="60" w:line="288" w:lineRule="auto"/>
        <w:rPr>
          <w:rFonts w:ascii="Calibri" w:hAnsi="Calibri" w:eastAsia="STHeiti" w:cs="Calibri"/>
        </w:rPr>
      </w:pPr>
      <w:r>
        <w:rPr>
          <w:rFonts w:ascii="Calibri" w:hAnsi="Calibri" w:eastAsia="STHeiti" w:cs="Calibri"/>
          <w:sz w:val="22"/>
        </w:rPr>
        <w:t>GitHub Pages for static browser deployment.</w:t>
      </w:r>
    </w:p>
    <w:p>
      <w:pPr>
        <w:pStyle w:val="ListBullet"/>
        <w:spacing w:after="60" w:line="288" w:lineRule="auto"/>
        <w:rPr>
          <w:rFonts w:ascii="Calibri" w:hAnsi="Calibri" w:eastAsia="STHeiti" w:cs="Calibri"/>
        </w:rPr>
      </w:pPr>
      <w:r>
        <w:rPr>
          <w:rFonts w:ascii="Calibri" w:hAnsi="Calibri" w:eastAsia="STHeiti" w:cs="Calibri"/>
          <w:sz w:val="22"/>
        </w:rPr>
        <w:t>Playwright for browser end-to-end tests, including error and restart paths.</w:t>
      </w:r>
    </w:p>
    <w:p>
      <w:pPr>
        <w:pStyle w:val="ListBullet"/>
        <w:spacing w:after="60" w:line="288" w:lineRule="auto"/>
        <w:rPr>
          <w:rFonts w:ascii="Calibri" w:hAnsi="Calibri" w:eastAsia="STHeiti" w:cs="Calibri"/>
        </w:rPr>
      </w:pPr>
      <w:r>
        <w:rPr>
          <w:rFonts w:ascii="Calibri" w:hAnsi="Calibri" w:eastAsia="STHeiti" w:cs="Calibri"/>
          <w:sz w:val="22"/>
        </w:rPr>
        <w:t>PostHog or approved local event export for user evidence.</w:t>
      </w:r>
    </w:p>
    <w:p>
      <w:pPr>
        <w:pStyle w:val="ListBullet"/>
        <w:spacing w:after="60" w:line="288" w:lineRule="auto"/>
        <w:rPr>
          <w:rFonts w:ascii="Calibri" w:hAnsi="Calibri" w:eastAsia="STHeiti" w:cs="Calibri"/>
        </w:rPr>
      </w:pPr>
      <w:r>
        <w:rPr>
          <w:rFonts w:ascii="Calibri" w:hAnsi="Calibri" w:eastAsia="STHeiti" w:cs="Calibri"/>
          <w:sz w:val="22"/>
        </w:rPr>
        <w:t>Large media via Git LFS or attached to a GitHub Release; instructor-retrievable.</w:t>
      </w:r>
    </w:p>
    <w:p>
      <w:pPr>
        <w:pStyle w:val="Heading2"/>
        <w:keepNext/>
        <w:spacing w:before="200" w:after="120"/>
        <w:rPr>
          <w:rFonts w:ascii="Calibri" w:hAnsi="Calibri" w:eastAsia="STHeiti" w:cs="Calibri"/>
        </w:rPr>
        <w:pBdr>
          <w:bottom w:val="single" w:sz="6" w:space="1" w:color="BFBFBF"/>
        </w:pBdr>
      </w:pPr>
      <w:r>
        <w:rPr>
          <w:rFonts w:ascii="Calibri" w:hAnsi="Calibri" w:eastAsia="STHeiti" w:cs="Calibri"/>
          <w:b/>
          <w:color w:val="1F3864"/>
          <w:sz w:val="26"/>
        </w:rPr>
        <w:t>5.4  Two-numbered-releases rule</w:t>
      </w:r>
    </w:p>
    <w:p>
      <w:pPr>
        <w:spacing w:after="120" w:line="300" w:lineRule="auto"/>
        <w:rPr>
          <w:rFonts w:ascii="Calibri" w:hAnsi="Calibri" w:eastAsia="STHeiti" w:cs="Calibri"/>
        </w:rPr>
      </w:pPr>
      <w:r>
        <w:rPr>
          <w:rFonts w:ascii="Calibri" w:hAnsi="Calibri" w:eastAsia="STHeiti" w:cs="Calibri"/>
          <w:b w:val="0"/>
          <w:i w:val="0"/>
          <w:sz w:val="22"/>
        </w:rPr>
        <w:t>Phase 2 requires two numbered prototype releases on GitHub Releases (for example v0.1-working and v0.2-submission).  The earlier working prototype remains reachable; the final submission is the assessed build.  Phase 1's analytical snapshot (phase1-analytics) is preserved unchanged after the October 19 deadline.  Phase 2 development happens in later commits; any approved correction or scope change is disclosed in the decision memo.</w:t>
      </w:r>
    </w:p>
    <w:p>
      <w:pPr>
        <w:pStyle w:val="Heading1"/>
        <w:keepNext/>
        <w:spacing w:before="280" w:after="120"/>
        <w:rPr>
          <w:rFonts w:ascii="Calibri" w:hAnsi="Calibri" w:eastAsia="STHeiti" w:cs="Calibri"/>
        </w:rPr>
        <w:pageBreakBefore/>
        <w:pBdr>
          <w:bottom w:val="single" w:sz="6" w:space="1" w:color="1F3864"/>
        </w:pBdr>
      </w:pPr>
      <w:r>
        <w:rPr>
          <w:rFonts w:ascii="Calibri" w:hAnsi="Calibri" w:eastAsia="STHeiti" w:cs="Calibri"/>
          <w:b/>
          <w:color w:val="1F3864"/>
          <w:sz w:val="32"/>
        </w:rPr>
        <w:t>Appendix A.  Tools Stack (from Table 1)</w:t>
      </w:r>
    </w:p>
    <w:tbl>
      <w:tblPr>
        <w:tblW w:type="auto" w:w="0"/>
        <w:jc w:val="left"/>
        <w:tblLayout w:type="fixed"/>
        <w:tblLook w:firstColumn="1" w:firstRow="1" w:lastColumn="0" w:lastRow="0" w:noHBand="0" w:noVBand="1" w:val="04A0"/>
      </w:tblPr>
      <w:tblGrid>
        <w:gridCol w:w="2551"/>
        <w:gridCol w:w="4819"/>
        <w:gridCol w:w="1531"/>
      </w:tblGrid>
      <w:tr>
        <w:tc>
          <w:tcPr>
            <w:tcW w:type="dxa" w:w="2551"/>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Tool</w:t>
            </w:r>
          </w:p>
        </w:tc>
        <w:tc>
          <w:tcPr>
            <w:tcW w:type="dxa" w:w="4819"/>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Use in this project</w:t>
            </w:r>
          </w:p>
        </w:tc>
        <w:tc>
          <w:tcPr>
            <w:tcW w:type="dxa" w:w="1531"/>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Phase</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JustWatch API</w:t>
            </w:r>
          </w:p>
        </w:tc>
        <w:tc>
          <w:tcPr>
            <w:tcW w:type="dxa" w:w="4819"/>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Cross-platform availability metadata</w:t>
            </w:r>
          </w:p>
        </w:tc>
        <w:tc>
          <w:tcPr>
            <w:tcW w:type="dxa" w:w="153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+ 2</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Python / R</w:t>
            </w:r>
          </w:p>
        </w:tc>
        <w:tc>
          <w:tcPr>
            <w:tcW w:type="dxa" w:w="4819"/>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Statistical execution and reproducibility</w:t>
            </w:r>
          </w:p>
        </w:tc>
        <w:tc>
          <w:tcPr>
            <w:tcW w:type="dxa" w:w="153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OpenSpec (optional)</w:t>
            </w:r>
          </w:p>
        </w:tc>
        <w:tc>
          <w:tcPr>
            <w:tcW w:type="dxa" w:w="4819"/>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Approved proposal, requirements, design, task list</w:t>
            </w:r>
          </w:p>
        </w:tc>
        <w:tc>
          <w:tcPr>
            <w:tcW w:type="dxa" w:w="153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+ 2</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Superpowers (optional)</w:t>
            </w:r>
          </w:p>
        </w:tc>
        <w:tc>
          <w:tcPr>
            <w:tcW w:type="dxa" w:w="4819"/>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TDD, debugging, verification</w:t>
            </w:r>
          </w:p>
        </w:tc>
        <w:tc>
          <w:tcPr>
            <w:tcW w:type="dxa" w:w="153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Playwright</w:t>
            </w:r>
          </w:p>
        </w:tc>
        <w:tc>
          <w:tcPr>
            <w:tcW w:type="dxa" w:w="4819"/>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Browser end-to-end tests, recorded actions</w:t>
            </w:r>
          </w:p>
        </w:tc>
        <w:tc>
          <w:tcPr>
            <w:tcW w:type="dxa" w:w="153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GitHub Actions</w:t>
            </w:r>
          </w:p>
        </w:tc>
        <w:tc>
          <w:tcPr>
            <w:tcW w:type="dxa" w:w="4819"/>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Continuous checks on every change</w:t>
            </w:r>
          </w:p>
        </w:tc>
        <w:tc>
          <w:tcPr>
            <w:tcW w:type="dxa" w:w="153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GitHub Pages</w:t>
            </w:r>
          </w:p>
        </w:tc>
        <w:tc>
          <w:tcPr>
            <w:tcW w:type="dxa" w:w="4819"/>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Static browser deployment for the MVP</w:t>
            </w:r>
          </w:p>
        </w:tc>
        <w:tc>
          <w:tcPr>
            <w:tcW w:type="dxa" w:w="153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PostHog (or local export)</w:t>
            </w:r>
          </w:p>
        </w:tc>
        <w:tc>
          <w:tcPr>
            <w:tcW w:type="dxa" w:w="4819"/>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User-use events and drop-off analysis</w:t>
            </w:r>
          </w:p>
        </w:tc>
        <w:tc>
          <w:tcPr>
            <w:tcW w:type="dxa" w:w="153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Git LFS / GitHub Releases</w:t>
            </w:r>
          </w:p>
        </w:tc>
        <w:tc>
          <w:tcPr>
            <w:tcW w:type="dxa" w:w="4819"/>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Large media handling</w:t>
            </w:r>
          </w:p>
        </w:tc>
        <w:tc>
          <w:tcPr>
            <w:tcW w:type="dxa" w:w="153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 if needed</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Course ComfyUI platform (158.182.35.42:3100)</w:t>
            </w:r>
          </w:p>
        </w:tc>
        <w:tc>
          <w:tcPr>
            <w:tcW w:type="dxa" w:w="4819"/>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Approved media-generation workflows (if Phase 2 product needs AI media)</w:t>
            </w:r>
          </w:p>
        </w:tc>
        <w:tc>
          <w:tcPr>
            <w:tcW w:type="dxa" w:w="153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 if needed</w:t>
            </w:r>
          </w:p>
        </w:tc>
      </w:tr>
    </w:tbl>
    <w:p>
      <w:pPr>
        <w:pStyle w:val="Heading1"/>
        <w:keepNext/>
        <w:spacing w:before="280" w:after="120"/>
        <w:rPr>
          <w:rFonts w:ascii="Calibri" w:hAnsi="Calibri" w:eastAsia="STHeiti" w:cs="Calibri"/>
        </w:rPr>
        <w:pageBreakBefore/>
        <w:pBdr>
          <w:bottom w:val="single" w:sz="6" w:space="1" w:color="1F3864"/>
        </w:pBdr>
      </w:pPr>
      <w:r>
        <w:rPr>
          <w:rFonts w:ascii="Calibri" w:hAnsi="Calibri" w:eastAsia="STHeiti" w:cs="Calibri"/>
          <w:b/>
          <w:color w:val="1F3864"/>
          <w:sz w:val="32"/>
        </w:rPr>
        <w:t>Appendix B.  Required GitHub Contents (mapped to Table 8)</w:t>
      </w:r>
    </w:p>
    <w:tbl>
      <w:tblPr>
        <w:tblW w:type="auto" w:w="0"/>
        <w:jc w:val="left"/>
        <w:tblLayout w:type="fixed"/>
        <w:tblLook w:firstColumn="1" w:firstRow="1" w:lastColumn="0" w:lastRow="0" w:noHBand="0" w:noVBand="1" w:val="04A0"/>
      </w:tblPr>
      <w:tblGrid>
        <w:gridCol w:w="2551"/>
        <w:gridCol w:w="6350"/>
      </w:tblGrid>
      <w:tr>
        <w:tc>
          <w:tcPr>
            <w:tcW w:type="dxa" w:w="2551"/>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Location</w:t>
            </w:r>
          </w:p>
        </w:tc>
        <w:tc>
          <w:tcPr>
            <w:tcW w:type="dxa" w:w="6350"/>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Required contents for this project</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README.md and docs/</w:t>
            </w:r>
          </w:p>
        </w:tc>
        <w:tc>
          <w:tcPr>
            <w:tcW w:type="dxa" w:w="6350"/>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Plan (this document); statistical model and rationale; decision memo; proposed requirements; evidence-to-feature record; references.  Phase 2: response to feedback, scope changes, final decision.</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data/ and analysis/</w:t>
            </w:r>
          </w:p>
        </w:tc>
        <w:tc>
          <w:tcPr>
            <w:tcW w:type="dxa" w:w="6350"/>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Permitted raw and clean data; codebook; source manifest; audit log; executable analysis script with seed; full results; ≥3 figures; diagnostics, uncertainty, sensitivity.</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product/ and media/</w:t>
            </w:r>
          </w:p>
        </w:tc>
        <w:tc>
          <w:tcPr>
            <w:tcW w:type="dxa" w:w="6350"/>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MVP source; ranking or prompt logic; JustWatch adapter; UI components; assets; executable or viewable release; backup demonstration.</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Agent instructions and skills/</w:t>
            </w:r>
          </w:p>
        </w:tc>
        <w:tc>
          <w:tcPr>
            <w:tcW w:type="dxa" w:w="6350"/>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skills: collection, validation, analysis.  Phase 2 skills: build, test, release.  Attribution, versions, execution evidence, human corrections.</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tests/ and .github/workflows/</w:t>
            </w:r>
          </w:p>
        </w:tc>
        <w:tc>
          <w:tcPr>
            <w:tcW w:type="dxa" w:w="6350"/>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Automated checks; Actions configuration; acceptance evidence; failed-and-repaired tests; deployment logs and run links; Playwright scripts.</w:t>
            </w:r>
          </w:p>
        </w:tc>
      </w:tr>
      <w:tr>
        <w:tc>
          <w:tcPr>
            <w:tcW w:type="dxa" w:w="2551"/>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evaluation/ and records/</w:t>
            </w:r>
          </w:p>
        </w:tc>
        <w:tc>
          <w:tcPr>
            <w:tcW w:type="dxa" w:w="6350"/>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Event dictionary; privacy-protected pilot records; actual usage results; revisions; limitations; AI-use and individual decision logs.</w:t>
            </w:r>
          </w:p>
        </w:tc>
      </w:tr>
      <w:tr>
        <w:tc>
          <w:tcPr>
            <w:tcW w:type="dxa" w:w="2551"/>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GitHub Releases</w:t>
            </w:r>
          </w:p>
        </w:tc>
        <w:tc>
          <w:tcPr>
            <w:tcW w:type="dxa" w:w="6350"/>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phase1-analytics tag (Oct 19); two numbered Phase 2 tags (e.g., v0.1-working, v0.2-submission); identical Moodle reports attached to each corresponding release.</w:t>
            </w:r>
          </w:p>
        </w:tc>
      </w:tr>
    </w:tbl>
    <w:p>
      <w:pPr>
        <w:pStyle w:val="Heading1"/>
        <w:keepNext/>
        <w:spacing w:before="280" w:after="120"/>
        <w:rPr>
          <w:rFonts w:ascii="Calibri" w:hAnsi="Calibri" w:eastAsia="STHeiti" w:cs="Calibri"/>
        </w:rPr>
        <w:pageBreakBefore/>
        <w:pBdr>
          <w:bottom w:val="single" w:sz="6" w:space="1" w:color="1F3864"/>
        </w:pBdr>
      </w:pPr>
      <w:r>
        <w:rPr>
          <w:rFonts w:ascii="Calibri" w:hAnsi="Calibri" w:eastAsia="STHeiti" w:cs="Calibri"/>
          <w:b/>
          <w:color w:val="1F3864"/>
          <w:sz w:val="32"/>
        </w:rPr>
        <w:t>Appendix C.  Submission Checklist</w:t>
      </w:r>
    </w:p>
    <w:tbl>
      <w:tblPr>
        <w:tblW w:type="auto" w:w="0"/>
        <w:jc w:val="left"/>
        <w:tblLayout w:type="fixed"/>
        <w:tblLook w:firstColumn="1" w:firstRow="1" w:lastColumn="0" w:lastRow="0" w:noHBand="0" w:noVBand="1" w:val="04A0"/>
      </w:tblPr>
      <w:tblGrid>
        <w:gridCol w:w="3402"/>
        <w:gridCol w:w="1984"/>
        <w:gridCol w:w="3515"/>
      </w:tblGrid>
      <w:tr>
        <w:tc>
          <w:tcPr>
            <w:tcW w:type="dxa" w:w="3402"/>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Channel / Artifact</w:t>
            </w:r>
          </w:p>
        </w:tc>
        <w:tc>
          <w:tcPr>
            <w:tcW w:type="dxa" w:w="1984"/>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When</w:t>
            </w:r>
          </w:p>
        </w:tc>
        <w:tc>
          <w:tcPr>
            <w:tcW w:type="dxa" w:w="3515"/>
            <w:shd w:val="clear" w:color="auto" w:fill="1F3864"/>
            <w:tcBorders>
              <w:top w:val="single" w:sz="6" w:color="404040"/>
              <w:left w:val="single" w:sz="6" w:color="404040"/>
              <w:bottom w:val="single" w:sz="6" w:color="404040"/>
              <w:right w:val="single" w:sz="6" w:color="404040"/>
            </w:tcBorders>
            <w:vAlign w:val="center"/>
          </w:tcPr>
          <w:p>
            <w:pPr>
              <w:spacing w:after="0"/>
              <w:rPr>
                <w:rFonts w:ascii="Calibri" w:hAnsi="Calibri" w:eastAsia="STHeiti" w:cs="Calibri"/>
              </w:rPr>
            </w:pPr>
            <w:r>
              <w:rPr>
                <w:rFonts w:ascii="Calibri" w:hAnsi="Calibri" w:eastAsia="STHeiti" w:cs="Calibri"/>
                <w:b/>
                <w:color w:val="FFFFFF"/>
                <w:sz w:val="21"/>
              </w:rPr>
              <w:t>Required?</w:t>
            </w:r>
          </w:p>
        </w:tc>
      </w:tr>
      <w:tr>
        <w:tc>
          <w:tcPr>
            <w:tcW w:type="dxa" w:w="3402"/>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GitHub repository initialized + collaborator invite sent</w:t>
            </w:r>
          </w:p>
        </w:tc>
        <w:tc>
          <w:tcPr>
            <w:tcW w:type="dxa" w:w="1984"/>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start</w:t>
            </w:r>
          </w:p>
        </w:tc>
        <w:tc>
          <w:tcPr>
            <w:tcW w:type="dxa" w:w="351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Done — fffchaobu invited as collaborator; access retained through both phases</w:t>
            </w:r>
          </w:p>
        </w:tc>
      </w:tr>
      <w:tr>
        <w:tc>
          <w:tcPr>
            <w:tcW w:type="dxa" w:w="3402"/>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working plan committed</w:t>
            </w:r>
          </w:p>
        </w:tc>
        <w:tc>
          <w:tcPr>
            <w:tcW w:type="dxa" w:w="1984"/>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start</w:t>
            </w:r>
          </w:p>
        </w:tc>
        <w:tc>
          <w:tcPr>
            <w:tcW w:type="dxa" w:w="351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Done (this document, also committed to docs/ in the repo)</w:t>
            </w:r>
          </w:p>
        </w:tc>
      </w:tr>
      <w:tr>
        <w:tc>
          <w:tcPr>
            <w:tcW w:type="dxa" w:w="3402"/>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Pilot (10–20 records) + frozen analysis plan</w:t>
            </w:r>
          </w:p>
        </w:tc>
        <w:tc>
          <w:tcPr>
            <w:tcW w:type="dxa" w:w="1984"/>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Before substantive hypothesis testing</w:t>
            </w:r>
          </w:p>
        </w:tc>
        <w:tc>
          <w:tcPr>
            <w:tcW w:type="dxa" w:w="351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in progress</w:t>
            </w:r>
          </w:p>
        </w:tc>
      </w:tr>
      <w:tr>
        <w:tc>
          <w:tcPr>
            <w:tcW w:type="dxa" w:w="3402"/>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analytical evidence in runnable scripts</w:t>
            </w:r>
          </w:p>
        </w:tc>
        <w:tc>
          <w:tcPr>
            <w:tcW w:type="dxa" w:w="1984"/>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Before Oct 19, 2026</w:t>
            </w:r>
          </w:p>
        </w:tc>
        <w:tc>
          <w:tcPr>
            <w:tcW w:type="dxa" w:w="351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w:t>
            </w:r>
          </w:p>
        </w:tc>
      </w:tr>
      <w:tr>
        <w:tc>
          <w:tcPr>
            <w:tcW w:type="dxa" w:w="3402"/>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GitHub Release (phase1-analytics)</w:t>
            </w:r>
          </w:p>
        </w:tc>
        <w:tc>
          <w:tcPr>
            <w:tcW w:type="dxa" w:w="1984"/>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On or before Oct 19, 2026</w:t>
            </w:r>
          </w:p>
        </w:tc>
        <w:tc>
          <w:tcPr>
            <w:tcW w:type="dxa" w:w="351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w:t>
            </w:r>
          </w:p>
        </w:tc>
      </w:tr>
      <w:tr>
        <w:tc>
          <w:tcPr>
            <w:tcW w:type="dxa" w:w="3402"/>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 Moodle report (identical to GitHub)</w:t>
            </w:r>
          </w:p>
        </w:tc>
        <w:tc>
          <w:tcPr>
            <w:tcW w:type="dxa" w:w="1984"/>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On or before Oct 19, 2026</w:t>
            </w:r>
          </w:p>
        </w:tc>
        <w:tc>
          <w:tcPr>
            <w:tcW w:type="dxa" w:w="351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1</w:t>
            </w:r>
          </w:p>
        </w:tc>
      </w:tr>
      <w:tr>
        <w:tc>
          <w:tcPr>
            <w:tcW w:type="dxa" w:w="3402"/>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 MVP chosen variant, built and tested</w:t>
            </w:r>
          </w:p>
        </w:tc>
        <w:tc>
          <w:tcPr>
            <w:tcW w:type="dxa" w:w="1984"/>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Before Nov 19, 2026</w:t>
            </w:r>
          </w:p>
        </w:tc>
        <w:tc>
          <w:tcPr>
            <w:tcW w:type="dxa" w:w="351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w:t>
            </w:r>
          </w:p>
        </w:tc>
      </w:tr>
      <w:tr>
        <w:tc>
          <w:tcPr>
            <w:tcW w:type="dxa" w:w="3402"/>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Two numbered Phase 2 GitHub Releases (working + submission)</w:t>
            </w:r>
          </w:p>
        </w:tc>
        <w:tc>
          <w:tcPr>
            <w:tcW w:type="dxa" w:w="1984"/>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On or before Nov 19, 2026</w:t>
            </w:r>
          </w:p>
        </w:tc>
        <w:tc>
          <w:tcPr>
            <w:tcW w:type="dxa" w:w="351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w:t>
            </w:r>
          </w:p>
        </w:tc>
      </w:tr>
      <w:tr>
        <w:tc>
          <w:tcPr>
            <w:tcW w:type="dxa" w:w="3402"/>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 Moodle report (identical to GitHub)</w:t>
            </w:r>
          </w:p>
        </w:tc>
        <w:tc>
          <w:tcPr>
            <w:tcW w:type="dxa" w:w="1984"/>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On or before Nov 19, 2026</w:t>
            </w:r>
          </w:p>
        </w:tc>
        <w:tc>
          <w:tcPr>
            <w:tcW w:type="dxa" w:w="3515"/>
            <w:shd w:val="clear" w:color="auto" w:fill="FFFFFF"/>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Phase 2</w:t>
            </w:r>
          </w:p>
        </w:tc>
      </w:tr>
      <w:tr>
        <w:tc>
          <w:tcPr>
            <w:tcW w:type="dxa" w:w="3402"/>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Collaborator access retained until grading and review complete</w:t>
            </w:r>
          </w:p>
        </w:tc>
        <w:tc>
          <w:tcPr>
            <w:tcW w:type="dxa" w:w="1984"/>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Through Phase 2</w:t>
            </w:r>
          </w:p>
        </w:tc>
        <w:tc>
          <w:tcPr>
            <w:tcW w:type="dxa" w:w="3515"/>
            <w:shd w:val="clear" w:color="auto" w:fill="F8F8F8"/>
            <w:tcBorders>
              <w:top w:val="single" w:sz="6" w:color="BFBFBF"/>
              <w:left w:val="single" w:sz="6" w:color="BFBFBF"/>
              <w:bottom w:val="single" w:sz="6" w:color="BFBFBF"/>
              <w:right w:val="single" w:sz="6" w:color="BFBFBF"/>
            </w:tcBorders>
            <w:vAlign w:val="top"/>
          </w:tcPr>
          <w:p>
            <w:pPr>
              <w:spacing w:after="0"/>
              <w:rPr>
                <w:rFonts w:ascii="Calibri" w:hAnsi="Calibri" w:eastAsia="STHeiti" w:cs="Calibri"/>
              </w:rPr>
            </w:pPr>
            <w:r>
              <w:rPr>
                <w:rFonts w:ascii="Calibri" w:hAnsi="Calibri" w:eastAsia="STHeiti" w:cs="Calibri"/>
                <w:sz w:val="21"/>
              </w:rPr>
              <w:t>Ongoing</w:t>
            </w:r>
          </w:p>
        </w:tc>
      </w:tr>
    </w:tbl>
    <w:tbl>
      <w:tblPr>
        <w:tblW w:type="auto" w:w="0"/>
        <w:tblLook w:firstColumn="1" w:firstRow="1" w:lastColumn="0" w:lastRow="0" w:noHBand="0" w:noVBand="1" w:val="04A0"/>
      </w:tblPr>
      <w:tblGrid>
        <w:gridCol w:w="9746"/>
      </w:tblGrid>
      <w:tr>
        <w:tc>
          <w:tcPr>
            <w:tcW w:type="dxa" w:w="8901"/>
            <w:shd w:val="clear" w:color="auto" w:fill="EEF3FB"/>
            <w:tcBorders>
              <w:top w:val="single" w:sz="6" w:color="BFBFBF"/>
              <w:left w:val="single" w:sz="6" w:color="BFBFBF"/>
              <w:bottom w:val="single" w:sz="6" w:color="BFBFBF"/>
              <w:right w:val="single" w:sz="6" w:color="BFBFBF"/>
            </w:tcBorders>
          </w:tcPr>
          <w:p>
            <w:pPr>
              <w:spacing w:after="0"/>
              <w:rPr>
                <w:rFonts w:ascii="Calibri" w:hAnsi="Calibri" w:eastAsia="STHeiti" w:cs="Calibri"/>
              </w:rPr>
            </w:pPr>
            <w:r>
              <w:rPr>
                <w:rFonts w:ascii="Calibri" w:hAnsi="Calibri" w:eastAsia="STHeiti" w:cs="Calibri"/>
                <w:b/>
                <w:color w:val="1F3864"/>
                <w:sz w:val="21"/>
              </w:rPr>
              <w:t xml:space="preserve">Reminder. </w:t>
            </w:r>
            <w:r>
              <w:rPr>
                <w:rFonts w:ascii="Calibri" w:hAnsi="Calibri" w:eastAsia="STHeiti" w:cs="Calibri"/>
                <w:sz w:val="21"/>
              </w:rPr>
              <w:t>This working plan is a planning artifact submitted at the start of Phase 1.  The final Phase 1 deliverable is the executed analysis, statistical model, results, conclusions, and evidence-based concept choice, submitted via GitHub and Moodle on or before October 19, 2026.  This document will be revised and committed to docs/ in the repository; the version below is the desktop preview.</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THeit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STHeiti" w:cs="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STHeiti" w:cs="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STHeiti" w:cs="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