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4FDD8D">
      <w:pPr>
        <w:jc w:val="both"/>
      </w:pPr>
    </w:p>
    <w:p w14:paraId="6B789406">
      <w:pPr>
        <w:jc w:val="center"/>
      </w:pPr>
    </w:p>
    <w:p w14:paraId="304FF629">
      <w:pPr>
        <w:jc w:val="center"/>
      </w:pPr>
    </w:p>
    <w:p w14:paraId="0A491F38">
      <w:pPr>
        <w:jc w:val="center"/>
      </w:pPr>
      <w:r>
        <w:drawing>
          <wp:inline distT="0" distB="0" distL="114300" distR="114300">
            <wp:extent cx="2525395" cy="74295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525395" cy="742950"/>
                    </a:xfrm>
                    <a:prstGeom prst="rect">
                      <a:avLst/>
                    </a:prstGeom>
                    <a:noFill/>
                    <a:ln>
                      <a:noFill/>
                    </a:ln>
                  </pic:spPr>
                </pic:pic>
              </a:graphicData>
            </a:graphic>
          </wp:inline>
        </w:drawing>
      </w:r>
    </w:p>
    <w:p w14:paraId="27A899D0">
      <w:pPr>
        <w:jc w:val="center"/>
        <w:rPr>
          <w:rFonts w:hint="eastAsia" w:ascii="黑体" w:hAnsi="黑体" w:eastAsia="黑体"/>
          <w:b/>
          <w:spacing w:val="32"/>
          <w:sz w:val="52"/>
          <w:szCs w:val="52"/>
          <w:lang w:eastAsia="zh-CN"/>
        </w:rPr>
      </w:pPr>
      <w:r>
        <w:rPr>
          <w:rFonts w:hint="eastAsia" w:ascii="黑体" w:hAnsi="黑体" w:eastAsia="黑体"/>
          <w:b/>
          <w:spacing w:val="32"/>
          <w:sz w:val="52"/>
          <w:szCs w:val="52"/>
          <w:lang w:val="en-US" w:eastAsia="zh-CN"/>
        </w:rPr>
        <w:t>研讨课调研报告</w:t>
      </w:r>
    </w:p>
    <w:p w14:paraId="2D4E300E">
      <w:pPr>
        <w:tabs>
          <w:tab w:val="left" w:pos="7560"/>
        </w:tabs>
        <w:ind w:right="439" w:rightChars="183"/>
        <w:rPr>
          <w:b/>
          <w:sz w:val="32"/>
        </w:rPr>
      </w:pPr>
    </w:p>
    <w:p w14:paraId="187201ED">
      <w:pPr>
        <w:tabs>
          <w:tab w:val="left" w:pos="7560"/>
        </w:tabs>
        <w:ind w:right="439" w:rightChars="183"/>
        <w:rPr>
          <w:b/>
          <w:sz w:val="32"/>
        </w:rPr>
      </w:pPr>
    </w:p>
    <w:tbl>
      <w:tblPr>
        <w:tblStyle w:val="6"/>
        <w:tblW w:w="0" w:type="auto"/>
        <w:jc w:val="center"/>
        <w:tblLayout w:type="autofit"/>
        <w:tblCellMar>
          <w:top w:w="0" w:type="dxa"/>
          <w:left w:w="108" w:type="dxa"/>
          <w:bottom w:w="0" w:type="dxa"/>
          <w:right w:w="108" w:type="dxa"/>
        </w:tblCellMar>
      </w:tblPr>
      <w:tblGrid>
        <w:gridCol w:w="2835"/>
        <w:gridCol w:w="5461"/>
      </w:tblGrid>
      <w:tr w14:paraId="4DF3E7C4">
        <w:trPr>
          <w:jc w:val="center"/>
        </w:trPr>
        <w:tc>
          <w:tcPr>
            <w:tcW w:w="2835" w:type="dxa"/>
            <w:shd w:val="clear" w:color="auto" w:fill="auto"/>
          </w:tcPr>
          <w:p w14:paraId="2B22A343">
            <w:pPr>
              <w:tabs>
                <w:tab w:val="left" w:pos="7560"/>
              </w:tabs>
              <w:ind w:right="439" w:rightChars="183"/>
              <w:jc w:val="center"/>
              <w:rPr>
                <w:rFonts w:hint="default" w:eastAsia="宋体"/>
                <w:sz w:val="28"/>
                <w:lang w:val="en-US" w:eastAsia="zh-CN"/>
              </w:rPr>
            </w:pPr>
            <w:r>
              <w:rPr>
                <w:rFonts w:hint="eastAsia" w:ascii="宋体" w:hAnsi="宋体" w:eastAsia="宋体" w:cs="Times New Roman"/>
                <w:sz w:val="36"/>
                <w:szCs w:val="36"/>
                <w:lang w:val="en-US" w:eastAsia="zh-CN"/>
              </w:rPr>
              <w:t>课程名称</w:t>
            </w:r>
          </w:p>
        </w:tc>
        <w:tc>
          <w:tcPr>
            <w:tcW w:w="5461" w:type="dxa"/>
            <w:tcBorders>
              <w:bottom w:val="single" w:color="auto" w:sz="4" w:space="0"/>
            </w:tcBorders>
            <w:shd w:val="clear" w:color="auto" w:fill="auto"/>
          </w:tcPr>
          <w:p w14:paraId="5A958212">
            <w:pPr>
              <w:tabs>
                <w:tab w:val="left" w:pos="7560"/>
              </w:tabs>
              <w:ind w:right="439" w:rightChars="183"/>
              <w:jc w:val="center"/>
              <w:rPr>
                <w:rFonts w:hint="eastAsia" w:ascii="宋体" w:hAnsi="宋体" w:eastAsia="宋体"/>
                <w:sz w:val="36"/>
                <w:szCs w:val="36"/>
                <w:lang w:val="en-US" w:eastAsia="zh-CN"/>
              </w:rPr>
            </w:pPr>
            <w:r>
              <w:rPr>
                <w:rFonts w:hint="eastAsia" w:ascii="宋体" w:hAnsi="宋体"/>
                <w:sz w:val="36"/>
                <w:szCs w:val="36"/>
                <w:lang w:val="en-US" w:eastAsia="zh-CN"/>
              </w:rPr>
              <w:t>自动规划</w:t>
            </w:r>
          </w:p>
        </w:tc>
      </w:tr>
      <w:tr w14:paraId="22AB7FA5">
        <w:trPr>
          <w:jc w:val="center"/>
        </w:trPr>
        <w:tc>
          <w:tcPr>
            <w:tcW w:w="2835" w:type="dxa"/>
            <w:shd w:val="clear" w:color="auto" w:fill="auto"/>
          </w:tcPr>
          <w:p w14:paraId="3F17794B">
            <w:pPr>
              <w:tabs>
                <w:tab w:val="left" w:pos="7560"/>
              </w:tabs>
              <w:ind w:right="439" w:rightChars="183"/>
              <w:jc w:val="center"/>
              <w:rPr>
                <w:rFonts w:hint="default" w:ascii="宋体" w:hAnsi="宋体" w:eastAsia="宋体"/>
                <w:sz w:val="36"/>
                <w:szCs w:val="36"/>
                <w:lang w:val="en-US" w:eastAsia="zh-CN"/>
              </w:rPr>
            </w:pPr>
            <w:r>
              <w:rPr>
                <w:rFonts w:hint="eastAsia" w:ascii="宋体" w:hAnsi="宋体"/>
                <w:sz w:val="36"/>
                <w:szCs w:val="36"/>
                <w:lang w:val="en-US" w:eastAsia="zh-CN"/>
              </w:rPr>
              <w:t>调研方向</w:t>
            </w:r>
          </w:p>
        </w:tc>
        <w:tc>
          <w:tcPr>
            <w:tcW w:w="5461" w:type="dxa"/>
            <w:tcBorders>
              <w:top w:val="single" w:color="auto" w:sz="4" w:space="0"/>
              <w:bottom w:val="single" w:color="auto" w:sz="4" w:space="0"/>
            </w:tcBorders>
            <w:shd w:val="clear" w:color="auto" w:fill="auto"/>
          </w:tcPr>
          <w:p w14:paraId="0E997D14">
            <w:pPr>
              <w:tabs>
                <w:tab w:val="left" w:pos="7560"/>
              </w:tabs>
              <w:ind w:right="439" w:rightChars="183"/>
              <w:jc w:val="center"/>
              <w:rPr>
                <w:rFonts w:ascii="宋体" w:hAnsi="宋体"/>
                <w:sz w:val="36"/>
                <w:szCs w:val="36"/>
              </w:rPr>
            </w:pPr>
          </w:p>
        </w:tc>
      </w:tr>
    </w:tbl>
    <w:p w14:paraId="37898F62">
      <w:pPr>
        <w:tabs>
          <w:tab w:val="left" w:pos="7560"/>
        </w:tabs>
        <w:ind w:left="617" w:leftChars="257" w:right="439" w:rightChars="183"/>
        <w:rPr>
          <w:sz w:val="28"/>
        </w:rPr>
      </w:pPr>
    </w:p>
    <w:p w14:paraId="19D2E328">
      <w:pPr>
        <w:tabs>
          <w:tab w:val="left" w:pos="7560"/>
        </w:tabs>
        <w:ind w:left="617" w:leftChars="257" w:right="439" w:rightChars="183"/>
        <w:rPr>
          <w:sz w:val="28"/>
        </w:rPr>
      </w:pPr>
    </w:p>
    <w:p w14:paraId="7CA16221">
      <w:pPr>
        <w:tabs>
          <w:tab w:val="left" w:pos="7560"/>
        </w:tabs>
        <w:ind w:left="617" w:leftChars="257" w:right="439" w:rightChars="183"/>
        <w:rPr>
          <w:sz w:val="28"/>
        </w:rPr>
      </w:pPr>
    </w:p>
    <w:tbl>
      <w:tblPr>
        <w:tblStyle w:val="6"/>
        <w:tblW w:w="0" w:type="auto"/>
        <w:jc w:val="center"/>
        <w:tblLayout w:type="autofit"/>
        <w:tblCellMar>
          <w:top w:w="0" w:type="dxa"/>
          <w:left w:w="108" w:type="dxa"/>
          <w:bottom w:w="0" w:type="dxa"/>
          <w:right w:w="108" w:type="dxa"/>
        </w:tblCellMar>
      </w:tblPr>
      <w:tblGrid>
        <w:gridCol w:w="2835"/>
        <w:gridCol w:w="3652"/>
      </w:tblGrid>
      <w:tr w14:paraId="624A8A6C">
        <w:trPr>
          <w:jc w:val="center"/>
        </w:trPr>
        <w:tc>
          <w:tcPr>
            <w:tcW w:w="2835" w:type="dxa"/>
            <w:shd w:val="clear" w:color="auto" w:fill="auto"/>
          </w:tcPr>
          <w:p w14:paraId="6624F2C2">
            <w:pPr>
              <w:jc w:val="left"/>
              <w:rPr>
                <w:rFonts w:ascii="宋体" w:hAnsi="宋体"/>
                <w:sz w:val="36"/>
                <w:szCs w:val="36"/>
              </w:rPr>
            </w:pPr>
            <w:r>
              <w:rPr>
                <w:rFonts w:hint="eastAsia" w:ascii="宋体" w:hAnsi="宋体"/>
                <w:sz w:val="36"/>
                <w:szCs w:val="36"/>
                <w:lang w:val="en-US" w:eastAsia="zh-CN"/>
              </w:rPr>
              <w:t>组    别</w:t>
            </w:r>
            <w:r>
              <w:rPr>
                <w:rFonts w:hint="eastAsia" w:ascii="宋体" w:hAnsi="宋体"/>
                <w:sz w:val="36"/>
                <w:szCs w:val="36"/>
              </w:rPr>
              <w:t>：</w:t>
            </w:r>
          </w:p>
        </w:tc>
        <w:tc>
          <w:tcPr>
            <w:tcW w:w="3652" w:type="dxa"/>
            <w:tcBorders>
              <w:bottom w:val="single" w:color="auto" w:sz="4" w:space="0"/>
            </w:tcBorders>
            <w:shd w:val="clear" w:color="auto" w:fill="auto"/>
          </w:tcPr>
          <w:p w14:paraId="44D400F5">
            <w:pPr>
              <w:jc w:val="center"/>
              <w:rPr>
                <w:rFonts w:ascii="宋体" w:hAnsi="宋体"/>
                <w:sz w:val="32"/>
                <w:szCs w:val="32"/>
              </w:rPr>
            </w:pPr>
          </w:p>
        </w:tc>
      </w:tr>
      <w:tr w14:paraId="1DE75FD6">
        <w:trPr>
          <w:jc w:val="center"/>
        </w:trPr>
        <w:tc>
          <w:tcPr>
            <w:tcW w:w="2835" w:type="dxa"/>
            <w:shd w:val="clear" w:color="auto" w:fill="auto"/>
          </w:tcPr>
          <w:p w14:paraId="74CDFA29">
            <w:pPr>
              <w:jc w:val="left"/>
              <w:rPr>
                <w:rFonts w:ascii="宋体" w:hAnsi="宋体"/>
                <w:sz w:val="36"/>
                <w:szCs w:val="36"/>
              </w:rPr>
            </w:pPr>
            <w:r>
              <w:rPr>
                <w:rFonts w:hint="eastAsia" w:ascii="宋体" w:hAnsi="宋体"/>
                <w:sz w:val="36"/>
                <w:szCs w:val="36"/>
                <w:lang w:val="en-US" w:eastAsia="zh-CN"/>
              </w:rPr>
              <w:t>学号姓名</w:t>
            </w:r>
            <w:r>
              <w:rPr>
                <w:rFonts w:hint="eastAsia" w:ascii="宋体" w:hAnsi="宋体"/>
                <w:sz w:val="36"/>
                <w:szCs w:val="36"/>
              </w:rPr>
              <w:t>：</w:t>
            </w:r>
          </w:p>
        </w:tc>
        <w:tc>
          <w:tcPr>
            <w:tcW w:w="3652" w:type="dxa"/>
            <w:tcBorders>
              <w:top w:val="single" w:color="auto" w:sz="4" w:space="0"/>
              <w:bottom w:val="single" w:color="auto" w:sz="4" w:space="0"/>
            </w:tcBorders>
            <w:shd w:val="clear" w:color="auto" w:fill="auto"/>
          </w:tcPr>
          <w:p w14:paraId="6CDD944E">
            <w:pPr>
              <w:jc w:val="center"/>
              <w:rPr>
                <w:rFonts w:ascii="宋体" w:hAnsi="宋体"/>
                <w:sz w:val="32"/>
                <w:szCs w:val="32"/>
              </w:rPr>
            </w:pPr>
          </w:p>
        </w:tc>
      </w:tr>
      <w:tr w14:paraId="794DB282">
        <w:trPr>
          <w:jc w:val="center"/>
        </w:trPr>
        <w:tc>
          <w:tcPr>
            <w:tcW w:w="2835" w:type="dxa"/>
            <w:shd w:val="clear" w:color="auto" w:fill="auto"/>
          </w:tcPr>
          <w:p w14:paraId="57A0D48E">
            <w:pPr>
              <w:jc w:val="left"/>
              <w:rPr>
                <w:rFonts w:ascii="宋体" w:hAnsi="宋体"/>
                <w:sz w:val="36"/>
                <w:szCs w:val="36"/>
              </w:rPr>
            </w:pPr>
            <w:r>
              <w:rPr>
                <w:rFonts w:hint="eastAsia" w:ascii="宋体" w:hAnsi="宋体"/>
                <w:sz w:val="36"/>
                <w:szCs w:val="36"/>
                <w:lang w:val="en-US" w:eastAsia="zh-CN"/>
              </w:rPr>
              <w:t>学号姓名</w:t>
            </w:r>
            <w:r>
              <w:rPr>
                <w:rFonts w:hint="eastAsia" w:ascii="宋体" w:hAnsi="宋体"/>
                <w:sz w:val="36"/>
                <w:szCs w:val="36"/>
              </w:rPr>
              <w:t>：</w:t>
            </w:r>
          </w:p>
        </w:tc>
        <w:tc>
          <w:tcPr>
            <w:tcW w:w="3652" w:type="dxa"/>
            <w:tcBorders>
              <w:top w:val="single" w:color="auto" w:sz="4" w:space="0"/>
              <w:bottom w:val="single" w:color="auto" w:sz="4" w:space="0"/>
            </w:tcBorders>
            <w:shd w:val="clear" w:color="auto" w:fill="auto"/>
          </w:tcPr>
          <w:p w14:paraId="2AD1C2FE">
            <w:pPr>
              <w:jc w:val="center"/>
              <w:rPr>
                <w:rFonts w:ascii="宋体" w:hAnsi="宋体"/>
                <w:sz w:val="32"/>
                <w:szCs w:val="32"/>
              </w:rPr>
            </w:pPr>
          </w:p>
        </w:tc>
      </w:tr>
      <w:tr w14:paraId="7570D6A6">
        <w:trPr>
          <w:jc w:val="center"/>
        </w:trPr>
        <w:tc>
          <w:tcPr>
            <w:tcW w:w="2835" w:type="dxa"/>
            <w:shd w:val="clear" w:color="auto" w:fill="auto"/>
          </w:tcPr>
          <w:p w14:paraId="26201ACF">
            <w:pPr>
              <w:jc w:val="left"/>
              <w:rPr>
                <w:rFonts w:ascii="宋体" w:hAnsi="宋体"/>
                <w:sz w:val="36"/>
                <w:szCs w:val="36"/>
              </w:rPr>
            </w:pPr>
            <w:r>
              <w:rPr>
                <w:rFonts w:hint="eastAsia" w:ascii="宋体" w:hAnsi="宋体"/>
                <w:sz w:val="36"/>
                <w:szCs w:val="36"/>
                <w:lang w:val="en-US" w:eastAsia="zh-CN"/>
              </w:rPr>
              <w:t>学号姓名</w:t>
            </w:r>
            <w:r>
              <w:rPr>
                <w:rFonts w:hint="eastAsia" w:ascii="宋体" w:hAnsi="宋体"/>
                <w:sz w:val="36"/>
                <w:szCs w:val="36"/>
              </w:rPr>
              <w:t>：</w:t>
            </w:r>
          </w:p>
        </w:tc>
        <w:tc>
          <w:tcPr>
            <w:tcW w:w="3652" w:type="dxa"/>
            <w:tcBorders>
              <w:top w:val="single" w:color="auto" w:sz="4" w:space="0"/>
              <w:bottom w:val="single" w:color="auto" w:sz="4" w:space="0"/>
            </w:tcBorders>
            <w:shd w:val="clear" w:color="auto" w:fill="auto"/>
          </w:tcPr>
          <w:p w14:paraId="5C5918CA">
            <w:pPr>
              <w:jc w:val="center"/>
              <w:rPr>
                <w:rFonts w:ascii="宋体" w:hAnsi="宋体"/>
                <w:sz w:val="32"/>
                <w:szCs w:val="32"/>
              </w:rPr>
            </w:pPr>
          </w:p>
        </w:tc>
      </w:tr>
      <w:tr w14:paraId="385AE982">
        <w:trPr>
          <w:jc w:val="center"/>
        </w:trPr>
        <w:tc>
          <w:tcPr>
            <w:tcW w:w="2835" w:type="dxa"/>
            <w:shd w:val="clear" w:color="auto" w:fill="auto"/>
          </w:tcPr>
          <w:p w14:paraId="17FF1948">
            <w:pPr>
              <w:jc w:val="left"/>
              <w:rPr>
                <w:rFonts w:ascii="宋体" w:hAnsi="宋体"/>
                <w:sz w:val="36"/>
                <w:szCs w:val="36"/>
              </w:rPr>
            </w:pPr>
            <w:r>
              <w:rPr>
                <w:rFonts w:hint="eastAsia" w:ascii="宋体" w:hAnsi="宋体"/>
                <w:sz w:val="36"/>
                <w:szCs w:val="36"/>
              </w:rPr>
              <w:t>指导</w:t>
            </w:r>
            <w:r>
              <w:rPr>
                <w:rFonts w:ascii="宋体" w:hAnsi="宋体"/>
                <w:sz w:val="36"/>
                <w:szCs w:val="36"/>
              </w:rPr>
              <w:t>教师</w:t>
            </w:r>
            <w:r>
              <w:rPr>
                <w:rFonts w:hint="eastAsia" w:ascii="宋体" w:hAnsi="宋体"/>
                <w:sz w:val="36"/>
                <w:szCs w:val="36"/>
              </w:rPr>
              <w:t>：</w:t>
            </w:r>
          </w:p>
        </w:tc>
        <w:tc>
          <w:tcPr>
            <w:tcW w:w="3652" w:type="dxa"/>
            <w:tcBorders>
              <w:top w:val="single" w:color="auto" w:sz="4" w:space="0"/>
              <w:bottom w:val="single" w:color="auto" w:sz="4" w:space="0"/>
            </w:tcBorders>
            <w:shd w:val="clear" w:color="auto" w:fill="auto"/>
          </w:tcPr>
          <w:p w14:paraId="5E562196">
            <w:pPr>
              <w:jc w:val="center"/>
              <w:rPr>
                <w:rFonts w:ascii="宋体" w:hAnsi="宋体"/>
                <w:sz w:val="32"/>
                <w:szCs w:val="32"/>
              </w:rPr>
            </w:pPr>
            <w:r>
              <w:rPr>
                <w:rFonts w:hint="eastAsia" w:ascii="宋体" w:hAnsi="宋体"/>
                <w:sz w:val="32"/>
                <w:szCs w:val="32"/>
              </w:rPr>
              <w:t>张志政</w:t>
            </w:r>
          </w:p>
        </w:tc>
      </w:tr>
      <w:tr w14:paraId="0FCE3D50">
        <w:trPr>
          <w:jc w:val="center"/>
        </w:trPr>
        <w:tc>
          <w:tcPr>
            <w:tcW w:w="2835" w:type="dxa"/>
            <w:shd w:val="clear" w:color="auto" w:fill="auto"/>
          </w:tcPr>
          <w:p w14:paraId="3C379204">
            <w:pPr>
              <w:jc w:val="left"/>
              <w:rPr>
                <w:rFonts w:ascii="宋体" w:hAnsi="宋体"/>
                <w:sz w:val="36"/>
                <w:szCs w:val="36"/>
              </w:rPr>
            </w:pPr>
            <w:r>
              <w:rPr>
                <w:rFonts w:hint="eastAsia" w:ascii="宋体" w:hAnsi="宋体"/>
                <w:sz w:val="36"/>
                <w:szCs w:val="36"/>
                <w:lang w:val="en-US" w:eastAsia="zh-CN"/>
              </w:rPr>
              <w:t>调研</w:t>
            </w:r>
            <w:r>
              <w:rPr>
                <w:rFonts w:hint="eastAsia" w:ascii="宋体" w:hAnsi="宋体"/>
                <w:sz w:val="36"/>
                <w:szCs w:val="36"/>
              </w:rPr>
              <w:t>日期</w:t>
            </w:r>
            <w:r>
              <w:rPr>
                <w:rFonts w:ascii="宋体" w:hAnsi="宋体"/>
                <w:sz w:val="36"/>
                <w:szCs w:val="36"/>
              </w:rPr>
              <w:t>：</w:t>
            </w:r>
          </w:p>
        </w:tc>
        <w:tc>
          <w:tcPr>
            <w:tcW w:w="3652" w:type="dxa"/>
            <w:tcBorders>
              <w:top w:val="single" w:color="auto" w:sz="4" w:space="0"/>
              <w:bottom w:val="single" w:color="auto" w:sz="4" w:space="0"/>
            </w:tcBorders>
            <w:shd w:val="clear" w:color="auto" w:fill="auto"/>
          </w:tcPr>
          <w:p w14:paraId="4B36279C">
            <w:pPr>
              <w:jc w:val="center"/>
              <w:rPr>
                <w:rFonts w:hint="default" w:ascii="宋体" w:hAnsi="宋体" w:eastAsia="宋体"/>
                <w:sz w:val="32"/>
                <w:szCs w:val="32"/>
                <w:lang w:val="en-US" w:eastAsia="zh-CN"/>
              </w:rPr>
            </w:pPr>
            <w:r>
              <w:rPr>
                <w:rFonts w:hint="eastAsia" w:ascii="宋体" w:hAnsi="宋体"/>
                <w:sz w:val="32"/>
                <w:szCs w:val="32"/>
                <w:lang w:val="en-US" w:eastAsia="zh-CN"/>
              </w:rPr>
              <w:t>2024-2025秋季学期</w:t>
            </w:r>
          </w:p>
        </w:tc>
      </w:tr>
    </w:tbl>
    <w:p w14:paraId="23F84B03"/>
    <w:p w14:paraId="1FDF7B56"/>
    <w:p w14:paraId="4CF80BB3"/>
    <w:p w14:paraId="058513C0"/>
    <w:p w14:paraId="7C90A433"/>
    <w:p w14:paraId="7132F861"/>
    <w:p w14:paraId="5AAC714D"/>
    <w:p w14:paraId="6F1831EC">
      <w:pPr>
        <w:widowControl/>
        <w:jc w:val="left"/>
        <w:rPr>
          <w:rFonts w:hint="default"/>
          <w:b/>
          <w:sz w:val="24"/>
          <w:lang w:val="en-US" w:eastAsia="zh-CN"/>
        </w:rPr>
        <w:sectPr>
          <w:pgSz w:w="11906" w:h="16838"/>
          <w:pgMar w:top="720" w:right="720" w:bottom="720" w:left="720" w:header="851" w:footer="992" w:gutter="0"/>
          <w:cols w:space="720" w:num="1"/>
          <w:docGrid w:type="lines" w:linePitch="312" w:charSpace="0"/>
        </w:sectPr>
      </w:pPr>
    </w:p>
    <w:p w14:paraId="51615D2C">
      <w:pPr>
        <w:widowControl/>
        <w:numPr>
          <w:ilvl w:val="0"/>
          <w:numId w:val="1"/>
        </w:numPr>
        <w:jc w:val="left"/>
        <w:rPr>
          <w:rFonts w:hint="eastAsia" w:ascii="黑体" w:hAnsi="黑体" w:eastAsia="黑体" w:cs="黑体"/>
          <w:b w:val="0"/>
          <w:bCs/>
          <w:sz w:val="30"/>
          <w:szCs w:val="30"/>
          <w:lang w:val="en-US" w:eastAsia="zh-CN"/>
        </w:rPr>
      </w:pPr>
      <w:r>
        <w:rPr>
          <w:rFonts w:hint="eastAsia" w:ascii="黑体" w:hAnsi="黑体" w:eastAsia="黑体" w:cs="黑体"/>
          <w:b w:val="0"/>
          <w:bCs/>
          <w:sz w:val="30"/>
          <w:szCs w:val="30"/>
          <w:lang w:val="en-US" w:eastAsia="zh-CN"/>
        </w:rPr>
        <w:t>调研方向说明</w:t>
      </w:r>
    </w:p>
    <w:p w14:paraId="10C5BA89">
      <w:pPr>
        <w:widowControl/>
        <w:numPr>
          <w:ilvl w:val="1"/>
          <w:numId w:val="2"/>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所针对问题</w:t>
      </w:r>
    </w:p>
    <w:p w14:paraId="229C0DD5">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自动驾驶领域，实现类人驾驶行为并确保安全、高效、舒适是关键挑战，闭环规划正是解决这一问题的核心环节。当前，基于规则的规划方法虽在工业应用有一定成果，但依赖预定义规则，难以适应新交通状况且规则修改成本高。而基于学习的规划方法，如模仿学习，虽能从数据中学习驾驶行为，但存在诸多缺陷。这些方法难以拟合人类复杂的多模态驾驶行为，在遇到分布外（OOD）场景时，直接使用模型输出会导致规划质量低，常需依赖基于规则的方法进行轨迹优化。同时，模仿学习难以平衡多目标，缺乏安全保障，且训练好的模型难以根据特定需求灵活调整行为。</w:t>
      </w:r>
    </w:p>
    <w:p w14:paraId="5A902CFE">
      <w:pPr>
        <w:widowControl/>
        <w:numPr>
          <w:ilvl w:val="1"/>
          <w:numId w:val="2"/>
        </w:numPr>
        <w:ind w:left="0" w:leftChars="0" w:firstLine="0" w:firstLineChars="0"/>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主要难点</w:t>
      </w:r>
    </w:p>
    <w:p w14:paraId="5B40A222">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1. 多模态驾驶行为建模困难：人类在驾驶规划场景中常展现出多模态行为，现有基于学习的方法，即便采用大型Transformer架构或多轨迹采样，也难以保证对这种复杂数据分布的准确拟合。</w:t>
      </w:r>
    </w:p>
    <w:p w14:paraId="4579847A">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2. 应对分布外场景能力不足：当遇到与训练数据分布差异较大的场景时，模型输出的规划结果质量差，而依赖基于规则的方法进行轨迹优化又会引入规则式方法的固有局限。</w:t>
      </w:r>
    </w:p>
    <w:p w14:paraId="2601370D">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3. 多目标平衡与安全保障问题：仅靠模仿学习难以全面捕捉自动驾驶所需的多样驾驶行为。通过辅助损失惩罚不安全规划，易引发多目标冲突，且缺乏让智能体从错误中恢复的学习信号，导致安全性能不佳。</w:t>
      </w:r>
    </w:p>
    <w:p w14:paraId="3D6FF5B0">
      <w:pPr>
        <w:widowControl/>
        <w:numPr>
          <w:ilvl w:val="0"/>
          <w:numId w:val="0"/>
        </w:numPr>
        <w:jc w:val="left"/>
        <w:rPr>
          <w:rFonts w:hint="eastAsia" w:ascii="黑体" w:hAnsi="黑体" w:eastAsia="黑体" w:cs="黑体"/>
          <w:b w:val="0"/>
          <w:bCs/>
          <w:sz w:val="28"/>
          <w:szCs w:val="28"/>
          <w:lang w:val="en-US" w:eastAsia="zh-CN"/>
        </w:rPr>
      </w:pPr>
      <w:r>
        <w:rPr>
          <w:rFonts w:hint="eastAsia" w:asciiTheme="minorEastAsia" w:hAnsiTheme="minorEastAsia" w:eastAsiaTheme="minorEastAsia" w:cstheme="minorEastAsia"/>
          <w:b w:val="0"/>
          <w:bCs/>
          <w:sz w:val="24"/>
          <w:szCs w:val="24"/>
          <w:lang w:val="en-US" w:eastAsia="zh-CN"/>
        </w:rPr>
        <w:t xml:space="preserve">4. 模型灵活性欠缺：训练好的模型难以根据用户的不同需求，如不同的安全偏好、驾驶风格偏好等，灵活调整规划行为，在实际应用中适应性不足。 </w:t>
      </w:r>
    </w:p>
    <w:p w14:paraId="62A30A9D">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1.3</w:t>
      </w:r>
      <w:r>
        <w:rPr>
          <w:rFonts w:hint="default" w:ascii="黑体" w:hAnsi="黑体" w:eastAsia="黑体" w:cs="黑体"/>
          <w:b w:val="0"/>
          <w:bCs/>
          <w:sz w:val="28"/>
          <w:szCs w:val="28"/>
          <w:lang w:val="en-US" w:eastAsia="zh-CN"/>
        </w:rPr>
        <w:t xml:space="preserve">. </w:t>
      </w:r>
      <w:bookmarkStart w:id="0" w:name="_GoBack"/>
      <w:bookmarkEnd w:id="0"/>
      <w:r>
        <w:rPr>
          <w:rFonts w:hint="eastAsia" w:ascii="黑体" w:hAnsi="黑体" w:eastAsia="黑体" w:cs="黑体"/>
          <w:b w:val="0"/>
          <w:bCs/>
          <w:sz w:val="28"/>
          <w:szCs w:val="28"/>
          <w:lang w:val="en-US" w:eastAsia="zh-CN"/>
        </w:rPr>
        <w:t>调研方法</w:t>
      </w:r>
    </w:p>
    <w:p w14:paraId="5EE2F988">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论文《DIFFUSION-BASED PLANNING FOR AUTONOMOUS DRIVING WITH FLEXIBLE GUIDANCE》在研究过程中参考了大量论文，这些论文从多个方面为研究提供了思路、方法和对比依据，具体如下：</w:t>
      </w:r>
    </w:p>
    <w:p w14:paraId="121F3657">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1. 自动驾驶规划方法相关：涉及规则和学习两类规划方法的研究，如规则式方法中引用了Treiber等人2000年、Fan等人2018年以及Dauner等人2023年的成果，它们依靠预定义规则，在工业应用有一定成果，但处理新情况能力有限；学习式方法方面，引用Bojarski等人2016年、Kendall等人2019年、Hawke等人2020年基于CNN或RNN的行为克隆研究，以及Scheel等人2021年、Chitta等人2022年基于Transformer的研究，这些方法虽流行但存在模拟多模态行为能力不足、依赖规则优化等问题，为本文提出Diffusion Planner模型提供了背景和改进方向。</w:t>
      </w:r>
    </w:p>
    <w:p w14:paraId="6424DAD9">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2. 扩散模型相关：引用了Sohl-Dickstein等人2015年、Ho等人2020年关于扩散概率模型的基础研究，以及Song等人2021年关于扩散ODE的研究，介绍了扩散模型通过反向马尔可夫链生成输出的原理；还引用Dhariwal和Nichol在2021年提出的分类器引导技术，用于在采样过程中生成偏好数据，为本文利用扩散模型的特性改进自动驾驶规划奠定了理论基础。</w:t>
      </w:r>
    </w:p>
    <w:p w14:paraId="559D03BA">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3. 相关领域应用扩散模型的研究：包括Janner等人2022年、Chi等人2023年、Liu等人2025年在决策领域对扩散模型的探索，Jiang等人2023年在运动预测、Zhong等人2023年在交通模拟中应用扩散模型的研究，以及Hu等人2024年、Yang等人2024年、Sun等人2023年在规划中使用扩散模型的工作。这些研究在应用中存在的问题，如关注开环性能、依赖后处理等，凸显了本文研究的创新性和必要性。</w:t>
      </w:r>
    </w:p>
    <w:p w14:paraId="42993E92">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4. 数据集和基准测试相关：参考Caesar等人2021年提出的nuPlan，这是一个闭环机器学习规划基准，为本文评估Diffusion Planner模型性能提供了重要平台；还提及作者新收集的200小时配送车驾驶数据集，用于验证模型在不同驾驶场景和行为下的性能、可转移性和鲁棒性。</w:t>
      </w:r>
    </w:p>
    <w:p w14:paraId="1897E809">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5. 实验方法和对比研究相关：在实验设计上，借鉴众多前人研究的数据处理、模型训练和评估方法。对比研究中，将Diffusion Planner与IDM、PDM、UrbanDriver、GameFormer、PlanTF、PLUTO等多种基线方法比较，还与Diffusion-es、STR - 16M、STR2 - CPKS - 800M等基于扩散模型的规划方法对比，从而凸显Diffusion Planner的优势 。 </w:t>
      </w:r>
    </w:p>
    <w:p w14:paraId="7DF53C4A">
      <w:pPr>
        <w:widowControl/>
        <w:numPr>
          <w:ilvl w:val="0"/>
          <w:numId w:val="0"/>
        </w:numPr>
        <w:jc w:val="left"/>
        <w:rPr>
          <w:rFonts w:hint="default" w:asciiTheme="minorEastAsia" w:hAnsiTheme="minorEastAsia" w:eastAsiaTheme="minorEastAsia" w:cstheme="minorEastAsia"/>
          <w:b w:val="0"/>
          <w:bCs/>
          <w:sz w:val="24"/>
          <w:szCs w:val="24"/>
          <w:lang w:val="en-US" w:eastAsia="zh-CN"/>
        </w:rPr>
      </w:pPr>
    </w:p>
    <w:p w14:paraId="04949024">
      <w:pPr>
        <w:widowControl/>
        <w:numPr>
          <w:ilvl w:val="0"/>
          <w:numId w:val="1"/>
        </w:numPr>
        <w:jc w:val="left"/>
        <w:rPr>
          <w:rFonts w:hint="eastAsia" w:asciiTheme="minorEastAsia" w:hAnsiTheme="minorEastAsia" w:eastAsiaTheme="minorEastAsia" w:cstheme="minorEastAsia"/>
          <w:b w:val="0"/>
          <w:bCs/>
          <w:sz w:val="24"/>
          <w:szCs w:val="24"/>
          <w:lang w:val="en-US" w:eastAsia="zh-CN"/>
        </w:rPr>
      </w:pPr>
      <w:r>
        <w:rPr>
          <w:rFonts w:hint="eastAsia" w:ascii="黑体" w:hAnsi="黑体" w:eastAsia="黑体" w:cs="黑体"/>
          <w:b w:val="0"/>
          <w:bCs/>
          <w:sz w:val="30"/>
          <w:szCs w:val="30"/>
          <w:lang w:val="en-US" w:eastAsia="zh-CN"/>
        </w:rPr>
        <w:t>国内外研究现状</w:t>
      </w:r>
    </w:p>
    <w:p w14:paraId="0900DC73">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在自动驾驶领域，国内外学者和机构积极探索，旨在实现安全、高效、智能的驾驶愿景。以下从常见技术方案、工作进展、主要成果三个方面阐述该领域的研究现状：</w:t>
      </w:r>
    </w:p>
    <w:p w14:paraId="24570E3D">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常见技术方案</w:t>
      </w:r>
    </w:p>
    <w:p w14:paraId="5AC5DB01">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 基于规则的规划方法：在工业应用中取得了初步成功，它通过定义驾驶行为和建立源于人类知识的边界来指导自动驾驶车辆的决策。不过，该方法对新交通情况的适应性差，修改规则需要大量工程工作 。</w:t>
      </w:r>
    </w:p>
    <w:p w14:paraId="16EA6104">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 基于学习的规划方法：利用行为克隆等方法从收集的数据集中学习人类驾驶行为，近年来在自动驾驶领域尤其是端到端训练中受到广泛关注。然而，现有方法在模拟多模态驾驶行为方面缺乏理论保障，在闭环规划中容易积累误差，且输出不可控、缺乏安全保证，难以根据用户需求调整 。</w:t>
      </w:r>
    </w:p>
    <w:p w14:paraId="5DB41B23">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工作进展</w:t>
      </w:r>
    </w:p>
    <w:p w14:paraId="5783EB28">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 多模态驾驶行为建模：研究人员尝试利用强大的模型架构和采样技术来捕捉人类多模态驾驶行为，但现有方法仍难以保证对复杂数据分布的拟合。</w:t>
      </w:r>
    </w:p>
    <w:p w14:paraId="06A942AD">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 应对分布外场景：当遇到分布外场景时，许多基于学习的方法依赖基于规则的方法进行轨迹优化或筛选，这限制了其性能和适应性。</w:t>
      </w:r>
    </w:p>
    <w:p w14:paraId="4D089900">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 提升安全性能：现有方法通过辅助损失惩罚不安全规划，但容易导致多目标冲突和安全性能不佳，因为缺乏让智能体从错误中恢复的学习信号 。</w:t>
      </w:r>
    </w:p>
    <w:p w14:paraId="16C05487">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主要成果</w:t>
      </w:r>
    </w:p>
    <w:p w14:paraId="758126A3">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 数据集和基准测试：出现了如nuPlan这样的大规模真实世界自动驾驶规划基准，以及为验证算法性能而收集的各类数据集，推动了自动驾驶技术的发展和评估。</w:t>
      </w:r>
    </w:p>
    <w:p w14:paraId="4B0FBD4F">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 模型和算法改进：提出了Diffusion Planner等创新模型，利用扩散模型的强大能力有效模拟多模态驾驶行为，确保轨迹质量，实现安全和自适应的规划行为，在nuPlan基准测试和新收集的配送车驾驶数据集上均取得了优异的闭环性能 。</w:t>
      </w:r>
    </w:p>
    <w:p w14:paraId="5AC1A3BA">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 技术验证和应用拓展：在自动驾驶试点工作中，百余家创新主体投入自动驾驶车辆1000余台，在多个城市实现了自动驾驶出行服务准商业化运行，在多个港口部署了自动驾驶集卡或水平运输设备并实现常态化运行，促进了多源感知数据融合、自动驾驶车辆管理和调度等技术的提升 。</w:t>
      </w:r>
    </w:p>
    <w:p w14:paraId="6A920C65">
      <w:pPr>
        <w:widowControl/>
        <w:numPr>
          <w:ilvl w:val="0"/>
          <w:numId w:val="0"/>
        </w:numPr>
        <w:jc w:val="left"/>
        <w:rPr>
          <w:rFonts w:hint="eastAsia" w:asciiTheme="minorEastAsia" w:hAnsiTheme="minorEastAsia" w:eastAsiaTheme="minorEastAsia" w:cstheme="minorEastAsia"/>
          <w:b w:val="0"/>
          <w:bCs/>
          <w:sz w:val="24"/>
          <w:szCs w:val="24"/>
          <w:lang w:val="en-US" w:eastAsia="zh-CN"/>
        </w:rPr>
      </w:pPr>
    </w:p>
    <w:p w14:paraId="0CCB4146">
      <w:pPr>
        <w:widowControl/>
        <w:numPr>
          <w:ilvl w:val="0"/>
          <w:numId w:val="0"/>
        </w:numPr>
        <w:jc w:val="left"/>
        <w:rPr>
          <w:rFonts w:hint="eastAsia" w:ascii="黑体" w:hAnsi="黑体" w:eastAsia="黑体" w:cs="黑体"/>
          <w:b w:val="0"/>
          <w:bCs/>
          <w:sz w:val="30"/>
          <w:szCs w:val="30"/>
          <w:lang w:val="en-US" w:eastAsia="zh-CN"/>
        </w:rPr>
      </w:pPr>
      <w:r>
        <w:rPr>
          <w:rFonts w:hint="eastAsia" w:asciiTheme="minorEastAsia" w:hAnsiTheme="minorEastAsia" w:eastAsiaTheme="minorEastAsia" w:cstheme="minorEastAsia"/>
          <w:b w:val="0"/>
          <w:bCs/>
          <w:sz w:val="24"/>
          <w:szCs w:val="24"/>
          <w:lang w:val="en-US" w:eastAsia="zh-CN"/>
        </w:rPr>
        <w:t xml:space="preserve">自动驾驶领域在技术方案探索、实际应用推进和理论研究深化等方面均取得了显著进展，但仍面临诸多挑战，如进一步提高模型对复杂场景的适应性、提升安全性和可靠性等，需要学术界和工业界持续关注和研究。 </w:t>
      </w:r>
    </w:p>
    <w:p w14:paraId="46F77865">
      <w:pPr>
        <w:widowControl/>
        <w:numPr>
          <w:ilvl w:val="0"/>
          <w:numId w:val="1"/>
        </w:numPr>
        <w:jc w:val="left"/>
        <w:rPr>
          <w:rFonts w:hint="eastAsia" w:ascii="黑体" w:hAnsi="黑体" w:eastAsia="黑体" w:cs="黑体"/>
          <w:b w:val="0"/>
          <w:bCs/>
          <w:sz w:val="30"/>
          <w:szCs w:val="30"/>
          <w:lang w:val="en-US" w:eastAsia="zh-CN"/>
        </w:rPr>
      </w:pPr>
      <w:r>
        <w:rPr>
          <w:rFonts w:hint="eastAsia" w:ascii="黑体" w:hAnsi="黑体" w:eastAsia="黑体" w:cs="黑体"/>
          <w:b w:val="0"/>
          <w:bCs/>
          <w:sz w:val="30"/>
          <w:szCs w:val="30"/>
          <w:lang w:val="en-US" w:eastAsia="zh-CN"/>
        </w:rPr>
        <w:t>主要难题</w:t>
      </w:r>
    </w:p>
    <w:p w14:paraId="0C32CFB3">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多模态行为建模不足</w:t>
      </w:r>
    </w:p>
    <w:p w14:paraId="70BF7F9C">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人类驾驶在复杂场景中常表现出多样化行为（如路口转向的不同选择），但现有基于模仿学习的方法（如行为克隆）难以拟合这种复杂数据分布，即使采用大型Transformer架构或多轨迹采样，仍缺乏理论保证。</w:t>
      </w:r>
    </w:p>
    <w:p w14:paraId="17884BDB">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例如，传统方法在遇到需要灵活决策的场景时，可能因无法覆盖所有模态而导致规划质量下降。</w:t>
      </w:r>
    </w:p>
    <w:p w14:paraId="5D68A6A8">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分布外（OOD）场景鲁棒性差</w:t>
      </w:r>
    </w:p>
    <w:p w14:paraId="613E1BE0">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当遇到训练数据外的场景时，模型直接输出可能产生低质量轨迹，迫使现有方法依赖基于规则的后处理（如轨迹优化或过滤），但这也继承了规则方法适应性差的固有缺陷。</w:t>
      </w:r>
    </w:p>
    <w:p w14:paraId="2B3D7E6F">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例如，在罕见交通状况下，依赖规则修正的方法可能因规则未覆盖该场景而失效。</w:t>
      </w:r>
    </w:p>
    <w:p w14:paraId="0D811A94">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多目标冲突与安全保障不足</w:t>
      </w:r>
    </w:p>
    <w:p w14:paraId="406209ED">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模仿学习难以捕捉自动驾驶所需的多样化行为，通过辅助损失惩罚不安全规划时，常因缺乏引导模型从错误中恢复的学习信号，导致多目标冲突和安全性能不佳。</w:t>
      </w:r>
    </w:p>
    <w:p w14:paraId="24A3D3CB">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例如，同时优化安全性和舒适性时，传统方法可能因损失函数设计不当而无法平衡两者。</w:t>
      </w:r>
    </w:p>
    <w:p w14:paraId="259F0EF5">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行为灵活性与实时调整困难</w:t>
      </w:r>
    </w:p>
    <w:p w14:paraId="4D4FD6FF">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训练好的模型难以根据实时需求调整行为（如用户偏好的驾驶风格），现有方法需额外训练或复杂设计，缺乏灵活性。</w:t>
      </w:r>
    </w:p>
    <w:p w14:paraId="459EF517">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例如，用户希望临时切换为更保守的驾驶模式时，传统模型可能无法快速适应。</w:t>
      </w:r>
    </w:p>
    <w:p w14:paraId="4EE302C7">
      <w:pPr>
        <w:widowControl/>
        <w:numPr>
          <w:ilvl w:val="0"/>
          <w:numId w:val="0"/>
        </w:numPr>
        <w:jc w:val="left"/>
        <w:rPr>
          <w:rFonts w:hint="eastAsia" w:asciiTheme="minorEastAsia" w:hAnsiTheme="minorEastAsia" w:eastAsiaTheme="minorEastAsia" w:cstheme="minorEastAsia"/>
          <w:b w:val="0"/>
          <w:bCs/>
          <w:sz w:val="24"/>
          <w:szCs w:val="24"/>
          <w:lang w:val="en-US" w:eastAsia="zh-CN"/>
        </w:rPr>
      </w:pPr>
    </w:p>
    <w:p w14:paraId="4A4836D1">
      <w:pPr>
        <w:widowControl/>
        <w:numPr>
          <w:ilvl w:val="0"/>
          <w:numId w:val="1"/>
        </w:numPr>
        <w:jc w:val="left"/>
        <w:rPr>
          <w:rFonts w:hint="eastAsia" w:ascii="黑体" w:hAnsi="黑体" w:eastAsia="黑体" w:cs="黑体"/>
          <w:b w:val="0"/>
          <w:bCs/>
          <w:sz w:val="30"/>
          <w:szCs w:val="30"/>
          <w:lang w:val="en-US" w:eastAsia="zh-CN"/>
        </w:rPr>
      </w:pPr>
      <w:r>
        <w:rPr>
          <w:rFonts w:hint="eastAsia" w:ascii="黑体" w:hAnsi="黑体" w:eastAsia="黑体" w:cs="黑体"/>
          <w:b w:val="0"/>
          <w:bCs/>
          <w:sz w:val="30"/>
          <w:szCs w:val="30"/>
          <w:lang w:val="en-US" w:eastAsia="zh-CN"/>
        </w:rPr>
        <w:t>常见技术方案</w:t>
      </w:r>
    </w:p>
    <w:p w14:paraId="15D2491A">
      <w:pPr>
        <w:widowControl/>
        <w:numPr>
          <w:ilvl w:val="0"/>
          <w:numId w:val="0"/>
        </w:numPr>
        <w:jc w:val="left"/>
        <w:rPr>
          <w:rFonts w:hint="eastAsia" w:ascii="黑体" w:hAnsi="黑体" w:eastAsia="黑体" w:cs="黑体"/>
          <w:b w:val="0"/>
          <w:bCs/>
          <w:sz w:val="30"/>
          <w:szCs w:val="30"/>
          <w:lang w:val="en-US" w:eastAsia="zh-CN"/>
        </w:rPr>
      </w:pPr>
      <w:r>
        <w:rPr>
          <w:rFonts w:hint="eastAsia" w:asciiTheme="minorEastAsia" w:hAnsiTheme="minorEastAsia" w:eastAsiaTheme="minorEastAsia" w:cstheme="minorEastAsia"/>
          <w:b w:val="0"/>
          <w:bCs/>
          <w:sz w:val="24"/>
          <w:szCs w:val="24"/>
          <w:lang w:val="en-US" w:eastAsia="zh-CN"/>
        </w:rPr>
        <w:t>（详细说明常见的技术方案）</w:t>
      </w:r>
    </w:p>
    <w:p w14:paraId="7757A359">
      <w:pPr>
        <w:widowControl/>
        <w:numPr>
          <w:ilvl w:val="0"/>
          <w:numId w:val="1"/>
        </w:numPr>
        <w:jc w:val="left"/>
        <w:rPr>
          <w:rFonts w:hint="eastAsia" w:ascii="黑体" w:hAnsi="黑体" w:eastAsia="黑体" w:cs="黑体"/>
          <w:b w:val="0"/>
          <w:bCs/>
          <w:sz w:val="30"/>
          <w:szCs w:val="30"/>
          <w:lang w:val="en-US" w:eastAsia="zh-CN"/>
        </w:rPr>
      </w:pPr>
      <w:r>
        <w:rPr>
          <w:rFonts w:hint="eastAsia" w:ascii="黑体" w:hAnsi="黑体" w:eastAsia="黑体" w:cs="黑体"/>
          <w:b w:val="0"/>
          <w:bCs/>
          <w:sz w:val="30"/>
          <w:szCs w:val="30"/>
          <w:lang w:val="en-US" w:eastAsia="zh-CN"/>
        </w:rPr>
        <w:t>常见实验设计和测试指标</w:t>
      </w:r>
    </w:p>
    <w:p w14:paraId="16EC5873">
      <w:pPr>
        <w:widowControl/>
        <w:numPr>
          <w:ilvl w:val="0"/>
          <w:numId w:val="0"/>
        </w:numPr>
        <w:jc w:val="left"/>
        <w:rPr>
          <w:rFonts w:hint="eastAsia" w:ascii="黑体" w:hAnsi="黑体" w:eastAsia="黑体" w:cs="黑体"/>
          <w:b w:val="0"/>
          <w:bCs/>
          <w:sz w:val="30"/>
          <w:szCs w:val="30"/>
          <w:lang w:val="en-US" w:eastAsia="zh-CN"/>
        </w:rPr>
      </w:pPr>
      <w:r>
        <w:rPr>
          <w:rFonts w:hint="eastAsia" w:asciiTheme="minorEastAsia" w:hAnsiTheme="minorEastAsia" w:eastAsiaTheme="minorEastAsia" w:cstheme="minorEastAsia"/>
          <w:b w:val="0"/>
          <w:bCs/>
          <w:sz w:val="24"/>
          <w:szCs w:val="24"/>
          <w:lang w:val="en-US" w:eastAsia="zh-CN"/>
        </w:rPr>
        <w:t>（在调研基础上，简要介绍常见测试方法、测试数据、测试指标等方面）</w:t>
      </w:r>
    </w:p>
    <w:p w14:paraId="44A17B36">
      <w:pPr>
        <w:widowControl/>
        <w:numPr>
          <w:ilvl w:val="0"/>
          <w:numId w:val="1"/>
        </w:numPr>
        <w:jc w:val="left"/>
        <w:rPr>
          <w:rFonts w:hint="eastAsia" w:ascii="黑体" w:hAnsi="黑体" w:eastAsia="黑体" w:cs="黑体"/>
          <w:b w:val="0"/>
          <w:bCs/>
          <w:sz w:val="30"/>
          <w:szCs w:val="30"/>
          <w:lang w:val="en-US" w:eastAsia="zh-CN"/>
        </w:rPr>
      </w:pPr>
      <w:r>
        <w:rPr>
          <w:rFonts w:hint="eastAsia" w:ascii="黑体" w:hAnsi="黑体" w:eastAsia="黑体" w:cs="黑体"/>
          <w:b w:val="0"/>
          <w:bCs/>
          <w:sz w:val="30"/>
          <w:szCs w:val="30"/>
          <w:lang w:val="en-US" w:eastAsia="zh-CN"/>
        </w:rPr>
        <w:t>分析：存在问题和感受</w:t>
      </w:r>
    </w:p>
    <w:p w14:paraId="0DD06F3A">
      <w:pPr>
        <w:widowControl/>
        <w:numPr>
          <w:ilvl w:val="0"/>
          <w:numId w:val="0"/>
        </w:numPr>
        <w:jc w:val="left"/>
        <w:rPr>
          <w:rFonts w:hint="eastAsia" w:ascii="黑体" w:hAnsi="黑体" w:eastAsia="黑体" w:cs="黑体"/>
          <w:b w:val="0"/>
          <w:bCs/>
          <w:sz w:val="30"/>
          <w:szCs w:val="30"/>
          <w:lang w:val="en-US" w:eastAsia="zh-CN"/>
        </w:rPr>
      </w:pPr>
      <w:r>
        <w:rPr>
          <w:rFonts w:hint="eastAsia" w:asciiTheme="minorEastAsia" w:hAnsiTheme="minorEastAsia" w:eastAsiaTheme="minorEastAsia" w:cstheme="minorEastAsia"/>
          <w:b w:val="0"/>
          <w:bCs/>
          <w:sz w:val="24"/>
          <w:szCs w:val="24"/>
          <w:lang w:val="en-US" w:eastAsia="zh-CN"/>
        </w:rPr>
        <w:t>（在调研基础上，简要介绍本方向目前存在的问题）</w:t>
      </w:r>
    </w:p>
    <w:p w14:paraId="2F67F141">
      <w:pPr>
        <w:widowControl/>
        <w:numPr>
          <w:ilvl w:val="0"/>
          <w:numId w:val="1"/>
        </w:numPr>
        <w:jc w:val="left"/>
        <w:rPr>
          <w:rFonts w:hint="eastAsia" w:ascii="黑体" w:hAnsi="黑体" w:eastAsia="黑体" w:cs="黑体"/>
          <w:b w:val="0"/>
          <w:bCs/>
          <w:sz w:val="30"/>
          <w:szCs w:val="30"/>
          <w:lang w:val="en-US" w:eastAsia="zh-CN"/>
        </w:rPr>
      </w:pPr>
      <w:r>
        <w:rPr>
          <w:rFonts w:hint="eastAsia" w:ascii="黑体" w:hAnsi="黑体" w:eastAsia="黑体" w:cs="黑体"/>
          <w:b w:val="0"/>
          <w:bCs/>
          <w:sz w:val="30"/>
          <w:szCs w:val="30"/>
          <w:lang w:val="en-US" w:eastAsia="zh-CN"/>
        </w:rPr>
        <w:t>复现情况说明</w:t>
      </w:r>
    </w:p>
    <w:p w14:paraId="5EF1DA77">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7.1代码实现</w:t>
      </w:r>
    </w:p>
    <w:p w14:paraId="63F0F94C">
      <w:pPr>
        <w:bidi w:val="0"/>
        <w:rPr>
          <w:rFonts w:hint="eastAsia" w:eastAsia="宋体"/>
          <w:lang w:eastAsia="zh-CN"/>
        </w:rPr>
      </w:pPr>
      <w:r>
        <w:rPr>
          <w:rFonts w:hint="eastAsia"/>
          <w:lang w:eastAsia="zh-CN"/>
        </w:rPr>
        <w:t>（</w:t>
      </w:r>
      <w:r>
        <w:rPr>
          <w:rFonts w:hint="eastAsia"/>
          <w:lang w:val="en-US" w:eastAsia="zh-CN"/>
        </w:rPr>
        <w:t>参考官方代码仓库</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"https://github.com/ZhengYinan-AIR/Diffusion-Planner" </w:instrText>
      </w:r>
      <w:r>
        <w:rPr>
          <w:rFonts w:ascii="宋体" w:hAnsi="宋体" w:eastAsia="宋体" w:cs="宋体"/>
          <w:sz w:val="24"/>
          <w:szCs w:val="24"/>
        </w:rPr>
        <w:fldChar w:fldCharType="separate"/>
      </w:r>
      <w:r>
        <w:rPr>
          <w:rStyle w:val="11"/>
          <w:rFonts w:ascii="宋体" w:hAnsi="宋体" w:eastAsia="宋体" w:cs="宋体"/>
          <w:sz w:val="24"/>
          <w:szCs w:val="24"/>
        </w:rPr>
        <w:t>Diffusion-Planner</w:t>
      </w:r>
      <w:r>
        <w:rPr>
          <w:rFonts w:ascii="宋体" w:hAnsi="宋体" w:eastAsia="宋体" w:cs="宋体"/>
          <w:sz w:val="24"/>
          <w:szCs w:val="24"/>
        </w:rPr>
        <w:fldChar w:fldCharType="end"/>
      </w:r>
      <w:r>
        <w:rPr>
          <w:rFonts w:hint="eastAsia"/>
          <w:lang w:eastAsia="zh-CN"/>
        </w:rPr>
        <w:t>）</w:t>
      </w:r>
    </w:p>
    <w:p w14:paraId="147589FD">
      <w:pPr>
        <w:bidi w:val="0"/>
        <w:rPr>
          <w:rFonts w:hint="eastAsia" w:eastAsia="宋体"/>
          <w:lang w:val="en-US" w:eastAsia="zh-CN"/>
        </w:rPr>
      </w:pPr>
      <w:r>
        <w:t>Diffusion Planner 的实现流程可以分为数据预处理、模型训练、推理过程三个主要部分，下面将进行详细介绍。</w:t>
      </w:r>
    </w:p>
    <w:p w14:paraId="5C23D5E0">
      <w:pPr>
        <w:bidi w:val="0"/>
      </w:pPr>
    </w:p>
    <w:p w14:paraId="52A01AC9">
      <w:pPr>
        <w:bidi w:val="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7.1.1 数据预处理</w:t>
      </w:r>
    </w:p>
    <w:p w14:paraId="0C94272B">
      <w:pPr>
        <w:bidi w:val="0"/>
        <w:jc w:val="center"/>
        <w:rPr>
          <w:rFonts w:hint="default" w:ascii="黑体" w:hAnsi="黑体" w:eastAsia="黑体" w:cs="黑体"/>
          <w:sz w:val="24"/>
          <w:szCs w:val="24"/>
          <w:lang w:val="en-US" w:eastAsia="zh-CN"/>
        </w:rPr>
      </w:pPr>
      <w:r>
        <w:drawing>
          <wp:inline distT="0" distB="0" distL="114300" distR="114300">
            <wp:extent cx="5011420" cy="2762250"/>
            <wp:effectExtent l="0" t="0" r="2540" b="11430"/>
            <wp:docPr id="7" name="图片 6" descr="四个数据处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四个数据处理模块"/>
                    <pic:cNvPicPr>
                      <a:picLocks noChangeAspect="1"/>
                    </pic:cNvPicPr>
                  </pic:nvPicPr>
                  <pic:blipFill>
                    <a:blip r:embed="rId5"/>
                    <a:stretch>
                      <a:fillRect/>
                    </a:stretch>
                  </pic:blipFill>
                  <pic:spPr>
                    <a:xfrm>
                      <a:off x="0" y="0"/>
                      <a:ext cx="5011420" cy="2762250"/>
                    </a:xfrm>
                    <a:prstGeom prst="rect">
                      <a:avLst/>
                    </a:prstGeom>
                  </pic:spPr>
                </pic:pic>
              </a:graphicData>
            </a:graphic>
          </wp:inline>
        </w:drawing>
      </w:r>
    </w:p>
    <w:p w14:paraId="151B5B6C">
      <w:pPr>
        <w:bidi w:val="0"/>
        <w:rPr>
          <w:rFonts w:hint="eastAsia"/>
          <w:lang w:val="en-US" w:eastAsia="zh-CN"/>
        </w:rPr>
      </w:pPr>
      <w:r>
        <w:rPr>
          <w:rFonts w:hint="eastAsia"/>
          <w:lang w:val="en-US" w:eastAsia="zh-CN"/>
        </w:rPr>
        <w:t>项目使用了NuPlan数据集，这是一个广泛用于自动驾驶领域的数据集。数据预处理阶段包含以下四个专用模块，每个模块有其明确的功能与作用</w:t>
      </w:r>
    </w:p>
    <w:p w14:paraId="1C0D4D77">
      <w:pPr>
        <w:bidi w:val="0"/>
        <w:rPr>
          <w:rFonts w:hint="eastAsia"/>
          <w:b/>
          <w:bCs/>
          <w:lang w:val="en-US" w:eastAsia="zh-CN"/>
        </w:rPr>
      </w:pPr>
      <w:r>
        <w:rPr>
          <w:rFonts w:hint="eastAsia"/>
          <w:b/>
          <w:bCs/>
          <w:lang w:val="en-US" w:eastAsia="zh-CN"/>
        </w:rPr>
        <w:t>EgoProcessor（自车状态信息处理模块）：</w:t>
      </w:r>
    </w:p>
    <w:p w14:paraId="1BB6E8BA">
      <w:pPr>
        <w:numPr>
          <w:ilvl w:val="0"/>
          <w:numId w:val="3"/>
        </w:numPr>
        <w:bidi w:val="0"/>
        <w:ind w:left="420" w:leftChars="0" w:hanging="420" w:firstLineChars="0"/>
        <w:rPr>
          <w:rFonts w:hint="eastAsia"/>
          <w:lang w:val="en-US" w:eastAsia="zh-CN"/>
        </w:rPr>
      </w:pPr>
      <w:r>
        <w:rPr>
          <w:rFonts w:hint="eastAsia"/>
          <w:lang w:val="en-US" w:eastAsia="zh-CN"/>
        </w:rPr>
        <w:t>提取自车实时的详细状态信息，包括当前位置、速度、加速度、转向角和偏航率。</w:t>
      </w:r>
    </w:p>
    <w:p w14:paraId="7A11F10B">
      <w:pPr>
        <w:numPr>
          <w:ilvl w:val="0"/>
          <w:numId w:val="3"/>
        </w:numPr>
        <w:bidi w:val="0"/>
        <w:ind w:left="420" w:leftChars="0" w:hanging="420" w:firstLineChars="0"/>
        <w:rPr>
          <w:rFonts w:hint="eastAsia"/>
          <w:lang w:val="en-US" w:eastAsia="zh-CN"/>
        </w:rPr>
      </w:pPr>
      <w:r>
        <w:rPr>
          <w:rFonts w:hint="eastAsia"/>
          <w:lang w:val="en-US" w:eastAsia="zh-CN"/>
        </w:rPr>
        <w:t>这些信息用于确定自车当前状态与运动趋势，为轨迹规划提供基础数据。在推理过程中，车辆的当前状态作为轨迹生成的起始约束条件，保证生成的轨迹在物理上是连续的。</w:t>
      </w:r>
    </w:p>
    <w:p w14:paraId="5A8FBB34">
      <w:pPr>
        <w:bidi w:val="0"/>
        <w:rPr>
          <w:rFonts w:hint="eastAsia"/>
          <w:b/>
          <w:bCs/>
          <w:lang w:val="en-US" w:eastAsia="zh-CN"/>
        </w:rPr>
      </w:pPr>
      <w:r>
        <w:rPr>
          <w:rFonts w:hint="eastAsia"/>
          <w:b/>
          <w:bCs/>
          <w:lang w:val="en-US" w:eastAsia="zh-CN"/>
        </w:rPr>
        <w:t>AgentProcessor（周围物体信息处理模块）：</w:t>
      </w:r>
    </w:p>
    <w:p w14:paraId="30674C59">
      <w:pPr>
        <w:numPr>
          <w:ilvl w:val="0"/>
          <w:numId w:val="3"/>
        </w:numPr>
        <w:bidi w:val="0"/>
        <w:ind w:left="420" w:leftChars="0" w:hanging="420" w:firstLineChars="0"/>
        <w:rPr>
          <w:rFonts w:hint="eastAsia"/>
          <w:lang w:val="en-US" w:eastAsia="zh-CN"/>
        </w:rPr>
      </w:pPr>
      <w:r>
        <w:rPr>
          <w:rFonts w:hint="eastAsia"/>
          <w:lang w:val="en-US" w:eastAsia="zh-CN"/>
        </w:rPr>
        <w:t>处理周围动态物体（车辆、行人、自行车）历史运动轨迹信息，包括位置、方向、速度、尺寸、类型等数据。</w:t>
      </w:r>
    </w:p>
    <w:p w14:paraId="3278CD70">
      <w:pPr>
        <w:numPr>
          <w:ilvl w:val="0"/>
          <w:numId w:val="3"/>
        </w:numPr>
        <w:bidi w:val="0"/>
        <w:ind w:left="420" w:leftChars="0" w:hanging="420" w:firstLineChars="0"/>
        <w:rPr>
          <w:rFonts w:hint="eastAsia"/>
          <w:lang w:val="en-US" w:eastAsia="zh-CN"/>
        </w:rPr>
      </w:pPr>
      <w:r>
        <w:rPr>
          <w:rFonts w:hint="eastAsia"/>
          <w:lang w:val="en-US" w:eastAsia="zh-CN"/>
        </w:rPr>
        <w:t>周围物体的历史轨迹数据通过编码器处理后，作为交叉注意力的上下文信息影响轨迹生成。这些信息帮助模型预测周围车辆未来可能的运动轨迹，避免潜在的碰撞风险。</w:t>
      </w:r>
    </w:p>
    <w:p w14:paraId="29C89395">
      <w:pPr>
        <w:bidi w:val="0"/>
        <w:rPr>
          <w:rFonts w:hint="eastAsia"/>
          <w:b/>
          <w:bCs/>
          <w:lang w:val="en-US" w:eastAsia="zh-CN"/>
        </w:rPr>
      </w:pPr>
      <w:r>
        <w:rPr>
          <w:rFonts w:hint="eastAsia"/>
          <w:b/>
          <w:bCs/>
          <w:lang w:val="en-US" w:eastAsia="zh-CN"/>
        </w:rPr>
        <w:t>MapProcessor（地图信息处理模块）：</w:t>
      </w:r>
    </w:p>
    <w:p w14:paraId="5D16F1D4">
      <w:pPr>
        <w:numPr>
          <w:ilvl w:val="0"/>
          <w:numId w:val="3"/>
        </w:numPr>
        <w:bidi w:val="0"/>
        <w:ind w:left="420" w:leftChars="0" w:hanging="420" w:firstLineChars="0"/>
        <w:rPr>
          <w:rFonts w:hint="eastAsia"/>
          <w:lang w:val="en-US" w:eastAsia="zh-CN"/>
        </w:rPr>
      </w:pPr>
      <w:r>
        <w:rPr>
          <w:rFonts w:hint="eastAsia"/>
          <w:lang w:val="en-US" w:eastAsia="zh-CN"/>
        </w:rPr>
        <w:t>提取并处理车道边界、道路中心线、路径车道、目标位置、交通标志等地图数据。</w:t>
      </w:r>
    </w:p>
    <w:p w14:paraId="40AADD12">
      <w:pPr>
        <w:numPr>
          <w:ilvl w:val="0"/>
          <w:numId w:val="3"/>
        </w:numPr>
        <w:bidi w:val="0"/>
        <w:ind w:left="420" w:leftChars="0" w:hanging="420" w:firstLineChars="0"/>
        <w:rPr>
          <w:rFonts w:hint="eastAsia"/>
          <w:lang w:val="en-US" w:eastAsia="zh-CN"/>
        </w:rPr>
      </w:pPr>
      <w:r>
        <w:rPr>
          <w:rFonts w:hint="eastAsia"/>
          <w:lang w:val="en-US" w:eastAsia="zh-CN"/>
        </w:rPr>
        <w:t>地图信息为轨迹规划提供空间参考框架，帮助车辆在道路上进行精确定位和路径规划。</w:t>
      </w:r>
    </w:p>
    <w:p w14:paraId="01F3A5B4">
      <w:pPr>
        <w:bidi w:val="0"/>
        <w:rPr>
          <w:rFonts w:hint="eastAsia"/>
          <w:b/>
          <w:bCs/>
          <w:lang w:val="en-US" w:eastAsia="zh-CN"/>
        </w:rPr>
      </w:pPr>
      <w:r>
        <w:rPr>
          <w:rFonts w:hint="eastAsia"/>
          <w:b/>
          <w:bCs/>
          <w:lang w:val="en-US" w:eastAsia="zh-CN"/>
        </w:rPr>
        <w:t>StaticProcessor（静态物体处理模块）：</w:t>
      </w:r>
    </w:p>
    <w:p w14:paraId="134C8A93">
      <w:pPr>
        <w:numPr>
          <w:ilvl w:val="0"/>
          <w:numId w:val="3"/>
        </w:numPr>
        <w:bidi w:val="0"/>
        <w:ind w:left="420" w:leftChars="0" w:hanging="420" w:firstLineChars="0"/>
        <w:rPr>
          <w:rFonts w:hint="eastAsia"/>
          <w:lang w:val="en-US" w:eastAsia="zh-CN"/>
        </w:rPr>
      </w:pPr>
      <w:r>
        <w:rPr>
          <w:rFonts w:hint="eastAsia"/>
          <w:lang w:val="en-US" w:eastAsia="zh-CN"/>
        </w:rPr>
        <w:t>对道路上的交通锥、护栏等障碍物的提取和编码，提取障碍物的位置、方向、尺寸、类型等数据。</w:t>
      </w:r>
    </w:p>
    <w:p w14:paraId="3C21D42C">
      <w:pPr>
        <w:numPr>
          <w:ilvl w:val="0"/>
          <w:numId w:val="3"/>
        </w:numPr>
        <w:bidi w:val="0"/>
        <w:ind w:left="420" w:leftChars="0" w:hanging="420" w:firstLineChars="0"/>
        <w:rPr>
          <w:rFonts w:hint="eastAsia"/>
          <w:lang w:val="en-US" w:eastAsia="zh-CN"/>
        </w:rPr>
      </w:pPr>
      <w:r>
        <w:rPr>
          <w:rFonts w:hint="eastAsia"/>
          <w:lang w:val="en-US" w:eastAsia="zh-CN"/>
        </w:rPr>
        <w:t>这些静态障碍物信息通过编码器处理后，作为环境约束影响轨迹规划，确保生成的路径避开静态障碍。</w:t>
      </w:r>
    </w:p>
    <w:p w14:paraId="4C9A26C4">
      <w:pPr>
        <w:numPr>
          <w:ilvl w:val="0"/>
          <w:numId w:val="0"/>
        </w:numPr>
        <w:bidi w:val="0"/>
        <w:ind w:leftChars="0"/>
        <w:rPr>
          <w:rFonts w:hint="eastAsia"/>
          <w:lang w:val="en-US" w:eastAsia="zh-CN"/>
        </w:rPr>
      </w:pPr>
    </w:p>
    <w:p w14:paraId="5B909033">
      <w:pPr>
        <w:bidi w:val="0"/>
        <w:rPr>
          <w:rFonts w:hint="eastAsia"/>
          <w:lang w:val="en-US" w:eastAsia="zh-CN"/>
        </w:rPr>
      </w:pPr>
      <w:r>
        <w:rPr>
          <w:rFonts w:hint="eastAsia"/>
          <w:lang w:val="en-US" w:eastAsia="zh-CN"/>
        </w:rPr>
        <w:t>上述数据经过这些模块提取完成后，还需统一进行坐标变换和归一化处理，确保所有数据以自车为原点建立统一的坐标系，便于模型的学习与推理。</w:t>
      </w:r>
    </w:p>
    <w:p w14:paraId="30EF4A1A">
      <w:pPr>
        <w:bidi w:val="0"/>
        <w:rPr>
          <w:rFonts w:hint="eastAsia"/>
          <w:lang w:val="en-US" w:eastAsia="zh-CN"/>
        </w:rPr>
      </w:pPr>
    </w:p>
    <w:p w14:paraId="5609F087">
      <w:pPr>
        <w:bidi w:val="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7.1.2 模型训练循环</w:t>
      </w:r>
    </w:p>
    <w:p w14:paraId="6848D909">
      <w:pPr>
        <w:bidi w:val="0"/>
        <w:jc w:val="center"/>
        <w:rPr>
          <w:rFonts w:hint="eastAsia" w:ascii="黑体" w:hAnsi="黑体" w:eastAsia="黑体" w:cs="黑体"/>
          <w:sz w:val="24"/>
          <w:szCs w:val="24"/>
          <w:lang w:val="en-US" w:eastAsia="zh-CN"/>
        </w:rPr>
      </w:pPr>
      <w:r>
        <w:drawing>
          <wp:inline distT="0" distB="0" distL="114300" distR="114300">
            <wp:extent cx="4759325" cy="4518025"/>
            <wp:effectExtent l="0" t="0" r="10795" b="8255"/>
            <wp:docPr id="4" name="图片 3" descr="训练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训练循环"/>
                    <pic:cNvPicPr>
                      <a:picLocks noChangeAspect="1"/>
                    </pic:cNvPicPr>
                  </pic:nvPicPr>
                  <pic:blipFill>
                    <a:blip r:embed="rId6"/>
                    <a:srcRect l="18444" r="17430"/>
                    <a:stretch>
                      <a:fillRect/>
                    </a:stretch>
                  </pic:blipFill>
                  <pic:spPr>
                    <a:xfrm>
                      <a:off x="0" y="0"/>
                      <a:ext cx="4759325" cy="4518025"/>
                    </a:xfrm>
                    <a:prstGeom prst="rect">
                      <a:avLst/>
                    </a:prstGeom>
                  </pic:spPr>
                </pic:pic>
              </a:graphicData>
            </a:graphic>
          </wp:inline>
        </w:drawing>
      </w:r>
    </w:p>
    <w:p w14:paraId="2244ACC2">
      <w:pPr>
        <w:bidi w:val="0"/>
        <w:rPr>
          <w:rFonts w:hint="eastAsia"/>
          <w:lang w:val="en-US" w:eastAsia="zh-CN"/>
        </w:rPr>
      </w:pPr>
      <w:r>
        <w:rPr>
          <w:rFonts w:hint="eastAsia"/>
          <w:lang w:val="en-US" w:eastAsia="zh-CN"/>
        </w:rPr>
        <w:t>训练过程详细包括以下步骤</w:t>
      </w:r>
    </w:p>
    <w:p w14:paraId="384E9A38">
      <w:pPr>
        <w:bidi w:val="0"/>
        <w:rPr>
          <w:rFonts w:hint="eastAsia"/>
          <w:lang w:val="en-US" w:eastAsia="zh-CN"/>
        </w:rPr>
      </w:pPr>
      <w:r>
        <w:rPr>
          <w:rFonts w:hint="eastAsia"/>
          <w:b/>
          <w:bCs/>
          <w:lang w:val="en-US" w:eastAsia="zh-CN"/>
        </w:rPr>
        <w:t>①数据加载与增强：</w:t>
      </w:r>
      <w:r>
        <w:rPr>
          <w:rFonts w:hint="eastAsia"/>
          <w:lang w:val="en-US" w:eastAsia="zh-CN"/>
        </w:rPr>
        <w:t>从预处理数据文件中批量加载样本，详细实施旋转、镜像、扰动等数据增强方法，提升模型泛化能力。</w:t>
      </w:r>
    </w:p>
    <w:p w14:paraId="342E17E2">
      <w:pPr>
        <w:bidi w:val="0"/>
        <w:rPr>
          <w:rFonts w:hint="eastAsia"/>
          <w:lang w:val="en-US" w:eastAsia="zh-CN"/>
        </w:rPr>
      </w:pPr>
      <w:r>
        <w:rPr>
          <w:rFonts w:hint="eastAsia"/>
          <w:b/>
          <w:bCs/>
          <w:lang w:val="en-US" w:eastAsia="zh-CN"/>
        </w:rPr>
        <w:t>②前向传播：</w:t>
      </w:r>
      <w:r>
        <w:rPr>
          <w:rFonts w:hint="eastAsia"/>
          <w:lang w:val="en-US" w:eastAsia="zh-CN"/>
        </w:rPr>
        <w:t>将历史数据和地图信息输入扩散模型（DiT），模型接收带噪的目标轨迹，学习逐步去噪并生成自车 + 邻车的未来轨迹；</w:t>
      </w:r>
    </w:p>
    <w:p w14:paraId="11D661AA">
      <w:pPr>
        <w:bidi w:val="0"/>
        <w:rPr>
          <w:rFonts w:hint="eastAsia"/>
          <w:lang w:val="en-US" w:eastAsia="zh-CN"/>
        </w:rPr>
      </w:pPr>
      <w:r>
        <w:rPr>
          <w:rFonts w:hint="eastAsia"/>
          <w:b/>
          <w:bCs/>
          <w:lang w:val="en-US" w:eastAsia="zh-CN"/>
        </w:rPr>
        <w:t>③损失计算：</w:t>
      </w:r>
      <w:r>
        <w:rPr>
          <w:rFonts w:hint="eastAsia"/>
          <w:lang w:val="en-US" w:eastAsia="zh-CN"/>
        </w:rPr>
        <w:t>设计联合预测损失，包括自车轨迹损失（Ego Planning Loss）和邻车轨迹损失（Neighbor Prediction Loss），并通过加权方式结合二者。目标是训练出一个具备多车互动建模能力的轨迹生成器。</w:t>
      </w:r>
    </w:p>
    <w:p w14:paraId="239AC98A">
      <w:pPr>
        <w:bidi w:val="0"/>
        <w:rPr>
          <w:rFonts w:hint="eastAsia"/>
          <w:lang w:val="en-US" w:eastAsia="zh-CN"/>
        </w:rPr>
      </w:pPr>
      <w:r>
        <w:rPr>
          <w:rFonts w:hint="eastAsia"/>
          <w:b/>
          <w:bCs/>
          <w:lang w:val="en-US" w:eastAsia="zh-CN"/>
        </w:rPr>
        <w:t>④反向传播与参数更新：</w:t>
      </w:r>
      <w:r>
        <w:rPr>
          <w:rFonts w:hint="eastAsia"/>
          <w:lang w:val="en-US" w:eastAsia="zh-CN"/>
        </w:rPr>
        <w:t>通过梯度裁剪技术控制梯度，防止模型训练出现梯度爆炸，使用Adam优化器更新参数，并利用EMA模型参数更新策略提高稳定性。</w:t>
      </w:r>
    </w:p>
    <w:p w14:paraId="12926FF5">
      <w:pPr>
        <w:bidi w:val="0"/>
        <w:rPr>
          <w:rFonts w:hint="eastAsia"/>
          <w:lang w:val="en-US" w:eastAsia="zh-CN"/>
        </w:rPr>
      </w:pPr>
    </w:p>
    <w:p w14:paraId="7AD733FE">
      <w:pPr>
        <w:bidi w:val="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7.1.3 模型推理流程</w:t>
      </w:r>
    </w:p>
    <w:p w14:paraId="70DE20C0">
      <w:pPr>
        <w:bidi w:val="0"/>
        <w:rPr>
          <w:rFonts w:hint="eastAsia"/>
          <w:lang w:val="en-US" w:eastAsia="zh-CN"/>
        </w:rPr>
      </w:pPr>
    </w:p>
    <w:p w14:paraId="24208588">
      <w:pPr>
        <w:bidi w:val="0"/>
      </w:pPr>
      <w:r>
        <w:drawing>
          <wp:inline distT="0" distB="0" distL="114300" distR="114300">
            <wp:extent cx="1629410" cy="2838450"/>
            <wp:effectExtent l="0" t="0" r="12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629410" cy="2838450"/>
                    </a:xfrm>
                    <a:prstGeom prst="rect">
                      <a:avLst/>
                    </a:prstGeom>
                    <a:noFill/>
                    <a:ln>
                      <a:noFill/>
                    </a:ln>
                  </pic:spPr>
                </pic:pic>
              </a:graphicData>
            </a:graphic>
          </wp:inline>
        </w:drawing>
      </w:r>
      <w:r>
        <w:drawing>
          <wp:inline distT="0" distB="0" distL="114300" distR="114300">
            <wp:extent cx="2128520" cy="3268345"/>
            <wp:effectExtent l="0" t="0" r="508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rcRect l="8378"/>
                    <a:stretch>
                      <a:fillRect/>
                    </a:stretch>
                  </pic:blipFill>
                  <pic:spPr>
                    <a:xfrm>
                      <a:off x="0" y="0"/>
                      <a:ext cx="2128520" cy="3268345"/>
                    </a:xfrm>
                    <a:prstGeom prst="rect">
                      <a:avLst/>
                    </a:prstGeom>
                    <a:noFill/>
                    <a:ln>
                      <a:noFill/>
                    </a:ln>
                  </pic:spPr>
                </pic:pic>
              </a:graphicData>
            </a:graphic>
          </wp:inline>
        </w:drawing>
      </w:r>
      <w:r>
        <w:drawing>
          <wp:inline distT="0" distB="0" distL="114300" distR="114300">
            <wp:extent cx="1416050" cy="2324100"/>
            <wp:effectExtent l="0" t="0" r="127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1416050" cy="2324100"/>
                    </a:xfrm>
                    <a:prstGeom prst="rect">
                      <a:avLst/>
                    </a:prstGeom>
                    <a:noFill/>
                    <a:ln>
                      <a:noFill/>
                    </a:ln>
                  </pic:spPr>
                </pic:pic>
              </a:graphicData>
            </a:graphic>
          </wp:inline>
        </w:drawing>
      </w:r>
    </w:p>
    <w:p w14:paraId="05A929CC">
      <w:pPr>
        <w:bidi w:val="0"/>
        <w:rPr>
          <w:b/>
          <w:bCs/>
        </w:rPr>
      </w:pPr>
      <w:r>
        <w:rPr>
          <w:rFonts w:hint="eastAsia"/>
          <w:b/>
          <w:bCs/>
          <w:lang w:val="en-US" w:eastAsia="zh-CN"/>
        </w:rPr>
        <w:t>①</w:t>
      </w:r>
      <w:r>
        <w:rPr>
          <w:rFonts w:hint="default"/>
          <w:b/>
          <w:bCs/>
        </w:rPr>
        <w:t>扩散模型初始化</w:t>
      </w:r>
    </w:p>
    <w:p w14:paraId="1C572ED6">
      <w:pPr>
        <w:bidi w:val="0"/>
        <w:rPr>
          <w:rFonts w:hint="default"/>
        </w:rPr>
      </w:pPr>
      <w:r>
        <w:t>从标准化的输入数据开始，扩散模型</w:t>
      </w:r>
      <w:r>
        <w:rPr>
          <w:rFonts w:hint="default"/>
        </w:rPr>
        <w:t>初始化随机噪声作为起点。</w:t>
      </w:r>
    </w:p>
    <w:p w14:paraId="27E3CF77">
      <w:pPr>
        <w:bidi w:val="0"/>
        <w:rPr>
          <w:rFonts w:hint="default"/>
          <w:b/>
          <w:bCs/>
        </w:rPr>
      </w:pPr>
      <w:r>
        <w:rPr>
          <w:rFonts w:hint="default"/>
          <w:b/>
          <w:bCs/>
        </w:rPr>
        <w:t> </w:t>
      </w:r>
      <w:r>
        <w:rPr>
          <w:rFonts w:hint="eastAsia"/>
          <w:b/>
          <w:bCs/>
          <w:lang w:val="en-US" w:eastAsia="zh-CN"/>
        </w:rPr>
        <w:t>②</w:t>
      </w:r>
      <w:r>
        <w:rPr>
          <w:rFonts w:hint="default"/>
          <w:b/>
          <w:bCs/>
        </w:rPr>
        <w:t>DPM Solver++ 采样</w:t>
      </w:r>
    </w:p>
    <w:p w14:paraId="0F599F09">
      <w:pPr>
        <w:bidi w:val="0"/>
        <w:rPr>
          <w:rFonts w:hint="default"/>
        </w:rPr>
      </w:pPr>
      <w:r>
        <w:rPr>
          <w:rFonts w:hint="default"/>
        </w:rPr>
        <w:t>使用高效的 DPM Solver++ 算法进行迭代采样，通常需要10-20步即可收敛。</w:t>
      </w:r>
    </w:p>
    <w:p w14:paraId="0D9A133D">
      <w:pPr>
        <w:bidi w:val="0"/>
        <w:rPr>
          <w:rFonts w:hint="default"/>
          <w:b/>
          <w:bCs/>
        </w:rPr>
      </w:pPr>
      <w:r>
        <w:rPr>
          <w:rFonts w:hint="eastAsia"/>
          <w:b/>
          <w:bCs/>
          <w:lang w:val="en-US" w:eastAsia="zh-CN"/>
        </w:rPr>
        <w:t>③</w:t>
      </w:r>
      <w:r>
        <w:rPr>
          <w:rFonts w:hint="default"/>
          <w:b/>
          <w:bCs/>
        </w:rPr>
        <w:t>迭代去噪核心循环</w:t>
      </w:r>
    </w:p>
    <w:p w14:paraId="72795D8F">
      <w:pPr>
        <w:bidi w:val="0"/>
        <w:rPr>
          <w:rFonts w:hint="default"/>
        </w:rPr>
      </w:pPr>
      <w:r>
        <w:rPr>
          <w:rFonts w:hint="default"/>
        </w:rPr>
        <w:t>在每个采样步骤中：</w:t>
      </w:r>
    </w:p>
    <w:p w14:paraId="71C3F1E0">
      <w:pPr>
        <w:numPr>
          <w:ilvl w:val="0"/>
          <w:numId w:val="4"/>
        </w:numPr>
        <w:bidi w:val="0"/>
        <w:ind w:left="420" w:leftChars="0" w:hanging="420" w:firstLineChars="0"/>
        <w:rPr>
          <w:rFonts w:hint="default"/>
        </w:rPr>
      </w:pPr>
      <w:r>
        <w:rPr>
          <w:rFonts w:hint="default"/>
        </w:rPr>
        <w:t>模型预测当前噪声状态的去噪方向</w:t>
      </w:r>
    </w:p>
    <w:p w14:paraId="36AB7633">
      <w:pPr>
        <w:numPr>
          <w:ilvl w:val="0"/>
          <w:numId w:val="4"/>
        </w:numPr>
        <w:bidi w:val="0"/>
        <w:ind w:left="420" w:leftChars="0" w:hanging="420" w:firstLineChars="0"/>
        <w:rPr>
          <w:rFonts w:hint="default"/>
        </w:rPr>
      </w:pPr>
      <w:r>
        <w:rPr>
          <w:rFonts w:hint="default"/>
        </w:rPr>
        <w:t>可选择性地应用引导函数进行约束</w:t>
      </w:r>
    </w:p>
    <w:p w14:paraId="2D1D0B5A">
      <w:pPr>
        <w:numPr>
          <w:ilvl w:val="0"/>
          <w:numId w:val="4"/>
        </w:numPr>
        <w:bidi w:val="0"/>
        <w:ind w:left="420" w:leftChars="0" w:hanging="420" w:firstLineChars="0"/>
        <w:rPr>
          <w:rFonts w:hint="default"/>
        </w:rPr>
      </w:pPr>
      <w:r>
        <w:rPr>
          <w:rFonts w:hint="default"/>
        </w:rPr>
        <w:t>更新轨迹状态直到完全去噪</w:t>
      </w:r>
    </w:p>
    <w:p w14:paraId="31EF7601">
      <w:pPr>
        <w:numPr>
          <w:ilvl w:val="0"/>
          <w:numId w:val="0"/>
        </w:numPr>
        <w:bidi w:val="0"/>
        <w:ind w:leftChars="0"/>
        <w:rPr>
          <w:rFonts w:hint="default"/>
          <w:b/>
          <w:bCs/>
        </w:rPr>
      </w:pPr>
      <w:r>
        <w:rPr>
          <w:rFonts w:hint="eastAsia"/>
          <w:b/>
          <w:bCs/>
          <w:lang w:val="en-US" w:eastAsia="zh-CN"/>
        </w:rPr>
        <w:t>④</w:t>
      </w:r>
      <w:r>
        <w:rPr>
          <w:rFonts w:hint="default"/>
          <w:b/>
          <w:bCs/>
        </w:rPr>
        <w:t>引导约束机制</w:t>
      </w:r>
    </w:p>
    <w:p w14:paraId="71A1862F">
      <w:pPr>
        <w:numPr>
          <w:ilvl w:val="0"/>
          <w:numId w:val="0"/>
        </w:numPr>
        <w:bidi w:val="0"/>
        <w:ind w:leftChars="0"/>
        <w:rPr>
          <w:rFonts w:hint="default"/>
        </w:rPr>
      </w:pPr>
      <w:r>
        <w:rPr>
          <w:rFonts w:hint="default"/>
        </w:rPr>
        <w:t>如果启用了引导函数，系统会在采样过程中应用碰撞避免等安全约束 ，确保生成的轨迹符合安全要求。</w:t>
      </w:r>
    </w:p>
    <w:p w14:paraId="3F1EA48A">
      <w:pPr>
        <w:numPr>
          <w:ilvl w:val="0"/>
          <w:numId w:val="0"/>
        </w:numPr>
        <w:bidi w:val="0"/>
        <w:ind w:leftChars="0"/>
        <w:rPr>
          <w:rFonts w:hint="default"/>
          <w:b/>
          <w:bCs/>
        </w:rPr>
      </w:pPr>
      <w:r>
        <w:rPr>
          <w:rFonts w:hint="eastAsia"/>
          <w:b/>
          <w:bCs/>
          <w:lang w:val="en-US" w:eastAsia="zh-CN"/>
        </w:rPr>
        <w:t>⑤</w:t>
      </w:r>
      <w:r>
        <w:rPr>
          <w:rFonts w:hint="default"/>
          <w:b/>
          <w:bCs/>
        </w:rPr>
        <w:t>输出转换</w:t>
      </w:r>
    </w:p>
    <w:p w14:paraId="76F9E1DD">
      <w:pPr>
        <w:numPr>
          <w:ilvl w:val="0"/>
          <w:numId w:val="0"/>
        </w:numPr>
        <w:bidi w:val="0"/>
        <w:ind w:leftChars="0"/>
        <w:rPr>
          <w:rFonts w:hint="default"/>
        </w:rPr>
      </w:pPr>
      <w:r>
        <w:rPr>
          <w:rFonts w:hint="default"/>
        </w:rPr>
        <w:t>最终将去噪后的</w:t>
      </w:r>
      <w:r>
        <w:rPr>
          <w:rFonts w:hint="eastAsia"/>
          <w:lang w:val="en-US" w:eastAsia="zh-CN"/>
        </w:rPr>
        <w:t>位置和朝向数据转换为预测轨迹，其中位置</w:t>
      </w:r>
      <w:r>
        <w:rPr>
          <w:rFonts w:hint="default"/>
        </w:rPr>
        <w:t>进行坐标转换</w:t>
      </w:r>
      <w:r>
        <w:rPr>
          <w:rFonts w:hint="eastAsia"/>
          <w:lang w:eastAsia="zh-CN"/>
        </w:rPr>
        <w:t>，</w:t>
      </w:r>
      <w:r>
        <w:rPr>
          <w:rFonts w:hint="eastAsia"/>
          <w:lang w:val="en-US" w:eastAsia="zh-CN"/>
        </w:rPr>
        <w:t>从相对转换为经纬度绝对坐标</w:t>
      </w:r>
      <w:r>
        <w:rPr>
          <w:rFonts w:hint="default"/>
        </w:rPr>
        <w:t>，</w:t>
      </w:r>
      <w:r>
        <w:rPr>
          <w:rFonts w:hint="eastAsia"/>
          <w:lang w:val="en-US" w:eastAsia="zh-CN"/>
        </w:rPr>
        <w:t>朝向数据</w:t>
      </w:r>
      <w:r>
        <w:rPr>
          <w:rFonts w:hint="default"/>
        </w:rPr>
        <w:t>从 cos/sin 表示转换为标准的角度表示，</w:t>
      </w:r>
      <w:r>
        <w:rPr>
          <w:rFonts w:hint="eastAsia"/>
          <w:lang w:val="en-US" w:eastAsia="zh-CN"/>
        </w:rPr>
        <w:t>最终</w:t>
      </w:r>
      <w:r>
        <w:rPr>
          <w:rFonts w:hint="default"/>
        </w:rPr>
        <w:t>生成可用的驾驶轨迹。</w:t>
      </w:r>
    </w:p>
    <w:p w14:paraId="3FC9A699">
      <w:pPr>
        <w:numPr>
          <w:ilvl w:val="0"/>
          <w:numId w:val="0"/>
        </w:numPr>
        <w:bidi w:val="0"/>
        <w:ind w:leftChars="0"/>
        <w:rPr>
          <w:rFonts w:hint="default"/>
        </w:rPr>
      </w:pPr>
    </w:p>
    <w:p w14:paraId="7D90CDBC">
      <w:pPr>
        <w:bidi w:val="0"/>
        <w:rPr>
          <w:rFonts w:hint="default"/>
        </w:rPr>
      </w:pPr>
    </w:p>
    <w:p w14:paraId="09B7917C">
      <w:pPr>
        <w:widowControl/>
        <w:numPr>
          <w:ilvl w:val="0"/>
          <w:numId w:val="0"/>
        </w:numPr>
        <w:jc w:val="left"/>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7.2复现说明</w:t>
      </w:r>
    </w:p>
    <w:p w14:paraId="5106883A">
      <w:pPr>
        <w:bidi w:val="0"/>
        <w:jc w:val="left"/>
        <w:rPr>
          <w:rFonts w:hint="eastAsia"/>
          <w:lang w:val="en-US" w:eastAsia="zh-CN"/>
        </w:rPr>
      </w:pPr>
      <w:r>
        <w:rPr>
          <w:rFonts w:hint="eastAsia"/>
          <w:lang w:val="en-US" w:eastAsia="zh-CN"/>
        </w:rPr>
        <w:t>本次调研，我们根据官方提供的代码进行了复现。具体来说，我们在NuPlan mini数据集上跑通了官方提供的代码的推理流程。</w:t>
      </w:r>
    </w:p>
    <w:p w14:paraId="657B4C4F">
      <w:pPr>
        <w:bidi w:val="0"/>
        <w:jc w:val="left"/>
        <w:rPr>
          <w:rFonts w:hint="eastAsia"/>
          <w:lang w:val="en-US" w:eastAsia="zh-CN"/>
        </w:rPr>
      </w:pPr>
    </w:p>
    <w:p w14:paraId="4AF6987F">
      <w:pPr>
        <w:bidi w:val="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7.2.1 代码运行步骤</w:t>
      </w:r>
    </w:p>
    <w:p w14:paraId="7B4578CA">
      <w:pPr>
        <w:bidi w:val="0"/>
        <w:rPr>
          <w:rFonts w:hint="eastAsia"/>
          <w:b/>
          <w:bCs/>
          <w:lang w:val="en-US" w:eastAsia="zh-CN"/>
        </w:rPr>
      </w:pPr>
      <w:r>
        <w:rPr>
          <w:rFonts w:hint="eastAsia"/>
          <w:b/>
          <w:bCs/>
          <w:lang w:val="en-US" w:eastAsia="zh-CN"/>
        </w:rPr>
        <w:t>环境准备和数据集设置</w:t>
      </w:r>
    </w:p>
    <w:p w14:paraId="540B2112">
      <w:pPr>
        <w:bidi w:val="0"/>
        <w:rPr>
          <w:rFonts w:hint="eastAsia"/>
          <w:lang w:val="en-US" w:eastAsia="zh-CN"/>
        </w:rPr>
      </w:pPr>
      <w:r>
        <w:rPr>
          <w:rFonts w:hint="eastAsia"/>
          <w:lang w:val="en-US" w:eastAsia="zh-CN"/>
        </w:rPr>
        <w:t>步骤内容：</w:t>
      </w:r>
    </w:p>
    <w:p w14:paraId="013F6A14">
      <w:pPr>
        <w:numPr>
          <w:ilvl w:val="0"/>
          <w:numId w:val="4"/>
        </w:numPr>
        <w:bidi w:val="0"/>
        <w:ind w:left="420" w:leftChars="0" w:hanging="420" w:firstLineChars="0"/>
        <w:rPr>
          <w:rFonts w:hint="eastAsia"/>
          <w:lang w:val="en-US" w:eastAsia="zh-CN"/>
        </w:rPr>
      </w:pPr>
      <w:r>
        <w:rPr>
          <w:rFonts w:hint="eastAsia"/>
          <w:lang w:val="en-US" w:eastAsia="zh-CN"/>
        </w:rPr>
        <w:t>设置 nuPlan 数据集</w:t>
      </w:r>
    </w:p>
    <w:p w14:paraId="6363821F">
      <w:pPr>
        <w:numPr>
          <w:ilvl w:val="0"/>
          <w:numId w:val="4"/>
        </w:numPr>
        <w:bidi w:val="0"/>
        <w:ind w:left="420" w:leftChars="0" w:hanging="420" w:firstLineChars="0"/>
        <w:rPr>
          <w:rFonts w:hint="eastAsia"/>
          <w:lang w:val="en-US" w:eastAsia="zh-CN"/>
        </w:rPr>
      </w:pPr>
      <w:r>
        <w:rPr>
          <w:rFonts w:hint="eastAsia"/>
          <w:lang w:val="en-US" w:eastAsia="zh-CN"/>
        </w:rPr>
        <w:t>创建 conda 环境并安装依赖</w:t>
      </w:r>
    </w:p>
    <w:p w14:paraId="36FB12FC">
      <w:pPr>
        <w:bidi w:val="0"/>
        <w:rPr>
          <w:rFonts w:hint="eastAsia"/>
          <w:lang w:val="en-US" w:eastAsia="zh-CN"/>
        </w:rPr>
      </w:pPr>
      <w:r>
        <w:rPr>
          <w:rFonts w:hint="eastAsia"/>
          <w:lang w:val="en-US" w:eastAsia="zh-CN"/>
        </w:rPr>
        <w:t>作用：为项目运行提供必要的数据和软件环境基础。</w:t>
      </w:r>
    </w:p>
    <w:p w14:paraId="78A247E5">
      <w:pPr>
        <w:bidi w:val="0"/>
        <w:rPr>
          <w:rFonts w:hint="eastAsia"/>
          <w:lang w:val="en-US" w:eastAsia="zh-CN"/>
        </w:rPr>
      </w:pPr>
      <w:r>
        <w:rPr>
          <w:rFonts w:hint="eastAsia"/>
          <w:lang w:val="en-US" w:eastAsia="zh-CN"/>
        </w:rPr>
        <w:t>这一步建立了项目运行的基础环境，包括 NuPlan 开发工具包和 Diffusion Planner 的特定依赖。</w:t>
      </w:r>
    </w:p>
    <w:p w14:paraId="0E062913">
      <w:pPr>
        <w:bidi w:val="0"/>
        <w:rPr>
          <w:rFonts w:hint="eastAsia"/>
          <w:lang w:val="en-US" w:eastAsia="zh-CN"/>
        </w:rPr>
      </w:pPr>
    </w:p>
    <w:p w14:paraId="63ADB91B">
      <w:pPr>
        <w:bidi w:val="0"/>
        <w:rPr>
          <w:rFonts w:hint="default"/>
          <w:b/>
          <w:bCs/>
          <w:lang w:val="en-US" w:eastAsia="zh-CN"/>
        </w:rPr>
      </w:pPr>
      <w:r>
        <w:rPr>
          <w:rFonts w:hint="default"/>
          <w:b/>
          <w:bCs/>
          <w:lang w:val="en-US" w:eastAsia="zh-CN"/>
        </w:rPr>
        <w:t>模型权重下载</w:t>
      </w:r>
    </w:p>
    <w:p w14:paraId="5D436A44">
      <w:pPr>
        <w:bidi w:val="0"/>
        <w:rPr>
          <w:rFonts w:hint="default"/>
          <w:lang w:val="en-US" w:eastAsia="zh-CN"/>
        </w:rPr>
      </w:pPr>
      <w:r>
        <w:rPr>
          <w:rFonts w:hint="default"/>
          <w:lang w:val="en-US" w:eastAsia="zh-CN"/>
        </w:rPr>
        <w:t>步骤内容：</w:t>
      </w:r>
    </w:p>
    <w:p w14:paraId="76AA4CB5">
      <w:pPr>
        <w:numPr>
          <w:ilvl w:val="0"/>
          <w:numId w:val="4"/>
        </w:numPr>
        <w:bidi w:val="0"/>
        <w:ind w:left="420" w:leftChars="0" w:hanging="420" w:firstLineChars="0"/>
        <w:rPr>
          <w:rFonts w:hint="default"/>
          <w:lang w:val="en-US" w:eastAsia="zh-CN"/>
        </w:rPr>
      </w:pPr>
      <w:r>
        <w:rPr>
          <w:rFonts w:hint="default"/>
          <w:lang w:val="en-US" w:eastAsia="zh-CN"/>
        </w:rPr>
        <w:t>从 Huggingface 下载预训练模型检查点</w:t>
      </w:r>
    </w:p>
    <w:p w14:paraId="4AC766AE">
      <w:pPr>
        <w:numPr>
          <w:ilvl w:val="0"/>
          <w:numId w:val="4"/>
        </w:numPr>
        <w:bidi w:val="0"/>
        <w:ind w:left="420" w:leftChars="0" w:hanging="420" w:firstLineChars="0"/>
        <w:rPr>
          <w:rFonts w:hint="default"/>
          <w:lang w:val="en-US" w:eastAsia="zh-CN"/>
        </w:rPr>
      </w:pPr>
      <w:r>
        <w:rPr>
          <w:rFonts w:hint="default"/>
          <w:lang w:val="en-US" w:eastAsia="zh-CN"/>
        </w:rPr>
        <w:t>包括模型参数文件和配置文件</w:t>
      </w:r>
    </w:p>
    <w:p w14:paraId="25AE8513">
      <w:pPr>
        <w:bidi w:val="0"/>
        <w:rPr>
          <w:rFonts w:hint="default"/>
          <w:lang w:val="en-US" w:eastAsia="zh-CN"/>
        </w:rPr>
      </w:pPr>
      <w:r>
        <w:rPr>
          <w:rFonts w:hint="default"/>
          <w:lang w:val="en-US" w:eastAsia="zh-CN"/>
        </w:rPr>
        <w:t>作用：获取已训练好的模型权重，用于推理评估或作为训练起点。</w:t>
      </w:r>
    </w:p>
    <w:p w14:paraId="58451FCC">
      <w:pPr>
        <w:bidi w:val="0"/>
        <w:rPr>
          <w:rFonts w:hint="default"/>
          <w:lang w:val="en-US" w:eastAsia="zh-CN"/>
        </w:rPr>
      </w:pPr>
    </w:p>
    <w:p w14:paraId="6C6EC440">
      <w:pPr>
        <w:bidi w:val="0"/>
        <w:rPr>
          <w:rFonts w:hint="default"/>
          <w:lang w:val="en-US" w:eastAsia="zh-CN"/>
        </w:rPr>
      </w:pPr>
      <w:r>
        <w:rPr>
          <w:rFonts w:hint="default"/>
          <w:b/>
          <w:bCs/>
          <w:lang w:val="en-US" w:eastAsia="zh-CN"/>
        </w:rPr>
        <w:t>闭环评估（推理测试）</w:t>
      </w:r>
    </w:p>
    <w:p w14:paraId="6D029BF6">
      <w:pPr>
        <w:bidi w:val="0"/>
        <w:rPr>
          <w:rFonts w:hint="default"/>
          <w:lang w:val="en-US" w:eastAsia="zh-CN"/>
        </w:rPr>
      </w:pPr>
      <w:r>
        <w:rPr>
          <w:rFonts w:hint="default"/>
          <w:lang w:val="en-US" w:eastAsia="zh-CN"/>
        </w:rPr>
        <w:t>步骤内容：</w:t>
      </w:r>
    </w:p>
    <w:p w14:paraId="4080AD55">
      <w:pPr>
        <w:numPr>
          <w:ilvl w:val="0"/>
          <w:numId w:val="4"/>
        </w:numPr>
        <w:bidi w:val="0"/>
        <w:ind w:left="420" w:leftChars="0" w:hanging="420" w:firstLineChars="0"/>
        <w:rPr>
          <w:rFonts w:hint="default"/>
          <w:lang w:val="en-US" w:eastAsia="zh-CN"/>
        </w:rPr>
      </w:pPr>
      <w:r>
        <w:rPr>
          <w:rFonts w:hint="default"/>
          <w:lang w:val="en-US" w:eastAsia="zh-CN"/>
        </w:rPr>
        <w:t>配置仿真运行脚本</w:t>
      </w:r>
    </w:p>
    <w:p w14:paraId="489EF0E0">
      <w:pPr>
        <w:numPr>
          <w:ilvl w:val="0"/>
          <w:numId w:val="4"/>
        </w:numPr>
        <w:bidi w:val="0"/>
        <w:ind w:left="420" w:leftChars="0" w:hanging="420" w:firstLineChars="0"/>
        <w:rPr>
          <w:rFonts w:hint="default"/>
          <w:lang w:val="en-US" w:eastAsia="zh-CN"/>
        </w:rPr>
      </w:pPr>
      <w:r>
        <w:rPr>
          <w:rFonts w:hint="default"/>
          <w:lang w:val="en-US" w:eastAsia="zh-CN"/>
        </w:rPr>
        <w:t>执行闭环仿真测试</w:t>
      </w:r>
    </w:p>
    <w:p w14:paraId="06A86F1F">
      <w:pPr>
        <w:numPr>
          <w:ilvl w:val="0"/>
          <w:numId w:val="4"/>
        </w:numPr>
        <w:bidi w:val="0"/>
        <w:ind w:left="420" w:leftChars="0" w:hanging="420" w:firstLineChars="0"/>
        <w:rPr>
          <w:rFonts w:hint="default"/>
          <w:lang w:val="en-US" w:eastAsia="zh-CN"/>
        </w:rPr>
      </w:pPr>
      <w:r>
        <w:rPr>
          <w:rFonts w:hint="default"/>
          <w:lang w:val="en-US" w:eastAsia="zh-CN"/>
        </w:rPr>
        <w:t>可视化结果</w:t>
      </w:r>
    </w:p>
    <w:p w14:paraId="47621F69">
      <w:pPr>
        <w:bidi w:val="0"/>
        <w:rPr>
          <w:rFonts w:hint="default"/>
          <w:lang w:val="en-US" w:eastAsia="zh-CN"/>
        </w:rPr>
      </w:pPr>
      <w:r>
        <w:rPr>
          <w:rFonts w:hint="default"/>
          <w:lang w:val="en-US" w:eastAsia="zh-CN"/>
        </w:rPr>
        <w:t>作用：验证模型在仿真环境中的性能，这是评估自动驾驶规划算法的标准方法。</w:t>
      </w:r>
    </w:p>
    <w:p w14:paraId="329F2278">
      <w:pPr>
        <w:bidi w:val="0"/>
        <w:rPr>
          <w:rFonts w:hint="default"/>
          <w:lang w:val="en-US" w:eastAsia="zh-CN"/>
        </w:rPr>
      </w:pPr>
    </w:p>
    <w:p w14:paraId="1D5EE05B">
      <w:pPr>
        <w:bidi w:val="0"/>
        <w:rPr>
          <w:rFonts w:hint="default"/>
          <w:b/>
          <w:bCs/>
          <w:lang w:val="en-US" w:eastAsia="zh-CN"/>
        </w:rPr>
      </w:pPr>
      <w:r>
        <w:rPr>
          <w:rFonts w:hint="default"/>
          <w:b/>
          <w:bCs/>
          <w:lang w:val="en-US" w:eastAsia="zh-CN"/>
        </w:rPr>
        <w:t>训练流程（完整复现）</w:t>
      </w:r>
      <w:r>
        <w:rPr>
          <w:rFonts w:hint="eastAsia"/>
          <w:b/>
          <w:bCs/>
          <w:lang w:val="en-US" w:eastAsia="zh-CN"/>
        </w:rPr>
        <w:t>（我们未复现）</w:t>
      </w:r>
    </w:p>
    <w:p w14:paraId="07E041AB">
      <w:pPr>
        <w:bidi w:val="0"/>
        <w:rPr>
          <w:rFonts w:hint="default"/>
          <w:lang w:val="en-US" w:eastAsia="zh-CN"/>
        </w:rPr>
      </w:pPr>
      <w:r>
        <w:rPr>
          <w:rFonts w:hint="default"/>
          <w:lang w:val="en-US" w:eastAsia="zh-CN"/>
        </w:rPr>
        <w:t>步骤内容：</w:t>
      </w:r>
    </w:p>
    <w:p w14:paraId="2FACE310">
      <w:pPr>
        <w:numPr>
          <w:ilvl w:val="0"/>
          <w:numId w:val="4"/>
        </w:numPr>
        <w:bidi w:val="0"/>
        <w:ind w:left="420" w:leftChars="0" w:hanging="420" w:firstLineChars="0"/>
        <w:rPr>
          <w:rFonts w:hint="default"/>
          <w:lang w:val="en-US" w:eastAsia="zh-CN"/>
        </w:rPr>
      </w:pPr>
      <w:r>
        <w:rPr>
          <w:rFonts w:hint="default"/>
          <w:lang w:val="en-US" w:eastAsia="zh-CN"/>
        </w:rPr>
        <w:t>数据预处理</w:t>
      </w:r>
      <w:r>
        <w:rPr>
          <w:rFonts w:hint="eastAsia"/>
          <w:lang w:val="en-US" w:eastAsia="zh-CN"/>
        </w:rPr>
        <w:t>——这一步将原始 NuPlan 数据转换为模型训练所需的格式，包括轨迹提取、坐标变换等。</w:t>
      </w:r>
    </w:p>
    <w:p w14:paraId="75A4A120">
      <w:pPr>
        <w:numPr>
          <w:ilvl w:val="0"/>
          <w:numId w:val="4"/>
        </w:numPr>
        <w:bidi w:val="0"/>
        <w:ind w:left="420" w:leftChars="0" w:hanging="420" w:firstLineChars="0"/>
        <w:rPr>
          <w:rFonts w:hint="default"/>
          <w:lang w:val="en-US" w:eastAsia="zh-CN"/>
        </w:rPr>
      </w:pPr>
      <w:r>
        <w:rPr>
          <w:rFonts w:hint="default"/>
          <w:lang w:val="en-US" w:eastAsia="zh-CN"/>
        </w:rPr>
        <w:t>模型训练</w:t>
      </w:r>
      <w:r>
        <w:rPr>
          <w:rFonts w:hint="eastAsia"/>
          <w:lang w:val="en-US" w:eastAsia="zh-CN"/>
        </w:rPr>
        <w:t>——包括数据加载、损失计算、优化器更新等核心训练逻辑。</w:t>
      </w:r>
    </w:p>
    <w:p w14:paraId="35B949DF">
      <w:pPr>
        <w:bidi w:val="0"/>
        <w:rPr>
          <w:rFonts w:hint="default"/>
          <w:lang w:val="en-US" w:eastAsia="zh-CN"/>
        </w:rPr>
      </w:pPr>
      <w:r>
        <w:rPr>
          <w:rFonts w:hint="default"/>
          <w:lang w:val="en-US" w:eastAsia="zh-CN"/>
        </w:rPr>
        <w:t>作用：从头开始训练模型，完整复现论文结果。</w:t>
      </w:r>
    </w:p>
    <w:p w14:paraId="159F3734">
      <w:pPr>
        <w:bidi w:val="0"/>
        <w:rPr>
          <w:rFonts w:hint="default"/>
          <w:lang w:val="en-US" w:eastAsia="zh-CN"/>
        </w:rPr>
      </w:pPr>
    </w:p>
    <w:p w14:paraId="50FCAB20">
      <w:pPr>
        <w:bidi w:val="0"/>
        <w:rPr>
          <w:rFonts w:hint="eastAsia"/>
          <w:b/>
          <w:bCs/>
          <w:lang w:val="en-US" w:eastAsia="zh-CN"/>
        </w:rPr>
      </w:pPr>
      <w:r>
        <w:rPr>
          <w:rFonts w:hint="eastAsia"/>
          <w:b/>
          <w:bCs/>
          <w:lang w:val="en-US" w:eastAsia="zh-CN"/>
        </w:rPr>
        <w:t>相关配置</w:t>
      </w:r>
    </w:p>
    <w:p w14:paraId="46C2A411">
      <w:pPr>
        <w:bidi w:val="0"/>
        <w:rPr>
          <w:rFonts w:hint="default"/>
          <w:b/>
          <w:bCs/>
          <w:lang w:val="en-US" w:eastAsia="zh-CN"/>
        </w:rPr>
      </w:pPr>
      <w:r>
        <w:rPr>
          <w:rFonts w:hint="default"/>
          <w:b/>
          <w:bCs/>
          <w:lang w:val="en-US" w:eastAsia="zh-CN"/>
        </w:rPr>
        <w:t>训练数据配置</w:t>
      </w:r>
    </w:p>
    <w:p w14:paraId="70E8B966">
      <w:pPr>
        <w:bidi w:val="0"/>
        <w:rPr>
          <w:rFonts w:hint="default"/>
          <w:lang w:val="en-US" w:eastAsia="zh-CN"/>
        </w:rPr>
      </w:pPr>
      <w:r>
        <w:rPr>
          <w:rFonts w:hint="default"/>
          <w:lang w:val="en-US" w:eastAsia="zh-CN"/>
        </w:rPr>
        <w:t>项目使用的训练数据集</w:t>
      </w:r>
      <w:r>
        <w:rPr>
          <w:rFonts w:hint="eastAsia"/>
          <w:lang w:val="en-US" w:eastAsia="zh-CN"/>
        </w:rPr>
        <w:t>相关</w:t>
      </w:r>
      <w:r>
        <w:rPr>
          <w:rFonts w:hint="default"/>
          <w:lang w:val="en-US" w:eastAsia="zh-CN"/>
        </w:rPr>
        <w:t>配置在 nuplan_train.json</w:t>
      </w:r>
      <w:r>
        <w:rPr>
          <w:rFonts w:hint="eastAsia"/>
          <w:lang w:val="en-US" w:eastAsia="zh-CN"/>
        </w:rPr>
        <w:t>文件中</w:t>
      </w:r>
      <w:r>
        <w:rPr>
          <w:rFonts w:hint="default"/>
          <w:lang w:val="en-US" w:eastAsia="zh-CN"/>
        </w:rPr>
        <w:t> ，包含了大量的 nuPlan 场景数据用于模型训练。</w:t>
      </w:r>
    </w:p>
    <w:p w14:paraId="2C04C71D">
      <w:pPr>
        <w:bidi w:val="0"/>
        <w:rPr>
          <w:rFonts w:hint="default"/>
          <w:b/>
          <w:bCs/>
          <w:lang w:val="en-US" w:eastAsia="zh-CN"/>
        </w:rPr>
      </w:pPr>
      <w:r>
        <w:rPr>
          <w:rFonts w:hint="default"/>
          <w:b/>
          <w:bCs/>
          <w:lang w:val="en-US" w:eastAsia="zh-CN"/>
        </w:rPr>
        <w:t>引导系统配置</w:t>
      </w:r>
    </w:p>
    <w:p w14:paraId="14DFD7F1">
      <w:pPr>
        <w:bidi w:val="0"/>
        <w:rPr>
          <w:rFonts w:hint="default"/>
          <w:lang w:val="en-US" w:eastAsia="zh-CN"/>
        </w:rPr>
      </w:pPr>
      <w:r>
        <w:rPr>
          <w:rFonts w:hint="default"/>
          <w:lang w:val="en-US" w:eastAsia="zh-CN"/>
        </w:rPr>
        <w:t>引导系统的配置文件</w:t>
      </w:r>
      <w:r>
        <w:rPr>
          <w:rFonts w:hint="eastAsia"/>
          <w:lang w:val="en-US" w:eastAsia="zh-CN"/>
        </w:rPr>
        <w:t>为</w:t>
      </w:r>
      <w:r>
        <w:rPr>
          <w:rFonts w:hint="default"/>
          <w:lang w:val="en-US" w:eastAsia="zh-CN"/>
        </w:rPr>
        <w:t> diffusion_planner_guidance.yaml </w:t>
      </w:r>
      <w:r>
        <w:rPr>
          <w:rFonts w:hint="eastAsia"/>
          <w:lang w:val="en-US" w:eastAsia="zh-CN"/>
        </w:rPr>
        <w:t>，其中</w:t>
      </w:r>
      <w:r>
        <w:rPr>
          <w:rFonts w:hint="default"/>
          <w:lang w:val="en-US" w:eastAsia="zh-CN"/>
        </w:rPr>
        <w:t>定义了如何在推理时应用各种约束，如碰撞避免等。</w:t>
      </w:r>
    </w:p>
    <w:p w14:paraId="62C239EA">
      <w:pPr>
        <w:bidi w:val="0"/>
        <w:rPr>
          <w:rFonts w:hint="default"/>
          <w:lang w:val="en-US" w:eastAsia="zh-CN"/>
        </w:rPr>
      </w:pPr>
    </w:p>
    <w:p w14:paraId="21CB3AB6">
      <w:pPr>
        <w:widowControl/>
        <w:numPr>
          <w:ilvl w:val="0"/>
          <w:numId w:val="0"/>
        </w:numPr>
        <w:jc w:val="left"/>
        <w:rPr>
          <w:rFonts w:hint="default"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7.3复现结果</w:t>
      </w:r>
    </w:p>
    <w:p w14:paraId="3F1E217A">
      <w:pPr>
        <w:bidi w:val="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7.3.1 仿真评估结果</w:t>
      </w:r>
    </w:p>
    <w:p w14:paraId="12843768">
      <w:pPr>
        <w:bidi w:val="0"/>
        <w:rPr>
          <w:rFonts w:hint="eastAsia" w:ascii="黑体" w:hAnsi="黑体" w:eastAsia="黑体" w:cs="黑体"/>
          <w:b/>
          <w:bCs/>
          <w:sz w:val="24"/>
          <w:szCs w:val="24"/>
          <w:lang w:val="en-US" w:eastAsia="zh-CN"/>
        </w:rPr>
      </w:pPr>
      <w:r>
        <w:rPr>
          <w:rFonts w:hint="eastAsia"/>
          <w:b/>
          <w:bCs/>
          <w:lang w:val="en-US" w:eastAsia="zh-CN"/>
        </w:rPr>
        <w:t>成功率百分比</w:t>
      </w:r>
    </w:p>
    <w:p w14:paraId="65D11273">
      <w:pPr>
        <w:bidi w:val="0"/>
        <w:rPr>
          <w:rFonts w:hint="eastAsia"/>
          <w:lang w:val="en-US" w:eastAsia="zh-CN"/>
        </w:rPr>
      </w:pPr>
      <w:r>
        <w:rPr>
          <w:rFonts w:hint="eastAsia"/>
          <w:lang w:val="en-US" w:eastAsia="zh-CN"/>
        </w:rPr>
        <w:t>NuPlan mini(NR): 87.45%</w:t>
      </w:r>
    </w:p>
    <w:p w14:paraId="2FB23B31">
      <w:pPr>
        <w:bidi w:val="0"/>
        <w:rPr>
          <w:rFonts w:hint="eastAsia"/>
          <w:lang w:val="en-US" w:eastAsia="zh-CN"/>
        </w:rPr>
      </w:pPr>
      <w:r>
        <w:rPr>
          <w:rFonts w:hint="eastAsia"/>
          <w:lang w:val="en-US" w:eastAsia="zh-CN"/>
        </w:rPr>
        <w:t>NuPlan mini(R): 80.13%</w:t>
      </w:r>
    </w:p>
    <w:p w14:paraId="339D8A28">
      <w:pPr>
        <w:bidi w:val="0"/>
        <w:jc w:val="left"/>
        <w:rPr>
          <w:rFonts w:hint="eastAsia" w:ascii="黑体" w:hAnsi="黑体" w:eastAsia="黑体" w:cs="黑体"/>
          <w:sz w:val="24"/>
          <w:szCs w:val="24"/>
          <w:lang w:val="en-US" w:eastAsia="zh-CN"/>
        </w:rPr>
      </w:pPr>
    </w:p>
    <w:p w14:paraId="28FBE105">
      <w:pPr>
        <w:bidi w:val="0"/>
        <w:rPr>
          <w:rFonts w:hint="eastAsia"/>
          <w:lang w:val="en-US" w:eastAsia="zh-CN"/>
        </w:rPr>
      </w:pPr>
      <w:r>
        <w:rPr>
          <w:rFonts w:hint="eastAsia"/>
          <w:lang w:val="en-US" w:eastAsia="zh-CN"/>
        </w:rPr>
        <w:t>这是 NuPlan 标准评估中的核心指标，表示自动驾驶系统在给定场景中成功完成任务的比例。</w:t>
      </w:r>
    </w:p>
    <w:p w14:paraId="76CD43C0">
      <w:pPr>
        <w:bidi w:val="0"/>
        <w:rPr>
          <w:rFonts w:hint="eastAsia"/>
          <w:lang w:val="en-US" w:eastAsia="zh-CN"/>
        </w:rPr>
      </w:pPr>
      <w:r>
        <w:rPr>
          <w:rFonts w:hint="eastAsia"/>
          <w:lang w:val="en-US" w:eastAsia="zh-CN"/>
        </w:rPr>
        <w:t>其中 Non-Reactive (NR) 模式</w:t>
      </w:r>
    </w:p>
    <w:p w14:paraId="73FA5703">
      <w:pPr>
        <w:bidi w:val="0"/>
        <w:rPr>
          <w:rFonts w:hint="eastAsia"/>
          <w:lang w:val="en-US" w:eastAsia="zh-CN"/>
        </w:rPr>
      </w:pPr>
      <w:r>
        <w:rPr>
          <w:rFonts w:hint="eastAsia"/>
          <w:lang w:val="en-US" w:eastAsia="zh-CN"/>
        </w:rPr>
        <w:t>指在这种模式下，周围的智能体（其他车辆、行人等）不会对自车的行为做出反应。它们按照预设的轨迹运动，不考虑自车的存在。这种模式主要用于：</w:t>
      </w:r>
    </w:p>
    <w:p w14:paraId="7BF02773">
      <w:pPr>
        <w:numPr>
          <w:ilvl w:val="0"/>
          <w:numId w:val="4"/>
        </w:numPr>
        <w:bidi w:val="0"/>
        <w:ind w:left="420" w:leftChars="0" w:hanging="420" w:firstLineChars="0"/>
        <w:rPr>
          <w:rFonts w:hint="eastAsia"/>
          <w:lang w:val="en-US" w:eastAsia="zh-CN"/>
        </w:rPr>
      </w:pPr>
      <w:r>
        <w:rPr>
          <w:rFonts w:hint="eastAsia"/>
          <w:lang w:val="en-US" w:eastAsia="zh-CN"/>
        </w:rPr>
        <w:t>测试规划算法的基础能力</w:t>
      </w:r>
    </w:p>
    <w:p w14:paraId="52B72D61">
      <w:pPr>
        <w:numPr>
          <w:ilvl w:val="0"/>
          <w:numId w:val="4"/>
        </w:numPr>
        <w:bidi w:val="0"/>
        <w:ind w:left="420" w:leftChars="0" w:hanging="420" w:firstLineChars="0"/>
        <w:rPr>
          <w:rFonts w:hint="eastAsia"/>
          <w:lang w:val="en-US" w:eastAsia="zh-CN"/>
        </w:rPr>
      </w:pPr>
      <w:r>
        <w:rPr>
          <w:rFonts w:hint="eastAsia"/>
          <w:lang w:val="en-US" w:eastAsia="zh-CN"/>
        </w:rPr>
        <w:t>评估在相对简单环境下的性能</w:t>
      </w:r>
    </w:p>
    <w:p w14:paraId="35791A2D">
      <w:pPr>
        <w:numPr>
          <w:ilvl w:val="0"/>
          <w:numId w:val="4"/>
        </w:numPr>
        <w:bidi w:val="0"/>
        <w:ind w:left="420" w:leftChars="0" w:hanging="420" w:firstLineChars="0"/>
        <w:rPr>
          <w:rFonts w:hint="eastAsia"/>
          <w:lang w:val="en-US" w:eastAsia="zh-CN"/>
        </w:rPr>
      </w:pPr>
      <w:r>
        <w:rPr>
          <w:rFonts w:hint="eastAsia"/>
          <w:lang w:val="en-US" w:eastAsia="zh-CN"/>
        </w:rPr>
        <w:t>作为算法开发的初步验证</w:t>
      </w:r>
    </w:p>
    <w:p w14:paraId="425A9CE9">
      <w:pPr>
        <w:bidi w:val="0"/>
        <w:rPr>
          <w:rFonts w:hint="eastAsia"/>
          <w:lang w:val="en-US" w:eastAsia="zh-CN"/>
        </w:rPr>
      </w:pPr>
      <w:r>
        <w:rPr>
          <w:rFonts w:hint="eastAsia"/>
          <w:lang w:val="en-US" w:eastAsia="zh-CN"/>
        </w:rPr>
        <w:t>Reactive (R) 模式</w:t>
      </w:r>
    </w:p>
    <w:p w14:paraId="504632F7">
      <w:pPr>
        <w:bidi w:val="0"/>
        <w:rPr>
          <w:rFonts w:hint="eastAsia"/>
          <w:lang w:val="en-US" w:eastAsia="zh-CN"/>
        </w:rPr>
      </w:pPr>
      <w:r>
        <w:rPr>
          <w:rFonts w:hint="eastAsia"/>
          <w:lang w:val="en-US" w:eastAsia="zh-CN"/>
        </w:rPr>
        <w:t>指在这种模式下，周围智能体会对自车的行为做出反应，这更接近真实世界的驾驶场景。例如：</w:t>
      </w:r>
    </w:p>
    <w:p w14:paraId="53C9AAE8">
      <w:pPr>
        <w:numPr>
          <w:ilvl w:val="0"/>
          <w:numId w:val="4"/>
        </w:numPr>
        <w:bidi w:val="0"/>
        <w:ind w:left="420" w:leftChars="0" w:hanging="420" w:firstLineChars="0"/>
        <w:rPr>
          <w:rFonts w:hint="eastAsia"/>
          <w:lang w:val="en-US" w:eastAsia="zh-CN"/>
        </w:rPr>
      </w:pPr>
      <w:r>
        <w:rPr>
          <w:rFonts w:hint="eastAsia"/>
          <w:lang w:val="en-US" w:eastAsia="zh-CN"/>
        </w:rPr>
        <w:t>其他车辆会因为自车的变道而调整速度</w:t>
      </w:r>
    </w:p>
    <w:p w14:paraId="77307682">
      <w:pPr>
        <w:numPr>
          <w:ilvl w:val="0"/>
          <w:numId w:val="4"/>
        </w:numPr>
        <w:bidi w:val="0"/>
        <w:ind w:left="420" w:leftChars="0" w:hanging="420" w:firstLineChars="0"/>
        <w:rPr>
          <w:rFonts w:hint="eastAsia"/>
          <w:lang w:val="en-US" w:eastAsia="zh-CN"/>
        </w:rPr>
      </w:pPr>
      <w:r>
        <w:rPr>
          <w:rFonts w:hint="eastAsia"/>
          <w:lang w:val="en-US" w:eastAsia="zh-CN"/>
        </w:rPr>
        <w:t>行人会对自车的接近做出反应</w:t>
      </w:r>
    </w:p>
    <w:p w14:paraId="55233A4D">
      <w:pPr>
        <w:numPr>
          <w:ilvl w:val="0"/>
          <w:numId w:val="4"/>
        </w:numPr>
        <w:bidi w:val="0"/>
        <w:ind w:left="420" w:leftChars="0" w:hanging="420" w:firstLineChars="0"/>
        <w:rPr>
          <w:rFonts w:hint="eastAsia"/>
          <w:lang w:val="en-US" w:eastAsia="zh-CN"/>
        </w:rPr>
      </w:pPr>
      <w:r>
        <w:rPr>
          <w:rFonts w:hint="eastAsia"/>
          <w:lang w:val="en-US" w:eastAsia="zh-CN"/>
        </w:rPr>
        <w:t>这种模式更能反映算法在真实环境中的表现</w:t>
      </w:r>
    </w:p>
    <w:p w14:paraId="7B35957E">
      <w:pPr>
        <w:bidi w:val="0"/>
        <w:rPr>
          <w:rFonts w:hint="eastAsia"/>
          <w:lang w:val="en-US" w:eastAsia="zh-CN"/>
        </w:rPr>
      </w:pPr>
    </w:p>
    <w:p w14:paraId="5DAFC43E">
      <w:pPr>
        <w:bidi w:val="0"/>
        <w:rPr>
          <w:rFonts w:hint="eastAsia"/>
          <w:lang w:val="en-US" w:eastAsia="zh-CN"/>
        </w:rPr>
      </w:pPr>
      <w:r>
        <w:rPr>
          <w:rFonts w:hint="eastAsia"/>
          <w:lang w:val="en-US" w:eastAsia="zh-CN"/>
        </w:rPr>
        <w:t>从结果可以看出，Reactive 模式的成功率低于 Non-Reactive 模式，这符合预期，因为需要处理更复杂的交互场景。</w:t>
      </w:r>
    </w:p>
    <w:p w14:paraId="1E1E8AC9">
      <w:pPr>
        <w:bidi w:val="0"/>
        <w:rPr>
          <w:rFonts w:hint="eastAsia"/>
          <w:lang w:val="en-US" w:eastAsia="zh-CN"/>
        </w:rPr>
      </w:pPr>
    </w:p>
    <w:p w14:paraId="1E761EFE">
      <w:pPr>
        <w:bidi w:val="0"/>
        <w:rPr>
          <w:rFonts w:hint="default"/>
          <w:lang w:val="en-US" w:eastAsia="zh-CN"/>
        </w:rPr>
      </w:pPr>
      <w:r>
        <w:rPr>
          <w:rFonts w:hint="default"/>
          <w:lang w:val="en-US" w:eastAsia="zh-CN"/>
        </w:rPr>
        <w:t>仿真过程会测试模型在各种驾驶场景中的表现，包括但不限于：</w:t>
      </w:r>
    </w:p>
    <w:p w14:paraId="282D5E74">
      <w:pPr>
        <w:bidi w:val="0"/>
        <w:rPr>
          <w:rFonts w:hint="default"/>
          <w:lang w:val="en-US" w:eastAsia="zh-CN"/>
        </w:rPr>
      </w:pPr>
      <w:r>
        <w:rPr>
          <w:rFonts w:hint="default"/>
          <w:lang w:val="en-US" w:eastAsia="zh-CN"/>
        </w:rPr>
        <w:t>车道变换</w:t>
      </w:r>
      <w:r>
        <w:rPr>
          <w:rFonts w:hint="eastAsia"/>
          <w:lang w:val="en-US" w:eastAsia="zh-CN"/>
        </w:rPr>
        <w:t>、</w:t>
      </w:r>
      <w:r>
        <w:rPr>
          <w:rFonts w:hint="default"/>
          <w:lang w:val="en-US" w:eastAsia="zh-CN"/>
        </w:rPr>
        <w:t>十字路口通行</w:t>
      </w:r>
      <w:r>
        <w:rPr>
          <w:rFonts w:hint="eastAsia"/>
          <w:lang w:val="en-US" w:eastAsia="zh-CN"/>
        </w:rPr>
        <w:t>、</w:t>
      </w:r>
      <w:r>
        <w:rPr>
          <w:rFonts w:hint="default"/>
          <w:lang w:val="en-US" w:eastAsia="zh-CN"/>
        </w:rPr>
        <w:t>避障行为</w:t>
      </w:r>
      <w:r>
        <w:rPr>
          <w:rFonts w:hint="eastAsia"/>
          <w:lang w:val="en-US" w:eastAsia="zh-CN"/>
        </w:rPr>
        <w:t>、</w:t>
      </w:r>
      <w:r>
        <w:rPr>
          <w:rFonts w:hint="default"/>
          <w:lang w:val="en-US" w:eastAsia="zh-CN"/>
        </w:rPr>
        <w:t>跟车行为</w:t>
      </w:r>
    </w:p>
    <w:p w14:paraId="03998B0A">
      <w:pPr>
        <w:bidi w:val="0"/>
        <w:rPr>
          <w:rFonts w:hint="default"/>
          <w:lang w:val="en-US" w:eastAsia="zh-CN"/>
        </w:rPr>
      </w:pPr>
    </w:p>
    <w:p w14:paraId="213C0E31">
      <w:pPr>
        <w:bidi w:val="0"/>
        <w:rPr>
          <w:rFonts w:hint="default"/>
          <w:lang w:val="en-US" w:eastAsia="zh-CN"/>
        </w:rPr>
      </w:pPr>
      <w:r>
        <w:rPr>
          <w:rFonts w:hint="default"/>
          <w:lang w:val="en-US" w:eastAsia="zh-CN"/>
        </w:rPr>
        <w:t>这些评估指标是 NuPlan 基准测试的标准指标，用于公平比较不同自动驾驶规划算法的性能。Diffusion Planner 在这些指标上的优异表现证明了其在复杂驾驶场景中的有效性。</w:t>
      </w:r>
    </w:p>
    <w:p w14:paraId="449C2CAC">
      <w:pPr>
        <w:bidi w:val="0"/>
        <w:rPr>
          <w:rFonts w:hint="default"/>
          <w:lang w:val="en-US" w:eastAsia="zh-CN"/>
        </w:rPr>
      </w:pPr>
    </w:p>
    <w:p w14:paraId="752C287E">
      <w:pPr>
        <w:bidi w:val="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7.3.2 可视化结果</w:t>
      </w:r>
    </w:p>
    <w:p w14:paraId="0E8944B1">
      <w:pPr>
        <w:bidi w:val="0"/>
        <w:rPr>
          <w:rFonts w:hint="eastAsia"/>
          <w:lang w:val="en-US" w:eastAsia="zh-CN"/>
        </w:rPr>
      </w:pPr>
      <w:r>
        <w:rPr>
          <w:rFonts w:hint="eastAsia"/>
          <w:lang w:val="en-US" w:eastAsia="zh-CN"/>
        </w:rPr>
        <w:t>下面展示的是官方提供的一些可视化示例（可视化代码与项目代码是分离的，由于时间有限，我们没有进行可视化复现）</w:t>
      </w:r>
    </w:p>
    <w:p w14:paraId="7E009896">
      <w:pPr>
        <w:bidi w:val="0"/>
        <w:rPr>
          <w:rFonts w:hint="eastAsia"/>
          <w:lang w:val="en-US" w:eastAsia="zh-CN"/>
        </w:rPr>
      </w:pPr>
      <w:r>
        <w:rPr>
          <w:rFonts w:hint="eastAsia"/>
          <w:lang w:val="en-US" w:eastAsia="zh-CN"/>
        </w:rPr>
        <w:t>颜色解释：</w:t>
      </w:r>
    </w:p>
    <w:p w14:paraId="46135DF8">
      <w:pPr>
        <w:bidi w:val="0"/>
        <w:rPr>
          <w:rFonts w:hint="default"/>
          <w:lang w:val="en-US" w:eastAsia="zh-CN"/>
        </w:rPr>
      </w:pPr>
      <w:r>
        <w:rPr>
          <w:rFonts w:hint="default"/>
          <w:color w:val="588E32" w:themeColor="accent4" w:themeShade="BF"/>
          <w:lang w:val="en-US" w:eastAsia="zh-CN"/>
        </w:rPr>
        <w:t>绿色</w:t>
      </w:r>
      <w:r>
        <w:rPr>
          <w:rFonts w:hint="eastAsia"/>
          <w:lang w:val="en-US" w:eastAsia="zh-CN"/>
        </w:rPr>
        <w:t>曲线是模型为周围交通参与者（车辆、自行车、行人）预测的未来轨迹</w:t>
      </w:r>
      <w:r>
        <w:rPr>
          <w:rFonts w:hint="default"/>
          <w:lang w:val="en-US" w:eastAsia="zh-CN"/>
        </w:rPr>
        <w:t>，</w:t>
      </w:r>
      <w:r>
        <w:rPr>
          <w:rFonts w:hint="eastAsia"/>
          <w:lang w:val="en-US" w:eastAsia="zh-CN"/>
        </w:rPr>
        <w:t>黑色</w:t>
      </w:r>
      <w:r>
        <w:rPr>
          <w:rFonts w:hint="default"/>
          <w:lang w:val="en-US" w:eastAsia="zh-CN"/>
        </w:rPr>
        <w:t>方块代表</w:t>
      </w:r>
      <w:r>
        <w:rPr>
          <w:rFonts w:hint="eastAsia"/>
          <w:lang w:val="en-US" w:eastAsia="zh-CN"/>
        </w:rPr>
        <w:t>周围车辆</w:t>
      </w:r>
      <w:r>
        <w:rPr>
          <w:rFonts w:hint="default"/>
          <w:lang w:val="en-US" w:eastAsia="zh-CN"/>
        </w:rPr>
        <w:t>，</w:t>
      </w:r>
      <w:r>
        <w:rPr>
          <w:rFonts w:hint="default"/>
          <w:color w:val="7030A0"/>
          <w:lang w:val="en-US" w:eastAsia="zh-CN"/>
        </w:rPr>
        <w:t>紫色</w:t>
      </w:r>
      <w:r>
        <w:rPr>
          <w:rFonts w:hint="default"/>
          <w:lang w:val="en-US" w:eastAsia="zh-CN"/>
        </w:rPr>
        <w:t>点表示</w:t>
      </w:r>
      <w:r>
        <w:rPr>
          <w:rFonts w:hint="eastAsia"/>
          <w:lang w:val="en-US" w:eastAsia="zh-CN"/>
        </w:rPr>
        <w:t>周围自行车、行人，</w:t>
      </w:r>
      <w:r>
        <w:rPr>
          <w:rFonts w:hint="eastAsia"/>
          <w:color w:val="00B0F0"/>
          <w:lang w:val="en-US" w:eastAsia="zh-CN"/>
        </w:rPr>
        <w:t>浅</w:t>
      </w:r>
      <w:r>
        <w:rPr>
          <w:rFonts w:hint="default"/>
          <w:color w:val="00B0F0"/>
          <w:lang w:val="en-US" w:eastAsia="zh-CN"/>
        </w:rPr>
        <w:t>蓝色</w:t>
      </w:r>
      <w:r>
        <w:rPr>
          <w:rFonts w:hint="eastAsia"/>
          <w:color w:val="000000" w:themeColor="text1"/>
          <w:lang w:val="en-US" w:eastAsia="zh-CN"/>
          <w14:textFill>
            <w14:solidFill>
              <w14:schemeClr w14:val="tx1"/>
            </w14:solidFill>
          </w14:textFill>
        </w:rPr>
        <w:t>粗</w:t>
      </w:r>
      <w:r>
        <w:rPr>
          <w:rFonts w:hint="default"/>
          <w:lang w:val="en-US" w:eastAsia="zh-CN"/>
        </w:rPr>
        <w:t>曲线是模型为自车生成的未来轨迹</w:t>
      </w:r>
      <w:r>
        <w:rPr>
          <w:rFonts w:hint="eastAsia"/>
          <w:lang w:val="en-US" w:eastAsia="zh-CN"/>
        </w:rPr>
        <w:t>，</w:t>
      </w:r>
      <w:r>
        <w:rPr>
          <w:rFonts w:hint="eastAsia"/>
          <w:color w:val="2E54A1" w:themeColor="accent1" w:themeShade="BF"/>
          <w:lang w:val="en-US" w:eastAsia="zh-CN"/>
        </w:rPr>
        <w:t>深蓝色</w:t>
      </w:r>
      <w:r>
        <w:rPr>
          <w:rFonts w:hint="eastAsia"/>
          <w:color w:val="000000" w:themeColor="text1"/>
          <w:lang w:val="en-US" w:eastAsia="zh-CN"/>
          <w14:textFill>
            <w14:solidFill>
              <w14:schemeClr w14:val="tx1"/>
            </w14:solidFill>
          </w14:textFill>
        </w:rPr>
        <w:t>细</w:t>
      </w:r>
      <w:r>
        <w:rPr>
          <w:rFonts w:hint="default"/>
          <w:lang w:val="en-US" w:eastAsia="zh-CN"/>
        </w:rPr>
        <w:t>曲线</w:t>
      </w:r>
      <w:r>
        <w:rPr>
          <w:rFonts w:hint="eastAsia"/>
          <w:lang w:val="en-US" w:eastAsia="zh-CN"/>
        </w:rPr>
        <w:t xml:space="preserve">是自车轨迹的 ground truth </w:t>
      </w:r>
      <w:r>
        <w:rPr>
          <w:rFonts w:hint="default"/>
          <w:lang w:val="en-US" w:eastAsia="zh-CN"/>
        </w:rPr>
        <w:t>。</w:t>
      </w:r>
    </w:p>
    <w:p w14:paraId="179DB2FE">
      <w:pPr>
        <w:bidi w:val="0"/>
      </w:pPr>
      <w:r>
        <w:drawing>
          <wp:inline distT="0" distB="0" distL="114300" distR="114300">
            <wp:extent cx="5268595" cy="1333500"/>
            <wp:effectExtent l="0" t="0" r="4445"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68595" cy="1333500"/>
                    </a:xfrm>
                    <a:prstGeom prst="rect">
                      <a:avLst/>
                    </a:prstGeom>
                    <a:noFill/>
                    <a:ln>
                      <a:noFill/>
                    </a:ln>
                  </pic:spPr>
                </pic:pic>
              </a:graphicData>
            </a:graphic>
          </wp:inline>
        </w:drawing>
      </w:r>
    </w:p>
    <w:p w14:paraId="5AD0F399">
      <w:pPr>
        <w:bidi w:val="0"/>
        <w:rPr>
          <w:rFonts w:hint="eastAsia"/>
          <w:lang w:val="en-US" w:eastAsia="zh-CN"/>
        </w:rPr>
      </w:pPr>
      <w:r>
        <w:rPr>
          <w:rFonts w:hint="default"/>
          <w:lang w:val="en-US" w:eastAsia="zh-CN"/>
        </w:rPr>
        <w:t>这</w:t>
      </w:r>
      <w:r>
        <w:rPr>
          <w:rFonts w:hint="eastAsia"/>
          <w:lang w:val="en-US" w:eastAsia="zh-CN"/>
        </w:rPr>
        <w:t>组</w:t>
      </w:r>
      <w:r>
        <w:rPr>
          <w:rFonts w:hint="default"/>
          <w:lang w:val="en-US" w:eastAsia="zh-CN"/>
        </w:rPr>
        <w:t>图展示了 Diffusion Planner 在典型十字路口场景中的推理结果：可以看到轨迹始终贴合车道中心线，在转弯处平滑过渡，并自动绕开前方车辆和障碍物，说明模型既遵循了道路拓扑，也兼顾了动态交通参与者，实现了安全且连贯的路径规划。</w:t>
      </w:r>
    </w:p>
    <w:p w14:paraId="364F6341">
      <w:pPr>
        <w:bidi w:val="0"/>
        <w:rPr>
          <w:rFonts w:hint="eastAsia"/>
          <w:lang w:val="en-US" w:eastAsia="zh-CN"/>
        </w:rPr>
      </w:pPr>
      <w:r>
        <w:drawing>
          <wp:inline distT="0" distB="0" distL="114300" distR="114300">
            <wp:extent cx="5262880" cy="1307465"/>
            <wp:effectExtent l="0" t="0" r="10160" b="31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62880" cy="1307465"/>
                    </a:xfrm>
                    <a:prstGeom prst="rect">
                      <a:avLst/>
                    </a:prstGeom>
                    <a:noFill/>
                    <a:ln>
                      <a:noFill/>
                    </a:ln>
                  </pic:spPr>
                </pic:pic>
              </a:graphicData>
            </a:graphic>
          </wp:inline>
        </w:drawing>
      </w:r>
    </w:p>
    <w:p w14:paraId="1A981253">
      <w:pPr>
        <w:bidi w:val="0"/>
        <w:jc w:val="left"/>
        <w:rPr>
          <w:rFonts w:hint="default" w:ascii="黑体" w:hAnsi="黑体" w:eastAsia="黑体" w:cs="黑体"/>
          <w:sz w:val="24"/>
          <w:szCs w:val="24"/>
          <w:lang w:val="en-US" w:eastAsia="zh-CN"/>
        </w:rPr>
      </w:pPr>
      <w:r>
        <w:rPr>
          <w:rFonts w:ascii="宋体" w:hAnsi="宋体" w:eastAsia="宋体" w:cs="宋体"/>
          <w:sz w:val="24"/>
          <w:szCs w:val="24"/>
        </w:rPr>
        <w:t>这组</w:t>
      </w:r>
      <w:r>
        <w:rPr>
          <w:rFonts w:hint="eastAsia" w:ascii="宋体" w:hAnsi="宋体" w:cs="宋体"/>
          <w:sz w:val="24"/>
          <w:szCs w:val="24"/>
          <w:lang w:val="en-US" w:eastAsia="zh-CN"/>
        </w:rPr>
        <w:t>图</w:t>
      </w:r>
      <w:r>
        <w:rPr>
          <w:rFonts w:ascii="宋体" w:hAnsi="宋体" w:eastAsia="宋体" w:cs="宋体"/>
          <w:sz w:val="24"/>
          <w:szCs w:val="24"/>
        </w:rPr>
        <w:t>展示了 Diffusion Planner 在多车道</w:t>
      </w:r>
      <w:r>
        <w:rPr>
          <w:rFonts w:hint="eastAsia" w:ascii="宋体" w:hAnsi="宋体" w:cs="宋体"/>
          <w:sz w:val="24"/>
          <w:szCs w:val="24"/>
          <w:lang w:val="en-US" w:eastAsia="zh-CN"/>
        </w:rPr>
        <w:t>车道扩道</w:t>
      </w:r>
      <w:r>
        <w:rPr>
          <w:rFonts w:ascii="宋体" w:hAnsi="宋体" w:eastAsia="宋体" w:cs="宋体"/>
          <w:sz w:val="24"/>
          <w:szCs w:val="24"/>
        </w:rPr>
        <w:t>环境中的预测效果：可以看到模型在保持本车道行驶的同时，遇到</w:t>
      </w:r>
      <w:r>
        <w:rPr>
          <w:rFonts w:hint="eastAsia" w:ascii="宋体" w:hAnsi="宋体" w:cs="宋体"/>
          <w:sz w:val="24"/>
          <w:szCs w:val="24"/>
          <w:lang w:val="en-US" w:eastAsia="zh-CN"/>
        </w:rPr>
        <w:t>车道扩道</w:t>
      </w:r>
      <w:r>
        <w:rPr>
          <w:rFonts w:ascii="宋体" w:hAnsi="宋体" w:eastAsia="宋体" w:cs="宋体"/>
          <w:sz w:val="24"/>
          <w:szCs w:val="24"/>
        </w:rPr>
        <w:t>会主动</w:t>
      </w:r>
      <w:r>
        <w:rPr>
          <w:rFonts w:hint="eastAsia" w:ascii="宋体" w:hAnsi="宋体" w:cs="宋体"/>
          <w:sz w:val="24"/>
          <w:szCs w:val="24"/>
          <w:lang w:val="en-US" w:eastAsia="zh-CN"/>
        </w:rPr>
        <w:t>变道</w:t>
      </w:r>
      <w:r>
        <w:rPr>
          <w:rFonts w:ascii="宋体" w:hAnsi="宋体" w:eastAsia="宋体" w:cs="宋体"/>
          <w:sz w:val="24"/>
          <w:szCs w:val="24"/>
        </w:rPr>
        <w:t>到目标车道，整个轨迹既遵循车道几何，又避免与前后车辆发生冲突，体现了其对</w:t>
      </w:r>
      <w:r>
        <w:rPr>
          <w:rFonts w:hint="eastAsia" w:ascii="宋体" w:hAnsi="宋体" w:cs="宋体"/>
          <w:sz w:val="24"/>
          <w:szCs w:val="24"/>
          <w:lang w:val="en-US" w:eastAsia="zh-CN"/>
        </w:rPr>
        <w:t>车道变化</w:t>
      </w:r>
      <w:r>
        <w:rPr>
          <w:rFonts w:ascii="宋体" w:hAnsi="宋体" w:eastAsia="宋体" w:cs="宋体"/>
          <w:sz w:val="24"/>
          <w:szCs w:val="24"/>
        </w:rPr>
        <w:t>场景的安全决策能力。</w:t>
      </w:r>
    </w:p>
    <w:p w14:paraId="7FBFA974">
      <w:pPr>
        <w:bidi w:val="0"/>
        <w:rPr>
          <w:rFonts w:hint="default"/>
          <w:lang w:val="en-US" w:eastAsia="zh-CN"/>
        </w:rPr>
      </w:pPr>
    </w:p>
    <w:p w14:paraId="2ACFE6D0">
      <w:pPr>
        <w:bidi w:val="0"/>
        <w:rPr>
          <w:rFonts w:hint="default"/>
          <w:lang w:val="en-US" w:eastAsia="zh-CN"/>
        </w:rPr>
      </w:pPr>
      <w:r>
        <w:drawing>
          <wp:inline distT="0" distB="0" distL="114300" distR="114300">
            <wp:extent cx="5266055" cy="1279525"/>
            <wp:effectExtent l="0" t="0" r="6985" b="6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tretch>
                      <a:fillRect/>
                    </a:stretch>
                  </pic:blipFill>
                  <pic:spPr>
                    <a:xfrm>
                      <a:off x="0" y="0"/>
                      <a:ext cx="5266055" cy="1279525"/>
                    </a:xfrm>
                    <a:prstGeom prst="rect">
                      <a:avLst/>
                    </a:prstGeom>
                    <a:noFill/>
                    <a:ln>
                      <a:noFill/>
                    </a:ln>
                  </pic:spPr>
                </pic:pic>
              </a:graphicData>
            </a:graphic>
          </wp:inline>
        </w:drawing>
      </w:r>
    </w:p>
    <w:p w14:paraId="4020CE55">
      <w:pPr>
        <w:bidi w:val="0"/>
        <w:rPr>
          <w:rFonts w:hint="eastAsia"/>
          <w:lang w:val="en-US" w:eastAsia="zh-CN"/>
        </w:rPr>
      </w:pPr>
      <w:r>
        <w:rPr>
          <w:rFonts w:hint="default"/>
        </w:rPr>
        <w:t>这</w:t>
      </w:r>
      <w:r>
        <w:rPr>
          <w:rFonts w:hint="eastAsia"/>
          <w:lang w:val="en-US" w:eastAsia="zh-CN"/>
        </w:rPr>
        <w:t>组图</w:t>
      </w:r>
      <w:r>
        <w:rPr>
          <w:rFonts w:hint="default"/>
        </w:rPr>
        <w:t>显示</w:t>
      </w:r>
      <w:r>
        <w:rPr>
          <w:rFonts w:hint="eastAsia"/>
          <w:lang w:val="en-US" w:eastAsia="zh-CN"/>
        </w:rPr>
        <w:t>了</w:t>
      </w:r>
      <w:r>
        <w:rPr>
          <w:rFonts w:hint="default"/>
        </w:rPr>
        <w:t xml:space="preserve"> Diffusion Planner 在</w:t>
      </w:r>
      <w:r>
        <w:rPr>
          <w:rFonts w:hint="eastAsia"/>
          <w:lang w:val="en-US" w:eastAsia="zh-CN"/>
        </w:rPr>
        <w:t>多方向路口</w:t>
      </w:r>
      <w:r>
        <w:rPr>
          <w:rFonts w:hint="default"/>
        </w:rPr>
        <w:t>弯道中的轨迹规划效果</w:t>
      </w:r>
      <w:r>
        <w:rPr>
          <w:rFonts w:hint="eastAsia"/>
          <w:lang w:eastAsia="zh-CN"/>
        </w:rPr>
        <w:t>：模型准确理解了车道拓扑与转向需求，为左侧车道的车辆生成左转轨迹、为右侧车道的车辆生成右转轨迹，并保持各自转向流线互不冲突。自车在完整转弯过程中始终紧贴车道中心线，</w:t>
      </w:r>
      <w:r>
        <w:rPr>
          <w:rFonts w:hint="eastAsia"/>
          <w:lang w:val="en-US" w:eastAsia="zh-CN"/>
        </w:rPr>
        <w:t>并且展现了很好的跟车理解能力，</w:t>
      </w:r>
      <w:r>
        <w:rPr>
          <w:rFonts w:hint="eastAsia"/>
          <w:lang w:eastAsia="zh-CN"/>
        </w:rPr>
        <w:t>体现出对复杂弯道几何和交通动态的良好适应性与安全性。</w:t>
      </w:r>
    </w:p>
    <w:p w14:paraId="254DBF51">
      <w:pPr>
        <w:bidi w:val="0"/>
        <w:rPr>
          <w:rFonts w:hint="default"/>
          <w:lang w:val="en-US" w:eastAsia="zh-CN"/>
        </w:rPr>
      </w:pPr>
    </w:p>
    <w:p w14:paraId="225BB69B">
      <w:pPr>
        <w:widowControl/>
        <w:numPr>
          <w:ilvl w:val="0"/>
          <w:numId w:val="1"/>
        </w:numPr>
        <w:jc w:val="left"/>
        <w:rPr>
          <w:rFonts w:hint="eastAsia" w:ascii="黑体" w:hAnsi="黑体" w:eastAsia="黑体" w:cs="黑体"/>
          <w:b w:val="0"/>
          <w:bCs/>
          <w:sz w:val="30"/>
          <w:szCs w:val="30"/>
          <w:lang w:val="en-US" w:eastAsia="zh-CN"/>
        </w:rPr>
      </w:pPr>
      <w:r>
        <w:rPr>
          <w:rFonts w:hint="eastAsia" w:ascii="黑体" w:hAnsi="黑体" w:eastAsia="黑体" w:cs="黑体"/>
          <w:b w:val="0"/>
          <w:bCs/>
          <w:sz w:val="30"/>
          <w:szCs w:val="30"/>
          <w:lang w:val="en-US" w:eastAsia="zh-CN"/>
        </w:rPr>
        <w:t>参考文献</w:t>
      </w:r>
    </w:p>
    <w:p w14:paraId="336CB130">
      <w:pPr>
        <w:widowControl/>
        <w:numPr>
          <w:ilvl w:val="0"/>
          <w:numId w:val="0"/>
        </w:num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（列出所有参考文献）</w:t>
      </w:r>
    </w:p>
    <w:p w14:paraId="34EBB42F">
      <w:pPr>
        <w:widowControl/>
        <w:numPr>
          <w:ilvl w:val="0"/>
          <w:numId w:val="0"/>
        </w:numPr>
        <w:jc w:val="left"/>
        <w:rPr>
          <w:rFonts w:hint="eastAsia"/>
          <w:b w:val="0"/>
          <w:bCs/>
          <w:sz w:val="24"/>
          <w:lang w:val="en-US" w:eastAsia="zh-CN"/>
        </w:rPr>
      </w:pPr>
    </w:p>
    <w:p w14:paraId="45516264">
      <w:pPr>
        <w:widowControl/>
        <w:numPr>
          <w:ilvl w:val="0"/>
          <w:numId w:val="0"/>
        </w:numPr>
        <w:jc w:val="left"/>
        <w:rPr>
          <w:rFonts w:hint="eastAsia"/>
          <w:b w:val="0"/>
          <w:bCs/>
          <w:sz w:val="24"/>
          <w:lang w:val="en-US" w:eastAsia="zh-CN"/>
        </w:rPr>
      </w:pPr>
    </w:p>
    <w:p w14:paraId="67C45426">
      <w:pPr>
        <w:widowControl/>
        <w:numPr>
          <w:ilvl w:val="0"/>
          <w:numId w:val="0"/>
        </w:numPr>
        <w:jc w:val="left"/>
        <w:rPr>
          <w:rFonts w:hint="eastAsia"/>
          <w:b w:val="0"/>
          <w:bCs/>
          <w:sz w:val="24"/>
          <w:lang w:val="en-US" w:eastAsia="zh-CN"/>
        </w:rPr>
      </w:pPr>
    </w:p>
    <w:p w14:paraId="6DD307FA"/>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E0999AA7-3F55-3F32-595A-3E684D6D304F}"/>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D67700"/>
    <w:multiLevelType w:val="singleLevel"/>
    <w:tmpl w:val="B1D67700"/>
    <w:lvl w:ilvl="0" w:tentative="0">
      <w:start w:val="1"/>
      <w:numFmt w:val="bullet"/>
      <w:lvlText w:val=""/>
      <w:lvlJc w:val="left"/>
      <w:pPr>
        <w:ind w:left="420" w:hanging="420"/>
      </w:pPr>
      <w:rPr>
        <w:rFonts w:hint="default" w:ascii="Wingdings" w:hAnsi="Wingdings"/>
      </w:rPr>
    </w:lvl>
  </w:abstractNum>
  <w:abstractNum w:abstractNumId="1">
    <w:nsid w:val="E01CC7E2"/>
    <w:multiLevelType w:val="singleLevel"/>
    <w:tmpl w:val="E01CC7E2"/>
    <w:lvl w:ilvl="0" w:tentative="0">
      <w:start w:val="1"/>
      <w:numFmt w:val="decimal"/>
      <w:suff w:val="nothing"/>
      <w:lvlText w:val="%1、"/>
      <w:lvlJc w:val="left"/>
    </w:lvl>
  </w:abstractNum>
  <w:abstractNum w:abstractNumId="2">
    <w:nsid w:val="46DDECA2"/>
    <w:multiLevelType w:val="singleLevel"/>
    <w:tmpl w:val="46DDECA2"/>
    <w:lvl w:ilvl="0" w:tentative="0">
      <w:start w:val="1"/>
      <w:numFmt w:val="bullet"/>
      <w:lvlText w:val=""/>
      <w:lvlJc w:val="left"/>
      <w:pPr>
        <w:ind w:left="420" w:hanging="420"/>
      </w:pPr>
      <w:rPr>
        <w:rFonts w:hint="default" w:ascii="Wingdings" w:hAnsi="Wingdings"/>
      </w:rPr>
    </w:lvl>
  </w:abstractNum>
  <w:abstractNum w:abstractNumId="3">
    <w:nsid w:val="79CFB06F"/>
    <w:multiLevelType w:val="multilevel"/>
    <w:tmpl w:val="79CFB06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C2CB1"/>
    <w:rsid w:val="160C6457"/>
    <w:rsid w:val="1C8E406A"/>
    <w:rsid w:val="21A954A2"/>
    <w:rsid w:val="240B2B91"/>
    <w:rsid w:val="2A226A3A"/>
    <w:rsid w:val="35B305F9"/>
    <w:rsid w:val="3DC72AE0"/>
    <w:rsid w:val="43FB2463"/>
    <w:rsid w:val="4C6C192F"/>
    <w:rsid w:val="4C9E7102"/>
    <w:rsid w:val="6A45074A"/>
    <w:rsid w:val="6BDB60CE"/>
    <w:rsid w:val="6FFE14E6"/>
    <w:rsid w:val="75C47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322</Words>
  <Characters>330</Characters>
  <Lines>0</Lines>
  <Paragraphs>0</Paragraphs>
  <TotalTime>241</TotalTime>
  <ScaleCrop>false</ScaleCrop>
  <LinksUpToDate>false</LinksUpToDate>
  <CharactersWithSpaces>334</CharactersWithSpaces>
  <Application>WPS Office_7.4.1.8983_F1E327BC-269C-435d-A152-05C5408002CA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2025-03-05T10:17:00Z</dcterms:created>
  <dc:creator>kse</dc:creator>
  <cp:lastModifiedBy>何锦诚</cp:lastModifiedBy>
  <dcterms:modified xsi:type="dcterms:W3CDTF">2025-06-03T10:13:45Z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2052-7.4.1.8983</vt:lpwstr>
  </property>
  <property fmtid="{D5CDD505-2E9C-101B-9397-08002B2CF9AE}" pid="3" name="KSOTemplateDocerSaveRecord">
    <vt:lpwstr>eyJoZGlkIjoiNzFjOTIxODdiZGFlMWViNjllZDBjYjE4M2RiYTE5MTUiLCJ1c2VySWQiOiIxNTM2MDM0ODkxIn0=</vt:lpwstr>
  </property>
  <property fmtid="{D5CDD505-2E9C-101B-9397-08002B2CF9AE}" pid="4" name="ICV">
    <vt:lpwstr>84255171B8894A88942841A6FE48AFF9_13</vt:lpwstr>
  </property>
</Properties>
</file>