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6309C" w14:textId="07A951DE" w:rsidR="007C5EEE" w:rsidRPr="008E4235" w:rsidRDefault="008E42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Macro-based equity allocation</w:t>
      </w:r>
    </w:p>
    <w:sectPr w:rsidR="007C5EEE" w:rsidRPr="008E4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35"/>
    <w:rsid w:val="007C5EEE"/>
    <w:rsid w:val="00896686"/>
    <w:rsid w:val="008E4235"/>
    <w:rsid w:val="00BD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94EEE"/>
  <w15:chartTrackingRefBased/>
  <w15:docId w15:val="{8756EE9A-0CEF-DF44-95DE-1935BEC7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2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2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2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2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2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2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2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#SEOW JIA XIAN#</dc:creator>
  <cp:keywords/>
  <dc:description/>
  <cp:lastModifiedBy>#SEOW JIA XIAN#</cp:lastModifiedBy>
  <cp:revision>1</cp:revision>
  <dcterms:created xsi:type="dcterms:W3CDTF">2025-05-16T20:41:00Z</dcterms:created>
  <dcterms:modified xsi:type="dcterms:W3CDTF">2025-05-16T20:42:00Z</dcterms:modified>
</cp:coreProperties>
</file>