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中国大学生计算机设计大赛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作品设计与参赛信息概要表</w:t>
      </w:r>
      <w:r>
        <w:rPr>
          <w:rFonts w:hint="eastAsia"/>
          <w:sz w:val="18"/>
          <w:szCs w:val="18"/>
        </w:rPr>
        <w:t>(2</w:t>
      </w:r>
      <w:r>
        <w:rPr>
          <w:sz w:val="18"/>
          <w:szCs w:val="18"/>
        </w:rPr>
        <w:t>019</w:t>
      </w:r>
      <w:r>
        <w:rPr>
          <w:rFonts w:hint="eastAsia"/>
          <w:sz w:val="18"/>
          <w:szCs w:val="18"/>
        </w:rPr>
        <w:t>版)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511"/>
        <w:gridCol w:w="674"/>
        <w:gridCol w:w="237"/>
        <w:gridCol w:w="948"/>
        <w:gridCol w:w="474"/>
        <w:gridCol w:w="928"/>
        <w:gridCol w:w="494"/>
        <w:gridCol w:w="142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67982</w:t>
            </w:r>
          </w:p>
        </w:tc>
        <w:tc>
          <w:tcPr>
            <w:tcW w:w="1185" w:type="dxa"/>
            <w:gridSpan w:val="2"/>
            <w:vAlign w:val="center"/>
          </w:tcPr>
          <w:p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DAESS：基于B/S+C/S混合部署架构的</w:t>
            </w:r>
          </w:p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分布式射箭比赛管理系统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>
            <w:r>
              <w:t>软件应用与开发</w:t>
            </w:r>
          </w:p>
        </w:tc>
        <w:tc>
          <w:tcPr>
            <w:tcW w:w="1402" w:type="dxa"/>
            <w:gridSpan w:val="2"/>
            <w:vAlign w:val="center"/>
          </w:tcPr>
          <w:p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>
            <w:r>
              <w:t>管理信息系统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DAESS</w:t>
            </w:r>
            <w:r>
              <w:rPr>
                <w:rFonts w:hint="default"/>
              </w:rPr>
              <w:t>是一款</w:t>
            </w:r>
            <w:r>
              <w:rPr>
                <w:rFonts w:hint="eastAsia"/>
                <w:lang w:val="en-US" w:eastAsia="zh-CN"/>
              </w:rPr>
              <w:t>基于PC客户端并可拓展局域网多节点服务和Web服务的分布式射箭比赛管理系统。相比于其他竞品，它</w:t>
            </w:r>
            <w:r>
              <w:rPr>
                <w:rFonts w:hint="default"/>
              </w:rPr>
              <w:t>能在</w:t>
            </w:r>
            <w:r>
              <w:rPr>
                <w:rFonts w:hint="eastAsia"/>
                <w:lang w:val="en-US" w:eastAsia="zh-CN"/>
              </w:rPr>
              <w:t>无联网情况下并发地支持锦标赛级别赛事，在网络畅通时提供和运动员直接交互的渠道。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作品类型</w:t>
            </w:r>
          </w:p>
        </w:tc>
        <w:tc>
          <w:tcPr>
            <w:tcW w:w="7111" w:type="dxa"/>
            <w:gridSpan w:val="9"/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□内容创新 □创意创新 □商业模式创新 □用户细分创新 □技术创新</w:t>
            </w:r>
          </w:p>
          <w:p>
            <w:r>
              <w:rPr>
                <w:rFonts w:hint="eastAsia"/>
                <w:smallCaps/>
              </w:rPr>
              <w:t>■应用场景创新 ■技术优化 □其他创新：</w:t>
            </w:r>
            <w:r>
              <w:rPr>
                <w:smallCaps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1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创新描述（1</w:t>
            </w:r>
            <w:r>
              <w:t>00</w:t>
            </w:r>
            <w:r>
              <w:rPr>
                <w:rFonts w:hint="eastAsia"/>
              </w:rPr>
              <w:t>字以内）：</w:t>
            </w: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通过</w:t>
            </w:r>
            <w:r>
              <w:rPr>
                <w:rFonts w:hint="eastAsia"/>
                <w:lang w:val="en-US" w:eastAsia="zh-CN"/>
              </w:rPr>
              <w:t>削弱</w:t>
            </w:r>
            <w:r>
              <w:rPr>
                <w:rFonts w:hint="default"/>
                <w:lang w:val="en-US" w:eastAsia="zh-CN"/>
              </w:rPr>
              <w:t>B/S和C/S</w:t>
            </w:r>
            <w:r>
              <w:rPr>
                <w:rFonts w:hint="eastAsia"/>
                <w:lang w:val="en-US" w:eastAsia="zh-CN"/>
              </w:rPr>
              <w:t>架构</w:t>
            </w:r>
            <w:r>
              <w:rPr>
                <w:rFonts w:hint="default"/>
                <w:lang w:val="en-US" w:eastAsia="zh-CN"/>
              </w:rPr>
              <w:t>各模块的耦合性，</w:t>
            </w:r>
            <w:r>
              <w:rPr>
                <w:rFonts w:hint="eastAsia"/>
                <w:lang w:val="en-US" w:eastAsia="zh-CN"/>
              </w:rPr>
              <w:t>系统在不具有完整B/S和C/S模块时，也可稳定提供部分基本功能，从而</w:t>
            </w:r>
            <w:r>
              <w:rPr>
                <w:rFonts w:hint="default"/>
                <w:lang w:val="en-US" w:eastAsia="zh-CN"/>
              </w:rPr>
              <w:t>实现业务逻辑上不同模块之间的灵活组合</w:t>
            </w:r>
            <w:r>
              <w:rPr>
                <w:rFonts w:hint="eastAsia"/>
                <w:lang w:val="en-US" w:eastAsia="zh-CN"/>
              </w:rPr>
              <w:t>，使得DAESS在无联网情况下同样具备为锦标赛级别赛事提供分布式服务的能力</w:t>
            </w:r>
            <w:r>
              <w:rPr>
                <w:rFonts w:hint="default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特别说明（1</w:t>
            </w:r>
            <w:r>
              <w:t>00</w:t>
            </w:r>
            <w:r>
              <w:rPr>
                <w:rFonts w:hint="eastAsia"/>
              </w:rPr>
              <w:t>字以内，希望评审专家了解的其他重要信息）：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DAESS和一款同类型产品同时服务了84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名运动员参与的上海大学生射箭锦标赛。但由于场地网络波动导致竞品服务中断，而DAESS却稳定地支持整场比赛。这是组委会选择DAESS支持410名运动员参与的中国大学生射箭锦标赛</w:t>
            </w:r>
            <w:r>
              <w:rPr>
                <w:rFonts w:hint="default"/>
                <w:lang w:val="en-US" w:eastAsia="zh-CN"/>
              </w:rPr>
              <w:t>的重要原因。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作者及其分工比例</w:t>
            </w:r>
            <w:r>
              <w:rPr>
                <w:rFonts w:hint="eastAsia"/>
                <w:sz w:val="18"/>
                <w:szCs w:val="18"/>
              </w:rPr>
              <w:t>(项目名称可调整填写工作量百分比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1422" w:type="dxa"/>
            <w:gridSpan w:val="3"/>
            <w:vAlign w:val="center"/>
          </w:tcPr>
          <w:p>
            <w:r>
              <w:rPr>
                <w:rFonts w:hint="eastAsia"/>
              </w:rPr>
              <w:t>吴烜圣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rPr>
                <w:rFonts w:hint="eastAsia"/>
              </w:rPr>
              <w:t>郭菁菁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rPr>
                <w:rFonts w:hint="default"/>
              </w:rPr>
              <w:t>杨非池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组织协调</w:t>
            </w:r>
          </w:p>
        </w:tc>
        <w:tc>
          <w:tcPr>
            <w:tcW w:w="1422" w:type="dxa"/>
            <w:gridSpan w:val="3"/>
            <w:vAlign w:val="center"/>
          </w:tcPr>
          <w:p>
            <w: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作品创意</w:t>
            </w:r>
          </w:p>
        </w:tc>
        <w:tc>
          <w:tcPr>
            <w:tcW w:w="1422" w:type="dxa"/>
            <w:gridSpan w:val="3"/>
            <w:vAlign w:val="center"/>
          </w:tcPr>
          <w:p>
            <w:r>
              <w:t>90%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t>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竞品分析</w:t>
            </w:r>
          </w:p>
        </w:tc>
        <w:tc>
          <w:tcPr>
            <w:tcW w:w="1422" w:type="dxa"/>
            <w:gridSpan w:val="3"/>
            <w:vAlign w:val="center"/>
          </w:tcPr>
          <w:p>
            <w:r>
              <w:t>40%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t>30%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t>30%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技术实现</w:t>
            </w:r>
          </w:p>
        </w:tc>
        <w:tc>
          <w:tcPr>
            <w:tcW w:w="1422" w:type="dxa"/>
            <w:gridSpan w:val="3"/>
            <w:vAlign w:val="center"/>
          </w:tcPr>
          <w:p>
            <w: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t>0%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t>20%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bottom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产品测试</w:t>
            </w:r>
          </w:p>
        </w:tc>
        <w:tc>
          <w:tcPr>
            <w:tcW w:w="1422" w:type="dxa"/>
            <w:gridSpan w:val="3"/>
            <w:tcBorders>
              <w:bottom w:val="single" w:color="000000" w:sz="4" w:space="0"/>
            </w:tcBorders>
            <w:vAlign w:val="center"/>
          </w:tcPr>
          <w:p>
            <w:r>
              <w:t>30%</w:t>
            </w:r>
          </w:p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>
            <w:r>
              <w:t>50%</w:t>
            </w:r>
          </w:p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>
            <w:r>
              <w:t>20%</w:t>
            </w:r>
          </w:p>
        </w:tc>
        <w:tc>
          <w:tcPr>
            <w:tcW w:w="1422" w:type="dxa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9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00" w:type="dxa"/>
            <w:gridSpan w:val="8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  <w:lang w:eastAsia="zh-CN"/>
              </w:rPr>
              <w:t>☑</w:t>
            </w:r>
            <w:r>
              <w:rPr>
                <w:rFonts w:hint="eastAsia"/>
                <w:smallCaps/>
              </w:rPr>
              <w:t xml:space="preserve">宣讲通知 </w:t>
            </w:r>
            <w:r>
              <w:rPr>
                <w:rFonts w:hint="eastAsia"/>
                <w:smallCaps/>
                <w:lang w:eastAsia="zh-CN"/>
              </w:rPr>
              <w:t>☑</w:t>
            </w:r>
            <w:r>
              <w:rPr>
                <w:rFonts w:hint="eastAsia"/>
                <w:smallCaps/>
              </w:rPr>
              <w:t xml:space="preserve">后勤支持 </w:t>
            </w:r>
            <w:r>
              <w:rPr>
                <w:rFonts w:hint="eastAsia"/>
                <w:smallCaps/>
                <w:lang w:eastAsia="zh-CN"/>
              </w:rPr>
              <w:t>☑</w:t>
            </w:r>
            <w:r>
              <w:rPr>
                <w:rFonts w:hint="eastAsia"/>
                <w:smallCaps/>
              </w:rPr>
              <w:t xml:space="preserve">技术支持 </w:t>
            </w:r>
            <w:r>
              <w:rPr>
                <w:rFonts w:hint="eastAsia"/>
                <w:smallCaps/>
                <w:lang w:eastAsia="zh-CN"/>
              </w:rPr>
              <w:t>☑</w:t>
            </w:r>
            <w:r>
              <w:rPr>
                <w:rFonts w:hint="eastAsia"/>
                <w:smallCaps/>
              </w:rPr>
              <w:t xml:space="preserve">组织协调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□创意支持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 </w:t>
            </w:r>
            <w:r>
              <w:rPr>
                <w:smallCaps/>
              </w:rPr>
              <w:t xml:space="preserve"> 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续前表：</w:t>
      </w:r>
    </w:p>
    <w:tbl>
      <w:tblPr>
        <w:tblStyle w:val="6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432"/>
        <w:gridCol w:w="2111"/>
        <w:gridCol w:w="2992"/>
        <w:gridCol w:w="2064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□iOS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□Android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226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jc w:val="left"/>
              <w:rPr>
                <w:smallCaps/>
              </w:rPr>
            </w:pPr>
            <w:r>
              <w:rPr>
                <w:smallCaps/>
              </w:rPr>
              <w:t xml:space="preserve">Python 2.7.13; </w:t>
            </w:r>
          </w:p>
          <w:p>
            <w:pPr>
              <w:jc w:val="left"/>
              <w:rPr>
                <w:smallCaps/>
              </w:rPr>
            </w:pPr>
            <w:r>
              <w:rPr>
                <w:smallCaps/>
              </w:rPr>
              <w:t>Visual Studio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参考作品(前3项</w:t>
            </w:r>
            <w:r>
              <w:t>)</w:t>
            </w:r>
          </w:p>
        </w:tc>
        <w:tc>
          <w:tcPr>
            <w:tcW w:w="7167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default"/>
              </w:rPr>
              <w:t>国家体育局射箭赛事成绩录入终端</w:t>
            </w:r>
            <w:r>
              <w:rPr>
                <w:rFonts w:hint="default"/>
                <w:b w:val="0"/>
                <w:bCs w:val="0"/>
                <w:u w:val="none"/>
              </w:rPr>
              <w:t xml:space="preserve"> </w:t>
            </w:r>
            <w:r>
              <w:rPr>
                <w:rFonts w:hint="eastAsia"/>
                <w:b w:val="0"/>
                <w:bCs w:val="0"/>
                <w:smallCaps/>
                <w:u w:val="none"/>
              </w:rPr>
              <w:t xml:space="preserve"> </w:t>
            </w:r>
            <w:r>
              <w:rPr>
                <w:smallCaps/>
                <w:u w:val="single"/>
              </w:rPr>
              <w:t xml:space="preserve">   </w:t>
            </w:r>
          </w:p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default"/>
              </w:rPr>
              <w:t>GAA线上射箭赛事系统服务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  <w:p>
            <w:pPr>
              <w:rPr>
                <w:smallCaps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lang w:val="en-US" w:eastAsia="zh-CN"/>
              </w:rPr>
              <w:t>拓</w:t>
            </w:r>
            <w:r>
              <w:rPr>
                <w:rFonts w:hint="default"/>
              </w:rPr>
              <w:t>世助手</w:t>
            </w:r>
            <w:r>
              <w:rPr>
                <w:smallCaps/>
                <w:u w:val="single"/>
              </w:rPr>
              <w:t xml:space="preserve">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□素材压缩包 ■演示视频 ■演示P</w:t>
            </w:r>
            <w:r>
              <w:rPr>
                <w:smallCaps/>
              </w:rPr>
              <w:t xml:space="preserve">PT </w:t>
            </w:r>
            <w:r>
              <w:rPr>
                <w:rFonts w:hint="eastAsia"/>
                <w:smallCaps/>
              </w:rPr>
              <w:t>■工程文件 ■成品文件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□其他：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302" w:type="dxa"/>
            <w:gridSpan w:val="6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提交文件</w:t>
            </w:r>
            <w:r>
              <w:rPr>
                <w:rFonts w:hint="eastAsia"/>
                <w:sz w:val="18"/>
                <w:szCs w:val="18"/>
              </w:rPr>
              <w:t>(可增加或减少行数</w:t>
            </w:r>
            <w:r>
              <w:rPr>
                <w:sz w:val="18"/>
                <w:szCs w:val="18"/>
              </w:rPr>
              <w:t>)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(根据作品类型调整，包括素材文件、设计报告、程序文档、测试报告、安装配置说明、用户手册等</w:t>
            </w:r>
            <w:r>
              <w:rPr>
                <w:sz w:val="18"/>
                <w:szCs w:val="18"/>
              </w:rPr>
              <w:t>)</w:t>
            </w:r>
          </w:p>
          <w:p>
            <w:pPr>
              <w:spacing w:before="156" w:beforeLines="50"/>
              <w:jc w:val="left"/>
            </w:pPr>
            <w:r>
              <w:rPr>
                <w:rFonts w:hint="eastAsia"/>
                <w:b/>
              </w:rPr>
              <w:t>下述文件下载测试状态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全部下载测试 □部分下载测试 □未下载测试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43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992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2543" w:type="dxa"/>
            <w:gridSpan w:val="2"/>
            <w:vAlign w:val="center"/>
          </w:tcPr>
          <w:p>
            <w:pPr>
              <w:jc w:val="center"/>
            </w:pPr>
            <w:r>
              <w:t>作品信息概要表</w:t>
            </w:r>
          </w:p>
        </w:tc>
        <w:tc>
          <w:tcPr>
            <w:tcW w:w="2992" w:type="dxa"/>
            <w:vAlign w:val="center"/>
          </w:tcPr>
          <w:p>
            <w:pPr>
              <w:jc w:val="center"/>
            </w:pPr>
            <w:r>
              <w:t>介绍作品信息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□获得授权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2543" w:type="dxa"/>
            <w:gridSpan w:val="2"/>
            <w:vAlign w:val="center"/>
          </w:tcPr>
          <w:p>
            <w:pPr>
              <w:jc w:val="center"/>
            </w:pPr>
            <w:r>
              <w:t>开发类作品开发文档</w:t>
            </w:r>
          </w:p>
        </w:tc>
        <w:tc>
          <w:tcPr>
            <w:tcW w:w="2992" w:type="dxa"/>
            <w:vAlign w:val="center"/>
          </w:tcPr>
          <w:p>
            <w:pPr>
              <w:jc w:val="center"/>
            </w:pPr>
            <w:r>
              <w:t>详细介绍作品结构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2543" w:type="dxa"/>
            <w:gridSpan w:val="2"/>
            <w:vAlign w:val="center"/>
          </w:tcPr>
          <w:p>
            <w:pPr>
              <w:jc w:val="center"/>
            </w:pPr>
            <w:r>
              <w:t>工程文件</w:t>
            </w:r>
          </w:p>
        </w:tc>
        <w:tc>
          <w:tcPr>
            <w:tcW w:w="2992" w:type="dxa"/>
            <w:vAlign w:val="center"/>
          </w:tcPr>
          <w:p>
            <w:pPr>
              <w:jc w:val="center"/>
            </w:pPr>
            <w:r>
              <w:t>包含源代码的压缩包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2543" w:type="dxa"/>
            <w:gridSpan w:val="2"/>
            <w:vAlign w:val="center"/>
          </w:tcPr>
          <w:p>
            <w:pPr>
              <w:jc w:val="center"/>
            </w:pPr>
            <w:r>
              <w:t>成品文件</w:t>
            </w:r>
          </w:p>
        </w:tc>
        <w:tc>
          <w:tcPr>
            <w:tcW w:w="2992" w:type="dxa"/>
            <w:vAlign w:val="center"/>
          </w:tcPr>
          <w:p>
            <w:pPr>
              <w:jc w:val="center"/>
            </w:pPr>
            <w:r>
              <w:t>包含可以执行文件的压缩包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2543" w:type="dxa"/>
            <w:gridSpan w:val="2"/>
            <w:vAlign w:val="center"/>
          </w:tcPr>
          <w:p>
            <w:pPr>
              <w:jc w:val="center"/>
            </w:pPr>
            <w:r>
              <w:t>展示幻灯片</w:t>
            </w:r>
          </w:p>
        </w:tc>
        <w:tc>
          <w:tcPr>
            <w:tcW w:w="2992" w:type="dxa"/>
            <w:vAlign w:val="center"/>
          </w:tcPr>
          <w:p>
            <w:pPr>
              <w:jc w:val="center"/>
            </w:pPr>
            <w:r>
              <w:t>用于答辩展示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2543" w:type="dxa"/>
            <w:gridSpan w:val="2"/>
            <w:vAlign w:val="center"/>
          </w:tcPr>
          <w:p>
            <w:pPr>
              <w:jc w:val="center"/>
            </w:pPr>
            <w:r>
              <w:t>演示视频</w:t>
            </w:r>
          </w:p>
        </w:tc>
        <w:tc>
          <w:tcPr>
            <w:tcW w:w="2992" w:type="dxa"/>
            <w:vAlign w:val="center"/>
          </w:tcPr>
          <w:p>
            <w:pPr>
              <w:jc w:val="center"/>
            </w:pPr>
            <w:r>
              <w:t>简要介绍若干功能和使用方法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8302" w:type="dxa"/>
            <w:gridSpan w:val="6"/>
            <w:tcBorders>
              <w:top w:val="single" w:color="000000" w:sz="4" w:space="0"/>
            </w:tcBorders>
            <w:vAlign w:val="center"/>
          </w:tcPr>
          <w:p>
            <w:pPr>
              <w:rPr>
                <w:b/>
                <w:smallCaps/>
                <w:sz w:val="28"/>
                <w:szCs w:val="28"/>
              </w:rPr>
            </w:pPr>
            <w:r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>
            <w:pPr>
              <w:ind w:firstLine="420" w:firstLineChars="20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</w:tc>
      </w:tr>
    </w:tbl>
    <w:p>
      <w:pPr>
        <w:spacing w:before="156" w:beforeLines="50"/>
      </w:pPr>
      <w:r>
        <w:rPr>
          <w:rFonts w:hint="eastAsia"/>
        </w:rPr>
        <w:t>填写说明：</w:t>
      </w:r>
    </w:p>
    <w:p>
      <w:pPr>
        <w:pStyle w:val="9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>
        <w:rPr>
          <w:rFonts w:hint="eastAsia"/>
          <w:smallCaps/>
        </w:rPr>
        <w:t>□可根据需要变化为■（软键盘输入）；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“提交文件”建议按类别填写，尤其资源素材，建议分类压缩后填写，如：自制素材包、授权素材包、网络素材包等；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>
        <w:rPr>
          <w:rFonts w:hint="eastAsia"/>
          <w:b/>
        </w:rPr>
        <w:t>本表以P</w:t>
      </w:r>
      <w:r>
        <w:rPr>
          <w:b/>
        </w:rPr>
        <w:t>DF</w:t>
      </w:r>
      <w:r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>
      <w:pgSz w:w="11906" w:h="16838"/>
      <w:pgMar w:top="851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734A4"/>
    <w:multiLevelType w:val="multilevel"/>
    <w:tmpl w:val="77D734A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46"/>
    <w:rsid w:val="0005273A"/>
    <w:rsid w:val="000C5774"/>
    <w:rsid w:val="000E615E"/>
    <w:rsid w:val="001A7F71"/>
    <w:rsid w:val="00267EBD"/>
    <w:rsid w:val="002751B5"/>
    <w:rsid w:val="002C3D3C"/>
    <w:rsid w:val="003A7A1C"/>
    <w:rsid w:val="003B6863"/>
    <w:rsid w:val="003B76E3"/>
    <w:rsid w:val="003C2FDA"/>
    <w:rsid w:val="00421946"/>
    <w:rsid w:val="00466C79"/>
    <w:rsid w:val="0047415E"/>
    <w:rsid w:val="004D3AE1"/>
    <w:rsid w:val="005257F7"/>
    <w:rsid w:val="005741CB"/>
    <w:rsid w:val="005F7E8D"/>
    <w:rsid w:val="00612DB8"/>
    <w:rsid w:val="006757F6"/>
    <w:rsid w:val="00685F3F"/>
    <w:rsid w:val="006C7537"/>
    <w:rsid w:val="00712C0D"/>
    <w:rsid w:val="00732054"/>
    <w:rsid w:val="007329A3"/>
    <w:rsid w:val="0076788F"/>
    <w:rsid w:val="007E1354"/>
    <w:rsid w:val="00827C5F"/>
    <w:rsid w:val="00871C42"/>
    <w:rsid w:val="008E118B"/>
    <w:rsid w:val="00951643"/>
    <w:rsid w:val="00971BDE"/>
    <w:rsid w:val="00982A49"/>
    <w:rsid w:val="00B418EB"/>
    <w:rsid w:val="00BB7D81"/>
    <w:rsid w:val="00C41761"/>
    <w:rsid w:val="00D206CF"/>
    <w:rsid w:val="00D27480"/>
    <w:rsid w:val="00DA4C9E"/>
    <w:rsid w:val="00DB3377"/>
    <w:rsid w:val="00DD372E"/>
    <w:rsid w:val="00DD5F34"/>
    <w:rsid w:val="00E77905"/>
    <w:rsid w:val="00EA490A"/>
    <w:rsid w:val="00EC4006"/>
    <w:rsid w:val="00ED0818"/>
    <w:rsid w:val="00ED1A1A"/>
    <w:rsid w:val="00F0728D"/>
    <w:rsid w:val="00F33995"/>
    <w:rsid w:val="00F446D5"/>
    <w:rsid w:val="00FF404E"/>
    <w:rsid w:val="012760E8"/>
    <w:rsid w:val="01C5454C"/>
    <w:rsid w:val="0A0E2755"/>
    <w:rsid w:val="0CAF2947"/>
    <w:rsid w:val="0ED34D3D"/>
    <w:rsid w:val="143F011D"/>
    <w:rsid w:val="148A4350"/>
    <w:rsid w:val="1E3C3E9E"/>
    <w:rsid w:val="20F36AC9"/>
    <w:rsid w:val="20FD73DE"/>
    <w:rsid w:val="23C80233"/>
    <w:rsid w:val="26A05861"/>
    <w:rsid w:val="2FE81B76"/>
    <w:rsid w:val="337A2A93"/>
    <w:rsid w:val="348E172B"/>
    <w:rsid w:val="35F35C13"/>
    <w:rsid w:val="37723D10"/>
    <w:rsid w:val="39A37AA7"/>
    <w:rsid w:val="3ACBFC97"/>
    <w:rsid w:val="3DBFACAB"/>
    <w:rsid w:val="3DF73A89"/>
    <w:rsid w:val="411004A2"/>
    <w:rsid w:val="45296696"/>
    <w:rsid w:val="45C05386"/>
    <w:rsid w:val="477B6049"/>
    <w:rsid w:val="49CF60A4"/>
    <w:rsid w:val="4ACF6D7D"/>
    <w:rsid w:val="4B4768FC"/>
    <w:rsid w:val="4B550AC4"/>
    <w:rsid w:val="4C005FF5"/>
    <w:rsid w:val="4CFD58E9"/>
    <w:rsid w:val="4DC5372D"/>
    <w:rsid w:val="4E3E596F"/>
    <w:rsid w:val="4E771BC4"/>
    <w:rsid w:val="528E541F"/>
    <w:rsid w:val="55DE9C5B"/>
    <w:rsid w:val="561252D6"/>
    <w:rsid w:val="57BEC678"/>
    <w:rsid w:val="59187BD0"/>
    <w:rsid w:val="59FA1ADA"/>
    <w:rsid w:val="5B7785D4"/>
    <w:rsid w:val="5BA020C6"/>
    <w:rsid w:val="5BDF2B47"/>
    <w:rsid w:val="5BFBF4C6"/>
    <w:rsid w:val="5C725034"/>
    <w:rsid w:val="5DEFC6E1"/>
    <w:rsid w:val="5EFE3DB1"/>
    <w:rsid w:val="5F462C70"/>
    <w:rsid w:val="5FDFAFDA"/>
    <w:rsid w:val="62A238AF"/>
    <w:rsid w:val="637B77FC"/>
    <w:rsid w:val="63F42FC5"/>
    <w:rsid w:val="64D414CA"/>
    <w:rsid w:val="6637557D"/>
    <w:rsid w:val="6A49120E"/>
    <w:rsid w:val="6BA14B6C"/>
    <w:rsid w:val="6BB64848"/>
    <w:rsid w:val="6F8E037B"/>
    <w:rsid w:val="73B72C2A"/>
    <w:rsid w:val="744E31D7"/>
    <w:rsid w:val="74922439"/>
    <w:rsid w:val="7575B458"/>
    <w:rsid w:val="77B7E885"/>
    <w:rsid w:val="7875C0FE"/>
    <w:rsid w:val="78B542F5"/>
    <w:rsid w:val="79AD6926"/>
    <w:rsid w:val="7A335B31"/>
    <w:rsid w:val="7B815448"/>
    <w:rsid w:val="7BFFA74C"/>
    <w:rsid w:val="7CEFF2FF"/>
    <w:rsid w:val="7CF7CFBF"/>
    <w:rsid w:val="7DF68965"/>
    <w:rsid w:val="7E398B24"/>
    <w:rsid w:val="7EC6483E"/>
    <w:rsid w:val="7EDD4E7A"/>
    <w:rsid w:val="7EFD1EBD"/>
    <w:rsid w:val="7F7D1EDD"/>
    <w:rsid w:val="7F9D04AA"/>
    <w:rsid w:val="7FBB4721"/>
    <w:rsid w:val="7FEFD484"/>
    <w:rsid w:val="85DD8ED6"/>
    <w:rsid w:val="8FEFACA9"/>
    <w:rsid w:val="AFEEAC0D"/>
    <w:rsid w:val="B3930E96"/>
    <w:rsid w:val="B6DB04C7"/>
    <w:rsid w:val="BEE7D786"/>
    <w:rsid w:val="CFF05F8E"/>
    <w:rsid w:val="D1BB90BD"/>
    <w:rsid w:val="D7BF4582"/>
    <w:rsid w:val="DCFB84F8"/>
    <w:rsid w:val="DEF77896"/>
    <w:rsid w:val="EAC35284"/>
    <w:rsid w:val="EFAECD33"/>
    <w:rsid w:val="F657A6E4"/>
    <w:rsid w:val="F69B8C92"/>
    <w:rsid w:val="F7F7ABE7"/>
    <w:rsid w:val="F7FFE123"/>
    <w:rsid w:val="F9F7C4ED"/>
    <w:rsid w:val="F9FF2C5C"/>
    <w:rsid w:val="FAED40C9"/>
    <w:rsid w:val="FCF7B8ED"/>
    <w:rsid w:val="FDD5568F"/>
    <w:rsid w:val="FEDC0CAF"/>
    <w:rsid w:val="FF7F568A"/>
    <w:rsid w:val="FFCBC66F"/>
    <w:rsid w:val="FFDFA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unhideWhenUsed/>
    <w:qFormat/>
    <w:uiPriority w:val="99"/>
    <w:pPr>
      <w:spacing w:after="12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7"/>
    <w:link w:val="2"/>
    <w:qFormat/>
    <w:uiPriority w:val="99"/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</Words>
  <Characters>1260</Characters>
  <Lines>10</Lines>
  <Paragraphs>2</Paragraphs>
  <TotalTime>1</TotalTime>
  <ScaleCrop>false</ScaleCrop>
  <LinksUpToDate>false</LinksUpToDate>
  <CharactersWithSpaces>1478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2019-04-13T16:45:00Z</dcterms:created>
  <dc:creator>dengxifeng@pku.edu.cn</dc:creator>
  <cp:lastModifiedBy>重新來過</cp:lastModifiedBy>
  <dcterms:modified xsi:type="dcterms:W3CDTF">2019-05-29T08:14:36Z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