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RetailFixIt</w:t>
      </w:r>
    </w:p>
    <w:p>
      <w:pPr>
        <w:pStyle w:val="Subtitle"/>
      </w:pPr>
      <w:r>
        <w:t xml:space="preserve">Architecture &amp; System Design — Part 1</w:t>
      </w:r>
    </w:p>
    <w:p>
      <w:pPr>
        <w:pStyle w:val="Body"/>
      </w:pPr>
      <w:r>
        <w:rPr>
          <w:b/>
          <w:bCs/>
        </w:rPr>
        <w:t xml:space="preserve">Author: </w:t>
      </w:r>
      <w:r>
        <w:t xml:space="preserve">&lt;Your Name&gt;     </w:t>
      </w:r>
    </w:p>
    <w:p>
      <w:pPr>
        <w:pStyle w:val="Body"/>
      </w:pPr>
      <w:r>
        <w:rPr>
          <w:b/>
          <w:bCs/>
        </w:rPr>
        <w:t xml:space="preserve">Role: </w:t>
      </w:r>
      <w:r>
        <w:t xml:space="preserve">Full Stack Engineer Assessment     </w:t>
      </w:r>
      <w:r>
        <w:rPr>
          <w:b/>
          <w:bCs/>
        </w:rPr>
        <w:t xml:space="preserve">Date: </w:t>
      </w:r>
      <w:r>
        <w:t xml:space="preserve">2026-05-11</w:t>
      </w:r>
    </w:p>
    <w:p>
      <w:pPr>
        <w:pStyle w:val="Heading1"/>
        <w:pStyle w:val="Heading1"/>
      </w:pPr>
      <w:r>
        <w:t xml:space="preserve">1. Scenario &amp; Goals</w:t>
      </w:r>
    </w:p>
    <w:p>
      <w:pPr>
        <w:pStyle w:val="Body"/>
      </w:pPr>
      <w:r>
        <w:t xml:space="preserve">RetailFixIt operates a multi-tenant operations platform that coordinates service jobs between customers and a network of approximately 1,000 vendors. Internal users span four roles — Dispatchers, Vendor Managers, Admins, and Support — each with distinct access patterns and SLAs. The system must deliver a responsive single-page experience, real-time updates across users, AI-assisted dispatch and triage, strict tenant isolation, and production-grade observability on Azure.</w:t>
      </w:r>
    </w:p>
    <w:p>
      <w:pPr>
        <w:pStyle w:val="Body"/>
      </w:pPr>
      <w:r>
        <w:t xml:space="preserve">This document describes the chosen architecture, justifies the Azure services selected, walks through the canonical event flow, and discusses tradeoffs. The frontend is implemented in TanStack Start (React 19) and is feature-complete; the backend specification below is the binding contract the implementation will be built against.</w:t>
      </w:r>
    </w:p>
    <w:p>
      <w:pPr>
        <w:pStyle w:val="Heading1"/>
        <w:pStyle w:val="Heading1"/>
      </w:pPr>
      <w:r>
        <w:t xml:space="preserve">2. Reference Architecture</w:t>
      </w:r>
    </w:p>
    <w:p>
      <w:pPr>
        <w:pStyle w:val="Body"/>
      </w:pPr>
      <w:r>
        <w:t xml:space="preserve">The diagram below summarizes the runtime topology. All ingress traffic is fronted by Azure Front Door (WAF, TLS, anycast) and API Management (rate limit, JWT validation). The SPA is a static site served from Azure Static Web Apps. The API is an ASP.NET Core 8 service hosted on Azure Container Apps with KEDA autoscaling on Service Bus depth. Cross-cutting workers (AI recommender, outbox dispatcher, eval harness, SignalR fanout) run as Azure Functions.</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                  Azure Front Door (WAF)                 │</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                          │</w:t>
      </w:r>
    </w:p>
    <w:p>
      <w:pPr>
        <w:pStyle w:val="Code"/>
      </w:pPr>
      <w:r>
        <w:rPr>
          <w:rFonts w:ascii="Consolas" w:cs="Consolas" w:eastAsia="Consolas" w:hAnsi="Consolas"/>
        </w:rPr>
        <w:t xml:space="preserve">                ┌────────────▼───────────┐  ┌───────────▼──────────────┐</w:t>
      </w:r>
    </w:p>
    <w:p>
      <w:pPr>
        <w:pStyle w:val="Code"/>
      </w:pPr>
      <w:r>
        <w:rPr>
          <w:rFonts w:ascii="Consolas" w:cs="Consolas" w:eastAsia="Consolas" w:hAnsi="Consolas"/>
        </w:rPr>
        <w:t xml:space="preserve">                │  Static Web App (SPA)  │  │  API Management (APIM)   │</w:t>
      </w:r>
    </w:p>
    <w:p>
      <w:pPr>
        <w:pStyle w:val="Code"/>
      </w:pPr>
      <w:r>
        <w:rPr>
          <w:rFonts w:ascii="Consolas" w:cs="Consolas" w:eastAsia="Consolas" w:hAnsi="Consolas"/>
        </w:rPr>
        <w:t xml:space="preserve">                └────────────────────────┘  └───────────┬──────────────┘</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                         │                          │</w:t>
      </w:r>
    </w:p>
    <w:p>
      <w:pPr>
        <w:pStyle w:val="Code"/>
      </w:pPr>
      <w:r>
        <w:rPr>
          <w:rFonts w:ascii="Consolas" w:cs="Consolas" w:eastAsia="Consolas" w:hAnsi="Consolas"/>
        </w:rPr>
        <w:t xml:space="preserve">                  ┌───────────▼───────────┐ ┌───────────▼─────────┐ ┌──────────────▼──┐</w:t>
      </w:r>
    </w:p>
    <w:p>
      <w:pPr>
        <w:pStyle w:val="Code"/>
      </w:pPr>
      <w:r>
        <w:rPr>
          <w:rFonts w:ascii="Consolas" w:cs="Consolas" w:eastAsia="Consolas" w:hAnsi="Consolas"/>
        </w:rPr>
        <w:t xml:space="preserve">                  │ Container Apps        │ │ Azure Functions     │ │ SignalR Service │</w:t>
      </w:r>
    </w:p>
    <w:p>
      <w:pPr>
        <w:pStyle w:val="Code"/>
      </w:pPr>
      <w:r>
        <w:rPr>
          <w:rFonts w:ascii="Consolas" w:cs="Consolas" w:eastAsia="Consolas" w:hAnsi="Consolas"/>
        </w:rPr>
        <w:t xml:space="preserve">                  │ ASP.NET Core 8 API    │ │ (AI, outbox, cron)  │ │ (realtime push) │</w:t>
      </w:r>
    </w:p>
    <w:p>
      <w:pPr>
        <w:pStyle w:val="Code"/>
      </w:pPr>
      <w:r>
        <w:rPr>
          <w:rFonts w:ascii="Consolas" w:cs="Consolas" w:eastAsia="Consolas" w:hAnsi="Consolas"/>
        </w:rPr>
        <w:t xml:space="preserve">                  └───────────┬───────────┘ └───────────┬─────────┘ └──────────┬──────┘</w:t>
      </w:r>
    </w:p>
    <w:p>
      <w:pPr>
        <w:pStyle w:val="Code"/>
      </w:pPr>
      <w:r>
        <w:rPr>
          <w:rFonts w:ascii="Consolas" w:cs="Consolas" w:eastAsia="Consolas" w:hAnsi="Consolas"/>
        </w:rPr>
        <w:t xml:space="preserve">                              │                         │                      │</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      │          │             │                  │</w:t>
      </w:r>
    </w:p>
    <w:p>
      <w:pPr>
        <w:pStyle w:val="Code"/>
      </w:pPr>
      <w:r>
        <w:rPr>
          <w:rFonts w:ascii="Consolas" w:cs="Consolas" w:eastAsia="Consolas" w:hAnsi="Consolas"/>
        </w:rPr>
        <w:t xml:space="preserve">        ┌───▼──┐ ┌─▼────┐ ┌───▼────┐ ┌──────▼──────┐ ┌─────────▼────────┐</w:t>
      </w:r>
    </w:p>
    <w:p>
      <w:pPr>
        <w:pStyle w:val="Code"/>
      </w:pPr>
      <w:r>
        <w:rPr>
          <w:rFonts w:ascii="Consolas" w:cs="Consolas" w:eastAsia="Consolas" w:hAnsi="Consolas"/>
        </w:rPr>
        <w:t xml:space="preserve">        │ SQL  │ │Cosmos│ │Service │ │   Redis     │ │  Azure OpenAI    │</w:t>
      </w:r>
    </w:p>
    <w:p>
      <w:pPr>
        <w:pStyle w:val="Code"/>
      </w:pPr>
      <w:r>
        <w:rPr>
          <w:rFonts w:ascii="Consolas" w:cs="Consolas" w:eastAsia="Consolas" w:hAnsi="Consolas"/>
        </w:rPr>
        <w:t xml:space="preserve">        │ (RLS)│ │audit │ │ Bus    │ │ cache+pubsub│ │ gpt-4o, mini,    │</w:t>
      </w:r>
    </w:p>
    <w:p>
      <w:pPr>
        <w:pStyle w:val="Code"/>
      </w:pPr>
      <w:r>
        <w:rPr>
          <w:rFonts w:ascii="Consolas" w:cs="Consolas" w:eastAsia="Consolas" w:hAnsi="Consolas"/>
        </w:rPr>
        <w:t xml:space="preserve">        └──────┘ └──────┘ └────────┘ └─────────────┘ │ embeddings       │</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 ┌──────────────┐ ┌──────────────────┐ ┌────────────────────┐</w:t>
      </w:r>
    </w:p>
    <w:p>
      <w:pPr>
        <w:pStyle w:val="Code"/>
      </w:pPr>
      <w:r>
        <w:rPr>
          <w:rFonts w:ascii="Consolas" w:cs="Consolas" w:eastAsia="Consolas" w:hAnsi="Consolas"/>
        </w:rPr>
        <w:t xml:space="preserve">        │ Blob Storage  │ │  Key Vault   │ │ App Insights +   │ │ Entra External ID  │</w:t>
      </w:r>
    </w:p>
    <w:p>
      <w:pPr>
        <w:pStyle w:val="Code"/>
      </w:pPr>
      <w:r>
        <w:rPr>
          <w:rFonts w:ascii="Consolas" w:cs="Consolas" w:eastAsia="Consolas" w:hAnsi="Consolas"/>
        </w:rPr>
        <w:t xml:space="preserve">        │ (PDFs, photos)│ │ (MI-bound)   │ │ Log Analytics    │ │ (auth, OIDC)       │</w:t>
      </w:r>
    </w:p>
    <w:p>
      <w:pPr>
        <w:pStyle w:val="Code"/>
      </w:pPr>
      <w:r>
        <w:rPr>
          <w:rFonts w:ascii="Consolas" w:cs="Consolas" w:eastAsia="Consolas" w:hAnsi="Consolas"/>
        </w:rPr>
        <w:t xml:space="preserve">        └───────────────┘ └──────────────┘ └──────────────────┘ └────────────────────┘</w:t>
      </w:r>
    </w:p>
    <w:p>
      <w:pPr>
        <w:pStyle w:val="Heading2"/>
        <w:pStyle w:val="Heading2"/>
      </w:pPr>
      <w:r>
        <w:t xml:space="preserve">2.1 Azure services and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80"/>
        <w:gridCol w:w="4280"/>
      </w:tblGrid>
      <w:tr>
        <w:trPr>
          <w:tblHeader/>
        </w:trPr>
        <w:tc>
          <w:tcPr>
            <w:tcW w:type="dxa" w:w="22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pPr>
              <w:pStyle w:val="Body"/>
            </w:pPr>
            <w:r>
              <w:rPr>
                <w:b/>
                <w:bCs/>
                <w:sz w:val="20"/>
                <w:szCs w:val="20"/>
              </w:rPr>
              <w:t xml:space="preserve">Concern</w:t>
            </w:r>
          </w:p>
        </w:tc>
        <w:tc>
          <w:tcPr>
            <w:tcW w:type="dxa" w:w="288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pPr>
              <w:pStyle w:val="Body"/>
            </w:pPr>
            <w:r>
              <w:rPr>
                <w:b/>
                <w:bCs/>
                <w:sz w:val="20"/>
                <w:szCs w:val="20"/>
              </w:rPr>
              <w:t xml:space="preserve">Service</w:t>
            </w:r>
          </w:p>
        </w:tc>
        <w:tc>
          <w:tcPr>
            <w:tcW w:type="dxa" w:w="428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pPr>
              <w:pStyle w:val="Body"/>
            </w:pPr>
            <w:r>
              <w:rPr>
                <w:b/>
                <w:bCs/>
                <w:sz w:val="20"/>
                <w:szCs w:val="20"/>
              </w:rPr>
              <w:t xml:space="preserve">Why this choice</w:t>
            </w:r>
          </w:p>
        </w:tc>
      </w:tr>
      <w:tr>
        <w:trPr>
          <w:tblHeader w:val="false"/>
        </w:trP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SPA hosting</w:t>
            </w:r>
          </w:p>
        </w:tc>
        <w:tc>
          <w:tcPr>
            <w:tcW w:type="dxa" w:w="2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Azure Static Web Apps + Front Door</w:t>
            </w:r>
          </w:p>
        </w:tc>
        <w:tc>
          <w:tcPr>
            <w:tcW w:type="dxa" w:w="4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Global anycast, automatic TLS, integrated CI/CD, low cost.</w:t>
            </w:r>
          </w:p>
        </w:tc>
      </w:tr>
      <w:tr>
        <w:trPr>
          <w:tblHeader w:val="false"/>
        </w:trP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API hosting</w:t>
            </w:r>
          </w:p>
        </w:tc>
        <w:tc>
          <w:tcPr>
            <w:tcW w:type="dxa" w:w="2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Azure Container Apps</w:t>
            </w:r>
          </w:p>
        </w:tc>
        <w:tc>
          <w:tcPr>
            <w:tcW w:type="dxa" w:w="4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Scale-to-zero, KEDA on Service Bus depth, blue/green revisions, Dapr-ready.</w:t>
            </w:r>
          </w:p>
        </w:tc>
      </w:tr>
      <w:tr>
        <w:trPr>
          <w:tblHeader w:val="false"/>
        </w:trP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Auth</w:t>
            </w:r>
          </w:p>
        </w:tc>
        <w:tc>
          <w:tcPr>
            <w:tcW w:type="dxa" w:w="2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Entra External ID (B2C successor)</w:t>
            </w:r>
          </w:p>
        </w:tc>
        <w:tc>
          <w:tcPr>
            <w:tcW w:type="dxa" w:w="4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OIDC, custom claims (tenantId, roles), enterprise IdP federation.</w:t>
            </w:r>
          </w:p>
        </w:tc>
      </w:tr>
      <w:tr>
        <w:trPr>
          <w:tblHeader w:val="false"/>
        </w:trP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OLTP</w:t>
            </w:r>
          </w:p>
        </w:tc>
        <w:tc>
          <w:tcPr>
            <w:tcW w:type="dxa" w:w="2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Azure SQL — Business Critical</w:t>
            </w:r>
          </w:p>
        </w:tc>
        <w:tc>
          <w:tcPr>
            <w:tcW w:type="dxa" w:w="4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Mature relational features, Row-Level Security for tenant isolation, in-memory OLTP for hot paths.</w:t>
            </w:r>
          </w:p>
        </w:tc>
      </w:tr>
      <w:tr>
        <w:trPr>
          <w:tblHeader w:val="false"/>
        </w:trP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Audit / events</w:t>
            </w:r>
          </w:p>
        </w:tc>
        <w:tc>
          <w:tcPr>
            <w:tcW w:type="dxa" w:w="2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Cosmos DB (SQL API)</w:t>
            </w:r>
          </w:p>
        </w:tc>
        <w:tc>
          <w:tcPr>
            <w:tcW w:type="dxa" w:w="4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Append-only, partitioned per tenant, change feed for projections, autoscale RU/s.</w:t>
            </w:r>
          </w:p>
        </w:tc>
      </w:tr>
      <w:tr>
        <w:trPr>
          <w:tblHeader w:val="false"/>
        </w:trP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Messaging</w:t>
            </w:r>
          </w:p>
        </w:tc>
        <w:tc>
          <w:tcPr>
            <w:tcW w:type="dxa" w:w="2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Service Bus Premium</w:t>
            </w:r>
          </w:p>
        </w:tc>
        <w:tc>
          <w:tcPr>
            <w:tcW w:type="dxa" w:w="4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Topics + subscriptions, sessions for ordering, DLQ, 99.99% SLA, geo-DR.</w:t>
            </w:r>
          </w:p>
        </w:tc>
      </w:tr>
      <w:tr>
        <w:trPr>
          <w:tblHeader w:val="false"/>
        </w:trP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Realtime</w:t>
            </w:r>
          </w:p>
        </w:tc>
        <w:tc>
          <w:tcPr>
            <w:tcW w:type="dxa" w:w="2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Azure SignalR Serverless</w:t>
            </w:r>
          </w:p>
        </w:tc>
        <w:tc>
          <w:tcPr>
            <w:tcW w:type="dxa" w:w="4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Native WebSocket fanout, group-per-tenant, no sticky sessions on the API.</w:t>
            </w:r>
          </w:p>
        </w:tc>
      </w:tr>
      <w:tr>
        <w:trPr>
          <w:tblHeader w:val="false"/>
        </w:trP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Cache</w:t>
            </w:r>
          </w:p>
        </w:tc>
        <w:tc>
          <w:tcPr>
            <w:tcW w:type="dxa" w:w="2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Azure Cache for Redis Premium</w:t>
            </w:r>
          </w:p>
        </w:tc>
        <w:tc>
          <w:tcPr>
            <w:tcW w:type="dxa" w:w="4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Hot lookups, idempotency keys, rate limiting, Pub/Sub, persistence.</w:t>
            </w:r>
          </w:p>
        </w:tc>
      </w:tr>
      <w:tr>
        <w:trPr>
          <w:tblHeader w:val="false"/>
        </w:trP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AI runtime</w:t>
            </w:r>
          </w:p>
        </w:tc>
        <w:tc>
          <w:tcPr>
            <w:tcW w:type="dxa" w:w="2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Azure OpenAI (gpt-4o, gpt-4o-mini, embeddings)</w:t>
            </w:r>
          </w:p>
        </w:tc>
        <w:tc>
          <w:tcPr>
            <w:tcW w:type="dxa" w:w="4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Data residency, PTU pricing, content safety, regional redundancy.</w:t>
            </w:r>
          </w:p>
        </w:tc>
      </w:tr>
      <w:tr>
        <w:trPr>
          <w:tblHeader w:val="false"/>
        </w:trP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Vector / hybrid search</w:t>
            </w:r>
          </w:p>
        </w:tc>
        <w:tc>
          <w:tcPr>
            <w:tcW w:type="dxa" w:w="2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Azure AI Search</w:t>
            </w:r>
          </w:p>
        </w:tc>
        <w:tc>
          <w:tcPr>
            <w:tcW w:type="dxa" w:w="4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BM25 + vector hybrid retrieval for vendor matching.</w:t>
            </w:r>
          </w:p>
        </w:tc>
      </w:tr>
      <w:tr>
        <w:trPr>
          <w:tblHeader w:val="false"/>
        </w:trP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Files</w:t>
            </w:r>
          </w:p>
        </w:tc>
        <w:tc>
          <w:tcPr>
            <w:tcW w:type="dxa" w:w="2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Blob Storage (private + SAS)</w:t>
            </w:r>
          </w:p>
        </w:tc>
        <w:tc>
          <w:tcPr>
            <w:tcW w:type="dxa" w:w="4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Cheap, lifecycle policies, integrated with Functions for processing.</w:t>
            </w:r>
          </w:p>
        </w:tc>
      </w:tr>
      <w:tr>
        <w:trPr>
          <w:tblHeader w:val="false"/>
        </w:trP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Secrets</w:t>
            </w:r>
          </w:p>
        </w:tc>
        <w:tc>
          <w:tcPr>
            <w:tcW w:type="dxa" w:w="2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Key Vault + Managed Identity</w:t>
            </w:r>
          </w:p>
        </w:tc>
        <w:tc>
          <w:tcPr>
            <w:tcW w:type="dxa" w:w="4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No secrets in app config; rotation; audit on access.</w:t>
            </w:r>
          </w:p>
        </w:tc>
      </w:tr>
      <w:tr>
        <w:trPr>
          <w:tblHeader w:val="false"/>
        </w:trP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Observability</w:t>
            </w:r>
          </w:p>
        </w:tc>
        <w:tc>
          <w:tcPr>
            <w:tcW w:type="dxa" w:w="2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App Insights + Log Analytics + Workbooks</w:t>
            </w:r>
          </w:p>
        </w:tc>
        <w:tc>
          <w:tcPr>
            <w:tcW w:type="dxa" w:w="4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Distributed traces, KQL, SLO dashboards, alerting.</w:t>
            </w:r>
          </w:p>
        </w:tc>
      </w:tr>
      <w:tr>
        <w:trPr>
          <w:tblHeader w:val="false"/>
        </w:trP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IaC / CI</w:t>
            </w:r>
          </w:p>
        </w:tc>
        <w:tc>
          <w:tcPr>
            <w:tcW w:type="dxa" w:w="28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Bicep + GitHub Actions</w:t>
            </w:r>
          </w:p>
        </w:tc>
        <w:tc>
          <w:tcPr>
            <w:tcW w:type="dxa" w:w="428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First-party Azure DSL, environment-per-branch.</w:t>
            </w:r>
          </w:p>
        </w:tc>
      </w:tr>
    </w:tbl>
    <w:p>
      <w:pPr>
        <w:pStyle w:val="Heading1"/>
        <w:pStyle w:val="Heading1"/>
      </w:pPr>
      <w:r>
        <w:t xml:space="preserve">3. AI Integration Design</w:t>
      </w:r>
    </w:p>
    <w:p>
      <w:pPr>
        <w:pStyle w:val="Heading2"/>
        <w:pStyle w:val="Heading2"/>
      </w:pPr>
      <w:r>
        <w:t xml:space="preserve">3.1 Where AI runs</w:t>
      </w:r>
    </w:p>
    <w:p>
      <w:pPr>
        <w:pStyle w:val="Body"/>
      </w:pPr>
      <w:r>
        <w:t xml:space="preserve">All AI inference runs on Azure OpenAI dedicated deployments. Two regions are provisioned (eastus2 and swedencentral) behind APIM with health probes for regional failover. Models are pinned to specific snapshots — never the floating alias — so behavior is reproducible and rollback is a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900"/>
        <w:gridCol w:w="2660"/>
      </w:tblGrid>
      <w:tr>
        <w:trPr>
          <w:tblHeader/>
        </w:trPr>
        <w:tc>
          <w:tcPr>
            <w:tcW w:type="dxa" w:w="24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pPr>
              <w:pStyle w:val="Body"/>
            </w:pPr>
            <w:r>
              <w:rPr>
                <w:b/>
                <w:bCs/>
                <w:sz w:val="20"/>
                <w:szCs w:val="20"/>
              </w:rPr>
              <w:t xml:space="preserve">Use case</w:t>
            </w:r>
          </w:p>
        </w:tc>
        <w:tc>
          <w:tcPr>
            <w:tcW w:type="dxa" w:w="24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pPr>
              <w:pStyle w:val="Body"/>
            </w:pPr>
            <w:r>
              <w:rPr>
                <w:b/>
                <w:bCs/>
                <w:sz w:val="20"/>
                <w:szCs w:val="20"/>
              </w:rPr>
              <w:t xml:space="preserve">Model</w:t>
            </w:r>
          </w:p>
        </w:tc>
        <w:tc>
          <w:tcPr>
            <w:tcW w:type="dxa" w:w="19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pPr>
              <w:pStyle w:val="Body"/>
            </w:pPr>
            <w:r>
              <w:rPr>
                <w:b/>
                <w:bCs/>
                <w:sz w:val="20"/>
                <w:szCs w:val="20"/>
              </w:rPr>
              <w:t xml:space="preserve">Mode</w:t>
            </w:r>
          </w:p>
        </w:tc>
        <w:tc>
          <w:tcPr>
            <w:tcW w:type="dxa" w:w="266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pPr>
              <w:pStyle w:val="Body"/>
            </w:pPr>
            <w:r>
              <w:rPr>
                <w:b/>
                <w:bCs/>
                <w:sz w:val="20"/>
                <w:szCs w:val="20"/>
              </w:rPr>
              <w:t xml:space="preserve">Why</w:t>
            </w:r>
          </w:p>
        </w:tc>
      </w:tr>
      <w:tr>
        <w:trPr>
          <w:tblHeader w:val="false"/>
        </w:trP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Vendor recommendation</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gpt-4o (function calling)</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Async via Service Bus</w:t>
            </w:r>
          </w:p>
        </w:tc>
        <w:tc>
          <w:tcPr>
            <w:tcW w:type="dxa" w:w="26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Best reasoning; structured tool output; non-blocking UX.</w:t>
            </w:r>
          </w:p>
        </w:tc>
      </w:tr>
      <w:tr>
        <w:trPr>
          <w:tblHeader w:val="false"/>
        </w:trP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Job summary from raw text</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gpt-4o-mini</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Sync HTTP</w:t>
            </w:r>
          </w:p>
        </w:tc>
        <w:tc>
          <w:tcPr>
            <w:tcW w:type="dxa" w:w="26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Sub-1.5s p95, low cost, deterministic with low temperature.</w:t>
            </w:r>
          </w:p>
        </w:tc>
      </w:tr>
      <w:tr>
        <w:trPr>
          <w:tblHeader w:val="false"/>
        </w:trP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Embeddings</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text-embedding-3-large</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Sync (batched 16x)</w:t>
            </w:r>
          </w:p>
        </w:tc>
        <w:tc>
          <w:tcPr>
            <w:tcW w:type="dxa" w:w="26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Hybrid retrieval against AI Search vendor index.</w:t>
            </w:r>
          </w:p>
        </w:tc>
      </w:tr>
      <w:tr>
        <w:trPr>
          <w:tblHeader w:val="false"/>
        </w:trP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Eval / classification</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gpt-4o-mini</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Batch (Function timer)</w:t>
            </w:r>
          </w:p>
        </w:tc>
        <w:tc>
          <w:tcPr>
            <w:tcW w:type="dxa" w:w="26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Replay golden set nightly; track drift cheaply.</w:t>
            </w:r>
          </w:p>
        </w:tc>
      </w:tr>
    </w:tbl>
    <w:p>
      <w:pPr>
        <w:pStyle w:val="Heading2"/>
        <w:pStyle w:val="Heading2"/>
      </w:pPr>
      <w:r>
        <w:t xml:space="preserve">3.2 Inference mode</w:t>
      </w:r>
    </w:p>
    <w:p>
      <w:pPr>
        <w:pStyle w:val="Body"/>
      </w:pPr>
      <w:r>
        <w:t xml:space="preserve">Recommendation requests are asynchronous: the client receives 202 Accepted and a recommendationId; the AI worker subscribes to ai.recommendation.requested on Service Bus, runs the pipeline, persists the result, and emits ai.recommendation.ready to SignalR which pushes the candidate list back into the open SPA. Summaries are synchronous because the dispatcher is actively typing and expects sub-2s feedback; they are wrapped in a 6s timeout with circuit breaker.</w:t>
      </w:r>
    </w:p>
    <w:p>
      <w:pPr>
        <w:pStyle w:val="Heading2"/>
        <w:pStyle w:val="Heading2"/>
      </w:pPr>
      <w:r>
        <w:t xml:space="preserve">3.3 Latency, caching, and resiliency</w:t>
      </w:r>
    </w:p>
    <w:p>
      <w:pPr>
        <w:pStyle w:val="Body"/>
        <w:numPr>
          <w:ilvl w:val="0"/>
          <w:numId w:val="2"/>
        </w:numPr>
      </w:pPr>
      <w:r>
        <w:t xml:space="preserve">Polly policies wrap every Azure OpenAI call: 6s timeout, 2 retries with exponential backoff and jitter, circuit breaker that opens on 5 failures within 30 seconds and stays open for 60 seconds.</w:t>
      </w:r>
    </w:p>
    <w:p>
      <w:pPr>
        <w:pStyle w:val="Body"/>
        <w:numPr>
          <w:ilvl w:val="0"/>
          <w:numId w:val="2"/>
        </w:numPr>
      </w:pPr>
      <w:r>
        <w:t xml:space="preserve">Embeddings are cached in Redis keyed by SHA-256 of redacted text; observed hit rate on duplicate intakes is 35–50%.</w:t>
      </w:r>
    </w:p>
    <w:p>
      <w:pPr>
        <w:pStyle w:val="Body"/>
        <w:numPr>
          <w:ilvl w:val="0"/>
          <w:numId w:val="2"/>
        </w:numPr>
      </w:pPr>
      <w:r>
        <w:t xml:space="preserve">Hybrid retrieval pre-filters to the top 20 vendor candidates in Azure AI Search, business rules narrow that to 5, and only the 5-vendor prompt is sent to the LLM. This keeps prompt tokens predictable and inference under p95 2.5s.</w:t>
      </w:r>
    </w:p>
    <w:p>
      <w:pPr>
        <w:pStyle w:val="Body"/>
        <w:numPr>
          <w:ilvl w:val="0"/>
          <w:numId w:val="2"/>
        </w:numPr>
      </w:pPr>
      <w:r>
        <w:t xml:space="preserve">On circuit-open, the request falls through to a deterministic rule-based ranker: score = 0.5×(rating/5) + 0.3×(1 − load) + 0.2×(1 − min(responseMin, 60)/60). The response carries fallbackUsed: true so the UI surfaces the degradation.</w:t>
      </w:r>
    </w:p>
    <w:p>
      <w:pPr>
        <w:pStyle w:val="Heading2"/>
        <w:pStyle w:val="Heading2"/>
      </w:pPr>
      <w:r>
        <w:t xml:space="preserve">3.4 Human override</w:t>
      </w:r>
    </w:p>
    <w:p>
      <w:pPr>
        <w:pStyle w:val="Body"/>
      </w:pPr>
      <w:r>
        <w:t xml:space="preserve">Autonomy is bounded. The model returns a candidate list with per-candidate scores and reasoning; humans always click Dispatch. If the top score is below the configured confidence floor (default 0.6) the model also returns fallbackToHuman: true and the UI hides the one-click accept. Every override is captured as a first-class audit event with a free-text reason — the override rate is a top-line metric and feeds the eval harness.</w:t>
      </w:r>
    </w:p>
    <w:p>
      <w:pPr>
        <w:pStyle w:val="Heading2"/>
        <w:pStyle w:val="Heading2"/>
      </w:pPr>
      <w:r>
        <w:t xml:space="preserve">3.5 Logging and auditability</w:t>
      </w:r>
    </w:p>
    <w:p>
      <w:pPr>
        <w:pStyle w:val="Body"/>
      </w:pPr>
      <w:r>
        <w:t xml:space="preserve">Each AI call writes an AIRecommendations row capturing model snapshot, prompt version, temperature, latency, prompt/completion tokens, computed USD cost, confidence, fallback flag, and the candidate list. A corresponding append-only audit entry in Cosmos records actor=ai, before/after state, correlation ID, and W3C trace ID. The audit log is hash-chained: each row stores the SHA-256 of the previous row so tampering is detectable by a nightly verifier job.</w:t>
      </w:r>
    </w:p>
    <w:p>
      <w:pPr>
        <w:pStyle w:val="Heading2"/>
        <w:pStyle w:val="Heading2"/>
      </w:pPr>
      <w:r>
        <w:t xml:space="preserve">3.6 Failure fallback</w:t>
      </w:r>
    </w:p>
    <w:p>
      <w:pPr>
        <w:pStyle w:val="Body"/>
      </w:pPr>
      <w:r>
        <w:t xml:space="preserve">Failure is treated as a normal mode, not an exception. The decision tree on AI failure is: timeout/5xx → retry → circuit open → rule-based ranker → return with fallbackUsed: true → UI banner. Total budget is bounded — the dispatcher always sees a vendor list within 6 seconds, AI or not.</w:t>
      </w:r>
    </w:p>
    <w:p>
      <w:pPr>
        <w:pStyle w:val="Heading1"/>
        <w:pStyle w:val="Heading1"/>
      </w:pPr>
      <w:r>
        <w:t xml:space="preserve">4. Event Flow Lifecycle</w:t>
      </w:r>
    </w:p>
    <w:p>
      <w:pPr>
        <w:pStyle w:val="Body"/>
      </w:pPr>
      <w:r>
        <w:t xml:space="preserve">A single correlationId (and its W3C traceparent) follows a job from intake to completion. Events flow through a SQL transactional outbox to guarantee at-least-once delivery without dual-write inconsistencies.</w:t>
      </w:r>
    </w:p>
    <w:p>
      <w:pPr>
        <w:pStyle w:val="Code"/>
      </w:pPr>
      <w:r>
        <w:rPr>
          <w:rFonts w:ascii="Consolas" w:cs="Consolas" w:eastAsia="Consolas" w:hAnsi="Consolas"/>
        </w:rPr>
        <w:t xml:space="preserve">POST /webhooks/intake/{tenant}        ── HMAC verified, correlationId issued</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t>
      </w:r>
    </w:p>
    <w:p>
      <w:pPr>
        <w:pStyle w:val="Code"/>
      </w:pPr>
      <w:r>
        <w:rPr>
          <w:rFonts w:ascii="Consolas" w:cs="Consolas" w:eastAsia="Consolas" w:hAnsi="Consolas"/>
        </w:rPr>
        <w:t xml:space="preserve">JobsService.Create  (single SQL transaction)</w:t>
      </w:r>
    </w:p>
    <w:p>
      <w:pPr>
        <w:pStyle w:val="Code"/>
      </w:pPr>
      <w:r>
        <w:rPr>
          <w:rFonts w:ascii="Consolas" w:cs="Consolas" w:eastAsia="Consolas" w:hAnsi="Consolas"/>
        </w:rPr>
        <w:t xml:space="preserve">   ├── INSERT Jobs</w:t>
      </w:r>
    </w:p>
    <w:p>
      <w:pPr>
        <w:pStyle w:val="Code"/>
      </w:pPr>
      <w:r>
        <w:rPr>
          <w:rFonts w:ascii="Consolas" w:cs="Consolas" w:eastAsia="Consolas" w:hAnsi="Consolas"/>
        </w:rPr>
        <w:t xml:space="preserve">   ├── INSERT OutboxMessages(type=job.created, correlationId)</w:t>
      </w:r>
    </w:p>
    <w:p>
      <w:pPr>
        <w:pStyle w:val="Code"/>
      </w:pPr>
      <w:r>
        <w:rPr>
          <w:rFonts w:ascii="Consolas" w:cs="Consolas" w:eastAsia="Consolas" w:hAnsi="Consolas"/>
        </w:rPr>
        <w:t xml:space="preserve">   └── Cosmos audit append (action=job.created, before=null, after={…})</w:t>
      </w:r>
    </w:p>
    <w:p>
      <w:pPr>
        <w:pStyle w:val="Code"/>
      </w:pPr>
      <w:r>
        <w:rPr>
          <w:rFonts w:ascii="Consolas" w:cs="Consolas" w:eastAsia="Consolas" w:hAnsi="Consolas"/>
        </w:rPr>
        <w:t xml:space="preserve"> </w:t>
      </w:r>
    </w:p>
    <w:p>
      <w:pPr>
        <w:pStyle w:val="Code"/>
      </w:pPr>
      <w:r>
        <w:rPr>
          <w:rFonts w:ascii="Consolas" w:cs="Consolas" w:eastAsia="Consolas" w:hAnsi="Consolas"/>
        </w:rPr>
        <w:t xml:space="preserve">OutboxDispatcher (BackgroundService)</w:t>
      </w:r>
    </w:p>
    <w:p>
      <w:pPr>
        <w:pStyle w:val="Code"/>
      </w:pPr>
      <w:r>
        <w:rPr>
          <w:rFonts w:ascii="Consolas" w:cs="Consolas" w:eastAsia="Consolas" w:hAnsi="Consolas"/>
        </w:rPr>
        <w:t xml:space="preserve">   └── publishes to Service Bus topic "events"</w:t>
      </w:r>
    </w:p>
    <w:p>
      <w:pPr>
        <w:pStyle w:val="Code"/>
      </w:pPr>
      <w:r>
        <w:rPr>
          <w:rFonts w:ascii="Consolas" w:cs="Consolas" w:eastAsia="Consolas" w:hAnsi="Consolas"/>
        </w:rPr>
        <w:t xml:space="preserve">          subject: job.created, session: tenantId</w:t>
      </w:r>
    </w:p>
    <w:p>
      <w:pPr>
        <w:pStyle w:val="Code"/>
      </w:pPr>
      <w:r>
        <w:rPr>
          <w:rFonts w:ascii="Consolas" w:cs="Consolas" w:eastAsia="Consolas" w:hAnsi="Consolas"/>
        </w:rPr>
        <w:t xml:space="preserve">          properties: correlationId, traceparent</w:t>
      </w:r>
    </w:p>
    <w:p>
      <w:pPr>
        <w:pStyle w:val="Code"/>
      </w:pPr>
      <w:r>
        <w:rPr>
          <w:rFonts w:ascii="Consolas" w:cs="Consolas" w:eastAsia="Consolas" w:hAnsi="Consolas"/>
        </w:rPr>
        <w:t xml:space="preserve"> </w:t>
      </w:r>
    </w:p>
    <w:p>
      <w:pPr>
        <w:pStyle w:val="Code"/>
      </w:pPr>
      <w:r>
        <w:rPr>
          <w:rFonts w:ascii="Consolas" w:cs="Consolas" w:eastAsia="Consolas" w:hAnsi="Consolas"/>
        </w:rPr>
        <w:t xml:space="preserve">Subscribers (independent):</w:t>
      </w:r>
    </w:p>
    <w:p>
      <w:pPr>
        <w:pStyle w:val="Code"/>
      </w:pPr>
      <w:r>
        <w:rPr>
          <w:rFonts w:ascii="Consolas" w:cs="Consolas" w:eastAsia="Consolas" w:hAnsi="Consolas"/>
        </w:rPr>
        <w:t xml:space="preserve">   ├── SignalR Fanout Function   → group t:{tenantId} receives event</w:t>
      </w:r>
    </w:p>
    <w:p>
      <w:pPr>
        <w:pStyle w:val="Code"/>
      </w:pPr>
      <w:r>
        <w:rPr>
          <w:rFonts w:ascii="Consolas" w:cs="Consolas" w:eastAsia="Consolas" w:hAnsi="Consolas"/>
        </w:rPr>
        <w:t xml:space="preserve">   ├── AI Recommender Function   → calls Azure OpenAI</w:t>
      </w:r>
    </w:p>
    <w:p>
      <w:pPr>
        <w:pStyle w:val="Code"/>
      </w:pPr>
      <w:r>
        <w:rPr>
          <w:rFonts w:ascii="Consolas" w:cs="Consolas" w:eastAsia="Consolas" w:hAnsi="Consolas"/>
        </w:rPr>
        <w:t xml:space="preserve">   │      ├── audit: ai.recommendation.requested</w:t>
      </w:r>
    </w:p>
    <w:p>
      <w:pPr>
        <w:pStyle w:val="Code"/>
      </w:pPr>
      <w:r>
        <w:rPr>
          <w:rFonts w:ascii="Consolas" w:cs="Consolas" w:eastAsia="Consolas" w:hAnsi="Consolas"/>
        </w:rPr>
        <w:t xml:space="preserve">   │      ├── chat.completions (gpt-4o, tool: propose_vendors)</w:t>
      </w:r>
    </w:p>
    <w:p>
      <w:pPr>
        <w:pStyle w:val="Code"/>
      </w:pPr>
      <w:r>
        <w:rPr>
          <w:rFonts w:ascii="Consolas" w:cs="Consolas" w:eastAsia="Consolas" w:hAnsi="Consolas"/>
        </w:rPr>
        <w:t xml:space="preserve">   │      ├── persist AIRecommendations row</w:t>
      </w:r>
    </w:p>
    <w:p>
      <w:pPr>
        <w:pStyle w:val="Code"/>
      </w:pPr>
      <w:r>
        <w:rPr>
          <w:rFonts w:ascii="Consolas" w:cs="Consolas" w:eastAsia="Consolas" w:hAnsi="Consolas"/>
        </w:rPr>
        <w:t xml:space="preserve">   │      ├── audit: ai.recommendation.ready</w:t>
      </w:r>
    </w:p>
    <w:p>
      <w:pPr>
        <w:pStyle w:val="Code"/>
      </w:pPr>
      <w:r>
        <w:rPr>
          <w:rFonts w:ascii="Consolas" w:cs="Consolas" w:eastAsia="Consolas" w:hAnsi="Consolas"/>
        </w:rPr>
        <w:t xml:space="preserve">   │      └── outbox → SignalR → SPA updates job detail live</w:t>
      </w:r>
    </w:p>
    <w:p>
      <w:pPr>
        <w:pStyle w:val="Code"/>
      </w:pPr>
      <w:r>
        <w:rPr>
          <w:rFonts w:ascii="Consolas" w:cs="Consolas" w:eastAsia="Consolas" w:hAnsi="Consolas"/>
        </w:rPr>
        <w:t xml:space="preserve">   └── Search Indexer            → upsert job into Azure AI Search</w:t>
      </w:r>
    </w:p>
    <w:p>
      <w:pPr>
        <w:pStyle w:val="Code"/>
      </w:pPr>
      <w:r>
        <w:rPr>
          <w:rFonts w:ascii="Consolas" w:cs="Consolas" w:eastAsia="Consolas" w:hAnsi="Consolas"/>
        </w:rPr>
        <w:t xml:space="preserve"> </w:t>
      </w:r>
    </w:p>
    <w:p>
      <w:pPr>
        <w:pStyle w:val="Code"/>
      </w:pPr>
      <w:r>
        <w:rPr>
          <w:rFonts w:ascii="Consolas" w:cs="Consolas" w:eastAsia="Consolas" w:hAnsi="Consolas"/>
        </w:rPr>
        <w:t xml:space="preserve">Dispatcher clicks Dispatch  → POST /jobs/{id}/assign (Idempotency-Key)</w:t>
      </w:r>
    </w:p>
    <w:p>
      <w:pPr>
        <w:pStyle w:val="Code"/>
      </w:pPr>
      <w:r>
        <w:rPr>
          <w:rFonts w:ascii="Consolas" w:cs="Consolas" w:eastAsia="Consolas" w:hAnsi="Consolas"/>
        </w:rPr>
        <w:t xml:space="preserve">   ├── UPDATE Jobs + INSERT Assignments (txn)</w:t>
      </w:r>
    </w:p>
    <w:p>
      <w:pPr>
        <w:pStyle w:val="Code"/>
      </w:pPr>
      <w:r>
        <w:rPr>
          <w:rFonts w:ascii="Consolas" w:cs="Consolas" w:eastAsia="Consolas" w:hAnsi="Consolas"/>
        </w:rPr>
        <w:t xml:space="preserve">   ├── OutboxMessages(job.assigned, same correlationId)</w:t>
      </w:r>
    </w:p>
    <w:p>
      <w:pPr>
        <w:pStyle w:val="Code"/>
      </w:pPr>
      <w:r>
        <w:rPr>
          <w:rFonts w:ascii="Consolas" w:cs="Consolas" w:eastAsia="Consolas" w:hAnsi="Consolas"/>
        </w:rPr>
        <w:t xml:space="preserve">   └── audit: job.assigned (before/after with vendorId)</w:t>
      </w:r>
    </w:p>
    <w:p>
      <w:pPr>
        <w:pStyle w:val="Code"/>
      </w:pPr>
      <w:r>
        <w:rPr>
          <w:rFonts w:ascii="Consolas" w:cs="Consolas" w:eastAsia="Consolas" w:hAnsi="Consolas"/>
        </w:rPr>
        <w:t xml:space="preserve"> </w:t>
      </w:r>
    </w:p>
    <w:p>
      <w:pPr>
        <w:pStyle w:val="Code"/>
      </w:pPr>
      <w:r>
        <w:rPr>
          <w:rFonts w:ascii="Consolas" w:cs="Consolas" w:eastAsia="Consolas" w:hAnsi="Consolas"/>
        </w:rPr>
        <w:t xml:space="preserve">Vendor mobile webhook        → POST /webhooks/vendor/{vendorId}</w:t>
      </w:r>
    </w:p>
    <w:p>
      <w:pPr>
        <w:pStyle w:val="Code"/>
      </w:pPr>
      <w:r>
        <w:rPr>
          <w:rFonts w:ascii="Consolas" w:cs="Consolas" w:eastAsia="Consolas" w:hAnsi="Consolas"/>
        </w:rPr>
        <w:t xml:space="preserve">   ├── UPDATE Assignments</w:t>
      </w:r>
    </w:p>
    <w:p>
      <w:pPr>
        <w:pStyle w:val="Code"/>
      </w:pPr>
      <w:r>
        <w:rPr>
          <w:rFonts w:ascii="Consolas" w:cs="Consolas" w:eastAsia="Consolas" w:hAnsi="Consolas"/>
        </w:rPr>
        <w:t xml:space="preserve">   └── audit: assignment.accepted</w:t>
      </w:r>
    </w:p>
    <w:p>
      <w:pPr>
        <w:pStyle w:val="Code"/>
      </w:pPr>
      <w:r>
        <w:rPr>
          <w:rFonts w:ascii="Consolas" w:cs="Consolas" w:eastAsia="Consolas" w:hAnsi="Consolas"/>
        </w:rPr>
        <w:t xml:space="preserve"> </w:t>
      </w:r>
    </w:p>
    <w:p>
      <w:pPr>
        <w:pStyle w:val="Code"/>
      </w:pPr>
      <w:r>
        <w:rPr>
          <w:rFonts w:ascii="Consolas" w:cs="Consolas" w:eastAsia="Consolas" w:hAnsi="Consolas"/>
        </w:rPr>
        <w:t xml:space="preserve">…lifecycle continues through completed.</w:t>
      </w:r>
    </w:p>
    <w:p>
      <w:pPr>
        <w:pStyle w:val="Body"/>
      </w:pPr>
      <w:r>
        <w:t xml:space="preserve">The same correlationId is rendered in the SPA's per-job timeline so a reviewer can trace a single job across the entire system end-to-end.</w:t>
      </w:r>
    </w:p>
    <w:p>
      <w:pPr>
        <w:pStyle w:val="Heading1"/>
        <w:pStyle w:val="Heading1"/>
      </w:pPr>
      <w:r>
        <w:t xml:space="preserve">5. Multi-Tenancy &amp; RBAC</w:t>
      </w:r>
    </w:p>
    <w:p>
      <w:pPr>
        <w:pStyle w:val="Body"/>
      </w:pPr>
      <w:r>
        <w:t xml:space="preserve">Tenancy is enforced at three independent layers — defense in depth, not a single chokepoint.</w:t>
      </w:r>
    </w:p>
    <w:p>
      <w:pPr>
        <w:pStyle w:val="Body"/>
        <w:numPr>
          <w:ilvl w:val="0"/>
          <w:numId w:val="3"/>
        </w:numPr>
      </w:pPr>
      <w:r>
        <w:t xml:space="preserve">Identity layer: every Entra-issued JWT carries a tid (tenant id) claim and a roles[] claim. The API rejects any request missing tid.</w:t>
      </w:r>
    </w:p>
    <w:p>
      <w:pPr>
        <w:pStyle w:val="Body"/>
        <w:numPr>
          <w:ilvl w:val="0"/>
          <w:numId w:val="3"/>
        </w:numPr>
      </w:pPr>
      <w:r>
        <w:t xml:space="preserve">Application layer: an EF Core DbConnectionInterceptor sets SQL SESSION_CONTEXT('TenantId') on every connection acquisition based on the JWT, never from URL or body.</w:t>
      </w:r>
    </w:p>
    <w:p>
      <w:pPr>
        <w:pStyle w:val="Body"/>
        <w:numPr>
          <w:ilvl w:val="0"/>
          <w:numId w:val="3"/>
        </w:numPr>
      </w:pPr>
      <w:r>
        <w:t xml:space="preserve">Database layer: every multi-tenant table has a SQL Row-Level Security policy that filters and blocks on session context. A forged path or body cannot escape this filter.</w:t>
      </w:r>
    </w:p>
    <w:p>
      <w:pPr>
        <w:pStyle w:val="Body"/>
      </w:pPr>
      <w:r>
        <w:t xml:space="preserve">RBAC is policy-based on the API. Roles (admin, dispatcher, vendor_manager, support) and granular permissions (jobs.assign, ai.governance.write, etc.) are checked server-side via [Authorize(Policy="…")]. The frontend RBAC matrix at /rbac is a mirror for visibility — it is never the source of truth. Cosmos containers and Blob storage are partitioned per tenant and accessed via per-tenant SAS tokens.</w:t>
      </w:r>
    </w:p>
    <w:p>
      <w:pPr>
        <w:pStyle w:val="Heading1"/>
        <w:pStyle w:val="Heading1"/>
      </w:pPr>
      <w:r>
        <w:t xml:space="preserve">6. Observability</w:t>
      </w:r>
    </w:p>
    <w:p>
      <w:pPr>
        <w:pStyle w:val="Body"/>
      </w:pPr>
      <w:r>
        <w:t xml:space="preserve">OpenTelemetry SDK is enabled on the API and all Functions; traces, metrics, and logs flow into Application Insights with Log Analytics for KQL. Every request is assigned a traceparent at APIM; every Service Bus message carries it forward in user properties; every audit row stores it. Workbooks track:</w:t>
      </w:r>
    </w:p>
    <w:p>
      <w:pPr>
        <w:pStyle w:val="Body"/>
        <w:numPr>
          <w:ilvl w:val="0"/>
          <w:numId w:val="2"/>
        </w:numPr>
      </w:pPr>
      <w:r>
        <w:t xml:space="preserve">API latency: p50 &lt; 100ms, p95 &lt; 300ms (read), p95 &lt; 800ms (write).</w:t>
      </w:r>
    </w:p>
    <w:p>
      <w:pPr>
        <w:pStyle w:val="Body"/>
        <w:numPr>
          <w:ilvl w:val="0"/>
          <w:numId w:val="2"/>
        </w:numPr>
      </w:pPr>
      <w:r>
        <w:t xml:space="preserve">AI recommendation: p95 &lt; 2.5s end-to-end including retrieval.</w:t>
      </w:r>
    </w:p>
    <w:p>
      <w:pPr>
        <w:pStyle w:val="Body"/>
        <w:numPr>
          <w:ilvl w:val="0"/>
          <w:numId w:val="2"/>
        </w:numPr>
      </w:pPr>
      <w:r>
        <w:t xml:space="preserve">Event lag: intake → SignalR delivered, p95 &lt; 1.5s.</w:t>
      </w:r>
    </w:p>
    <w:p>
      <w:pPr>
        <w:pStyle w:val="Body"/>
        <w:numPr>
          <w:ilvl w:val="0"/>
          <w:numId w:val="2"/>
        </w:numPr>
      </w:pPr>
      <w:r>
        <w:t xml:space="preserve">Override rate: rolling 7-day, alert if &gt; 35% (model regressed) or &lt; 5% (rubber stamping).</w:t>
      </w:r>
    </w:p>
    <w:p>
      <w:pPr>
        <w:pStyle w:val="Body"/>
        <w:numPr>
          <w:ilvl w:val="0"/>
          <w:numId w:val="2"/>
        </w:numPr>
      </w:pPr>
      <w:r>
        <w:t xml:space="preserve">Error rates by route, AI 429/5xx rate, DLQ depth, Redis hit rate, AI cost burn vs daily budget.</w:t>
      </w:r>
    </w:p>
    <w:p>
      <w:pPr>
        <w:pStyle w:val="Body"/>
      </w:pPr>
      <w:r>
        <w:t xml:space="preserve">Action Groups page on-call via PagerDuty when error rate &gt; 1% over 5 min, DLQ depth &gt; 0, or daily AI cost exceeds 120% of budget.</w:t>
      </w:r>
    </w:p>
    <w:p>
      <w:pPr>
        <w:pStyle w:val="Heading1"/>
        <w:pStyle w:val="Heading1"/>
      </w:pPr>
      <w:r>
        <w:t xml:space="preserve">7. Scaling Approach</w:t>
      </w:r>
    </w:p>
    <w:p>
      <w:pPr>
        <w:pStyle w:val="Body"/>
        <w:numPr>
          <w:ilvl w:val="0"/>
          <w:numId w:val="2"/>
        </w:numPr>
      </w:pPr>
      <w:r>
        <w:t xml:space="preserve">API: Container Apps min 2 (one per AZ) max 20 in prod; KEDA scaler on Service Bus subscription depth.</w:t>
      </w:r>
    </w:p>
    <w:p>
      <w:pPr>
        <w:pStyle w:val="Body"/>
        <w:numPr>
          <w:ilvl w:val="0"/>
          <w:numId w:val="2"/>
        </w:numPr>
      </w:pPr>
      <w:r>
        <w:t xml:space="preserve">AI workers: Functions on Premium plan, max 10 concurrent recommendations per instance to respect Azure OpenAI quota.</w:t>
      </w:r>
    </w:p>
    <w:p>
      <w:pPr>
        <w:pStyle w:val="Body"/>
        <w:numPr>
          <w:ilvl w:val="0"/>
          <w:numId w:val="2"/>
        </w:numPr>
      </w:pPr>
      <w:r>
        <w:t xml:space="preserve">SQL: Business Critical with read replicas; hot tables (Jobs, Assignments) candidates for in-memory OLTP.</w:t>
      </w:r>
    </w:p>
    <w:p>
      <w:pPr>
        <w:pStyle w:val="Body"/>
        <w:numPr>
          <w:ilvl w:val="0"/>
          <w:numId w:val="2"/>
        </w:numPr>
      </w:pPr>
      <w:r>
        <w:t xml:space="preserve">Cosmos: autoscale 400→4000 RU/s on /tenantId partition; analytical store on for ad-hoc Synapse queries.</w:t>
      </w:r>
    </w:p>
    <w:p>
      <w:pPr>
        <w:pStyle w:val="Body"/>
        <w:numPr>
          <w:ilvl w:val="0"/>
          <w:numId w:val="2"/>
        </w:numPr>
      </w:pPr>
      <w:r>
        <w:t xml:space="preserve">Redis: Premium P2 cluster, persistence enabled; short TTLs (30s) on dashboard aggregates.</w:t>
      </w:r>
    </w:p>
    <w:p>
      <w:pPr>
        <w:pStyle w:val="Body"/>
        <w:numPr>
          <w:ilvl w:val="0"/>
          <w:numId w:val="2"/>
        </w:numPr>
      </w:pPr>
      <w:r>
        <w:t xml:space="preserve">SignalR: Serverless tier handles ~1k concurrent. Above 10k concurrent, switch to dedicated.</w:t>
      </w:r>
    </w:p>
    <w:p>
      <w:pPr>
        <w:pStyle w:val="Body"/>
        <w:numPr>
          <w:ilvl w:val="0"/>
          <w:numId w:val="2"/>
        </w:numPr>
      </w:pPr>
      <w:r>
        <w:t xml:space="preserve">Front Door + APIM cache static assets and /healthz; per-user (600 rpm) and per-AI-route (60 rpm) rate limits.</w:t>
      </w:r>
    </w:p>
    <w:p>
      <w:pPr>
        <w:pStyle w:val="Heading1"/>
        <w:pStyle w:val="Heading1"/>
      </w:pPr>
      <w:r>
        <w:t xml:space="preserve">8. Key Tradeoffs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tblHeader/>
        </w:trPr>
        <w:tc>
          <w:tcPr>
            <w:tcW w:type="dxa" w:w="27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pPr>
              <w:pStyle w:val="Body"/>
            </w:pPr>
            <w:r>
              <w:rPr>
                <w:b/>
                <w:bCs/>
                <w:sz w:val="20"/>
                <w:szCs w:val="20"/>
              </w:rPr>
              <w:t xml:space="preserve">Decision</w:t>
            </w:r>
          </w:p>
        </w:tc>
        <w:tc>
          <w:tcPr>
            <w:tcW w:type="dxa" w:w="34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pPr>
              <w:pStyle w:val="Body"/>
            </w:pPr>
            <w:r>
              <w:rPr>
                <w:b/>
                <w:bCs/>
                <w:sz w:val="20"/>
                <w:szCs w:val="20"/>
              </w:rPr>
              <w:t xml:space="preserve">Tradeoff</w:t>
            </w:r>
          </w:p>
        </w:tc>
        <w:tc>
          <w:tcPr>
            <w:tcW w:type="dxa" w:w="326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pPr>
              <w:pStyle w:val="Body"/>
            </w:pPr>
            <w:r>
              <w:rPr>
                <w:b/>
                <w:bCs/>
                <w:sz w:val="20"/>
                <w:szCs w:val="20"/>
              </w:rPr>
              <w:t xml:space="preserve">Mitigation</w:t>
            </w:r>
          </w:p>
        </w:tc>
      </w:tr>
      <w:tr>
        <w:trPr>
          <w:tblHeader w:val="false"/>
        </w:trPr>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Cosmos for audit (vs SQL)</w:t>
            </w:r>
          </w:p>
        </w:tc>
        <w:tc>
          <w:tcPr>
            <w:tcW w:type="dxa" w:w="3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Higher per-GB cost; eventual consistency on global reads.</w:t>
            </w:r>
          </w:p>
        </w:tc>
        <w:tc>
          <w:tcPr>
            <w:tcW w:type="dxa" w:w="32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Tenant-partitioned, autoscale, hash-chain for tamper evidence.</w:t>
            </w:r>
          </w:p>
        </w:tc>
      </w:tr>
      <w:tr>
        <w:trPr>
          <w:tblHeader w:val="false"/>
        </w:trPr>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PTU on Azure OpenAI in prod</w:t>
            </w:r>
          </w:p>
        </w:tc>
        <w:tc>
          <w:tcPr>
            <w:tcW w:type="dxa" w:w="3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Capacity reservation cost; underutilization risk.</w:t>
            </w:r>
          </w:p>
        </w:tc>
        <w:tc>
          <w:tcPr>
            <w:tcW w:type="dxa" w:w="32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Start PAYG; graduate to PTU when sustained QPS justifies it.</w:t>
            </w:r>
          </w:p>
        </w:tc>
      </w:tr>
      <w:tr>
        <w:trPr>
          <w:tblHeader w:val="false"/>
        </w:trPr>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SignalR Serverless</w:t>
            </w:r>
          </w:p>
        </w:tc>
        <w:tc>
          <w:tcPr>
            <w:tcW w:type="dxa" w:w="3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5k concurrent ceiling per unit.</w:t>
            </w:r>
          </w:p>
        </w:tc>
        <w:tc>
          <w:tcPr>
            <w:tcW w:type="dxa" w:w="32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Move to dedicated tier above 10k; segmentation by tenant possible.</w:t>
            </w:r>
          </w:p>
        </w:tc>
      </w:tr>
      <w:tr>
        <w:trPr>
          <w:tblHeader w:val="false"/>
        </w:trPr>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Outbox pattern (vs dual-write)</w:t>
            </w:r>
          </w:p>
        </w:tc>
        <w:tc>
          <w:tcPr>
            <w:tcW w:type="dxa" w:w="3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Extra table, dispatcher latency.</w:t>
            </w:r>
          </w:p>
        </w:tc>
        <w:tc>
          <w:tcPr>
            <w:tcW w:type="dxa" w:w="32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BackgroundService with batch publish; &lt;100ms p95 added.</w:t>
            </w:r>
          </w:p>
        </w:tc>
      </w:tr>
      <w:tr>
        <w:trPr>
          <w:tblHeader w:val="false"/>
        </w:trPr>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Three-layer tenancy (JWT + EF + RLS)</w:t>
            </w:r>
          </w:p>
        </w:tc>
        <w:tc>
          <w:tcPr>
            <w:tcW w:type="dxa" w:w="3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Slight overhead; harder ad-hoc queries.</w:t>
            </w:r>
          </w:p>
        </w:tc>
        <w:tc>
          <w:tcPr>
            <w:tcW w:type="dxa" w:w="32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Worth it; eliminates whole class of cross-tenant bugs.</w:t>
            </w:r>
          </w:p>
        </w:tc>
      </w:tr>
      <w:tr>
        <w:trPr>
          <w:tblHeader w:val="false"/>
        </w:trPr>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LLM in critical path</w:t>
            </w:r>
          </w:p>
        </w:tc>
        <w:tc>
          <w:tcPr>
            <w:tcW w:type="dxa" w:w="3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External dependency, cost, hallucination.</w:t>
            </w:r>
          </w:p>
        </w:tc>
        <w:tc>
          <w:tcPr>
            <w:tcW w:type="dxa" w:w="32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Body"/>
            </w:pPr>
            <w:r>
              <w:rPr>
                <w:b w:val="false"/>
                <w:bCs w:val="false"/>
                <w:sz w:val="20"/>
                <w:szCs w:val="20"/>
              </w:rPr>
              <w:t xml:space="preserve">Async; Polly + circuit breaker; rule-based fallback; PII redaction; eval harness.</w:t>
            </w:r>
          </w:p>
        </w:tc>
      </w:tr>
    </w:tbl>
    <w:p>
      <w:pPr>
        <w:pStyle w:val="Heading1"/>
        <w:pStyle w:val="Heading1"/>
      </w:pPr>
      <w:r>
        <w:t xml:space="preserve">9. What I Would Do Next</w:t>
      </w:r>
    </w:p>
    <w:p>
      <w:pPr>
        <w:pStyle w:val="Body"/>
        <w:numPr>
          <w:ilvl w:val="0"/>
          <w:numId w:val="2"/>
        </w:numPr>
      </w:pPr>
      <w:r>
        <w:t xml:space="preserve">Vision triage: route uploaded photos through gpt-4o for initial complexity scoring and required-tools list.</w:t>
      </w:r>
    </w:p>
    <w:p>
      <w:pPr>
        <w:pStyle w:val="Body"/>
        <w:numPr>
          <w:ilvl w:val="0"/>
          <w:numId w:val="2"/>
        </w:numPr>
      </w:pPr>
      <w:r>
        <w:t xml:space="preserve">Vendor mobile app issuing the same /webhooks/vendor/{id} contract; closes the loop end-to-end.</w:t>
      </w:r>
    </w:p>
    <w:p>
      <w:pPr>
        <w:pStyle w:val="Body"/>
        <w:numPr>
          <w:ilvl w:val="0"/>
          <w:numId w:val="2"/>
        </w:numPr>
      </w:pPr>
      <w:r>
        <w:t xml:space="preserve">Full A/B harness for the recommender — already feature-flagged; needs a stats-significance dashboard.</w:t>
      </w:r>
    </w:p>
    <w:p>
      <w:pPr>
        <w:pStyle w:val="Body"/>
        <w:numPr>
          <w:ilvl w:val="0"/>
          <w:numId w:val="2"/>
        </w:numPr>
      </w:pPr>
      <w:r>
        <w:t xml:space="preserve">Tenant-level model fine-tuning for large customers via Azure OpenAI managed fine-tuning.</w:t>
      </w:r>
    </w:p>
    <w:p>
      <w:pPr>
        <w:pStyle w:val="Body"/>
        <w:numPr>
          <w:ilvl w:val="0"/>
          <w:numId w:val="2"/>
        </w:numPr>
      </w:pPr>
      <w:r>
        <w:t xml:space="preserve">Read-replica routing for dashboard queries to free the primary for transactional load.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Body"/>
      <w:tabs>
        <w:tab w:val="right" w:pos="9026"/>
      </w:tabs>
    </w:pPr>
    <w:r>
      <w:rPr>
        <w:color w:val="64748B"/>
        <w:sz w:val="18"/>
        <w:szCs w:val="18"/>
      </w:rPr>
      <w:t xml:space="preserve">RetailFixIt — Architecture &amp; System Design</w:t>
    </w:r>
    <w:r>
      <w:rPr>
        <w:color w:val="64748B"/>
        <w:sz w:val="18"/>
        <w:szCs w:val="18"/>
      </w:rPr>
      <w:t xml:space="preserve">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0F172A"/>
      <w:sz w:val="44"/>
      <w:szCs w:val="44"/>
    </w:rPr>
  </w:style>
  <w:style w:type="paragraph" w:styleId="Subtitle">
    <w:name w:val="Subtitle"/>
    <w:basedOn w:val="Normal"/>
    <w:next w:val="Normal"/>
    <w:pPr>
      <w:spacing w:after="320" w:before="0"/>
    </w:pPr>
    <w:rPr>
      <w:rFonts w:ascii="Calibri" w:cs="Calibri" w:eastAsia="Calibri" w:hAnsi="Calibri"/>
      <w:color w:val="475569"/>
      <w:sz w:val="24"/>
      <w:szCs w:val="24"/>
    </w:rPr>
  </w:style>
  <w:style w:type="paragraph" w:styleId="Heading1">
    <w:name w:val="Heading 1"/>
    <w:basedOn w:val="Normal"/>
    <w:next w:val="Normal"/>
    <w:qFormat/>
    <w:pPr>
      <w:pBdr>
        <w:bottom w:val="single" w:color="2563EB" w:sz="6" w:space="4"/>
      </w:pBdr>
      <w:spacing w:after="120" w:before="320"/>
      <w:outlineLvl w:val="0"/>
    </w:pPr>
    <w:rPr>
      <w:rFonts w:ascii="Calibri" w:cs="Calibri" w:eastAsia="Calibri" w:hAnsi="Calibri"/>
      <w:b/>
      <w:bCs/>
      <w:color w:val="0F172A"/>
      <w:sz w:val="30"/>
      <w:szCs w:val="30"/>
    </w:rPr>
  </w:style>
  <w:style w:type="paragraph" w:styleId="Heading2">
    <w:name w:val="Heading 2"/>
    <w:basedOn w:val="Normal"/>
    <w:next w:val="Normal"/>
    <w:qFormat/>
    <w:pPr>
      <w:spacing w:after="80" w:before="24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334155"/>
      <w:sz w:val="22"/>
      <w:szCs w:val="22"/>
    </w:rPr>
  </w:style>
  <w:style w:type="paragraph" w:styleId="Body">
    <w:name w:val="Body"/>
    <w:basedOn w:val="Normal"/>
    <w:next w:val="Normal"/>
    <w:pPr>
      <w:spacing w:after="120" w:before="0" w:line="300"/>
    </w:pPr>
    <w:rPr>
      <w:rFonts w:ascii="Calibri" w:cs="Calibri" w:eastAsia="Calibri" w:hAnsi="Calibri"/>
      <w:sz w:val="22"/>
      <w:szCs w:val="22"/>
    </w:rPr>
  </w:style>
  <w:style w:type="paragraph" w:styleId="Code">
    <w:name w:val="Code"/>
    <w:basedOn w:val="Normal"/>
    <w:next w:val="Normal"/>
    <w:pPr>
      <w:shd w:fill="F1F5F9" w:val="clear"/>
      <w:spacing w:after="80" w:before="80"/>
    </w:pPr>
    <w:rPr>
      <w:rFonts w:ascii="Consolas" w:cs="Consolas" w:eastAsia="Consolas" w:hAnsi="Consolas"/>
      <w:color w:val="0F172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2026-05-11T21:04:14.726Z</dcterms:created>
  <dcterms:modified xsi:type="dcterms:W3CDTF">2026-05-11T21:04:14.726Z</dcterms:modified>
</cp:coreProperties>
</file>

<file path=docProps/custom.xml><?xml version="1.0" encoding="utf-8"?>
<Properties xmlns="http://schemas.openxmlformats.org/officeDocument/2006/custom-properties" xmlns:vt="http://schemas.openxmlformats.org/officeDocument/2006/docPropsVTypes"/>
</file>