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Engineering Reasoning</w:t>
      </w:r>
    </w:p>
    <w:p>
      <w:pPr>
        <w:pStyle w:val="Subtitle"/>
      </w:pPr>
      <w:r>
        <w:t xml:space="preserve">Part 3 — Operational policies and design tradeoffs</w:t>
      </w:r>
    </w:p>
    <w:p>
      <w:pPr>
        <w:pStyle w:val="Heading1"/>
        <w:pStyle w:val="Heading1"/>
      </w:pPr>
      <w:r>
        <w:t xml:space="preserve">1. AI Autonomy &amp; Governance</w:t>
      </w:r>
    </w:p>
    <w:p>
      <w:pPr>
        <w:pStyle w:val="Body"/>
      </w:pPr>
      <w:r>
        <w:t xml:space="preserve">RetailFixIt's AI suggests, humans dispatch. The recommender returns a ranked candidate list with per-candidate confidence and human-readable reasoning, but a vendor is never assigned without an explicit click. Autonomy is bounded by an operator-tunable confidence floor (default 0.6); when the model's top candidate falls below it the response carries fallbackToHuman=true and the SPA hides the one-click accept. Every override is captured as a first-class audit event with a free-text reason and feeds the rolling override-rate metric, which is itself an SLO — too high suggests the model has regressed, too low suggests rubber-stamping and possible governance failure.</w:t>
      </w:r>
    </w:p>
    <w:p>
      <w:pPr>
        <w:pStyle w:val="Body"/>
      </w:pPr>
      <w:r>
        <w:t xml:space="preserve">Governance is centralized in the Admin-only /ai-governance surface and persisted in versioned tables. Models are pinned to specific snapshots (gpt-4o-2024-11-20), never the floating alias, so behavior is reproducible and rollback is a configuration change. Prompts are versioned with promote/rollback; promotion writes an audit row with before/after diff. PII redaction via Microsoft Presidio is mandatory before any prompt is sent — originals stay in SQL. A per-tenant daily token budget is enforced by a Redis counter; breach pages on-call and degrades to the rule-based ranker. A single kill-switch routes all AI traffic to the rule-based ranker without a deploy.</w:t>
      </w:r>
    </w:p>
    <w:p>
      <w:pPr>
        <w:pStyle w:val="Body"/>
      </w:pPr>
      <w:r>
        <w:t xml:space="preserve">Quality is measured offline by an eval harness that runs nightly against a 200-item golden set, computing top-1 accuracy, top-3 recall, hallucination rate (vendor IDs not present in the candidate set), and latency percentiles. New prompt or model versions roll out behind a feature flag with RolloutPercent bucketed on hash(jobId), so cohorts are stable across requests; promotion happens only after the flagged cohort beats baseline on the dashboard for a defined window. Together these controls turn the LLM from a magic black box into an operable subsystem with the same lifecycle discipline as any other production component.</w:t>
      </w:r>
    </w:p>
    <w:p>
      <w:pPr>
        <w:pStyle w:val="Heading1"/>
        <w:pStyle w:val="Heading1"/>
      </w:pPr>
      <w:r>
        <w:t xml:space="preserve">2. Performance &amp; Latency Strategy</w:t>
      </w:r>
    </w:p>
    <w:p>
      <w:pPr>
        <w:pStyle w:val="Body"/>
      </w:pPr>
      <w:r>
        <w:t xml:space="preserve">Targets are explicit and tracked as SLOs: API reads p95 &lt; 300ms, writes p95 &lt; 800ms, AI recommendation end-to-end p95 &lt; 2.5s, intake → SignalR delivered p95 &lt; 1.5s. The strategy is to push slow work off the request path and aggressively cache the read path. Dashboard aggregates are served from Redis with a 30s TTL backed by a SQL materialized view refreshed every 60s; the API rarely touches the primary for read traffic. Job list queries use composite indexes on (TenantId, Status, CreatedAt DESC) and server-side pagination with stable cursors. The SPA layers React Query for client cache, with targeted invalidation driven by SignalR events — only the changed entity refetches.</w:t>
      </w:r>
    </w:p>
    <w:p>
      <w:pPr>
        <w:pStyle w:val="Body"/>
      </w:pPr>
      <w:r>
        <w:t xml:space="preserve">On the write path, every mutation writes to SQL and the outbox in a single transaction, then returns. The OutboxDispatcher background service publishes onto Service Bus in batches; downstream subscribers (SignalR fanout, AI recommender, search indexer) run independently and asynchronously. This pattern keeps the user-facing response under 800ms p95 even when the slowest subscriber would take seconds. Container Apps autoscales on Service Bus subscription depth via KEDA, so traffic spikes provision capacity within tens of seconds rather than failing fast.</w:t>
      </w:r>
    </w:p>
    <w:p>
      <w:pPr>
        <w:pStyle w:val="Body"/>
      </w:pPr>
      <w:r>
        <w:t xml:space="preserve">AI latency is the hardest budget. Hybrid retrieval against Azure AI Search pre-filters to 5 candidates so prompt tokens stay predictable; embeddings are cached in Redis keyed by SHA-256 of redacted text, with observed hit rates of 35–50% on duplicate intakes. The Azure OpenAI call is wrapped in Polly with a 6s timeout, two retries with exponential backoff and jitter, and a circuit breaker (5 failures / 30s, 60s open). On circuit-open the request falls through to the deterministic rule-based ranker so the dispatcher always sees a vendor list within the budget — the difference is the fallbackUsed flag in the UI, not a spinner that never resolves.</w:t>
      </w:r>
    </w:p>
    <w:p>
      <w:pPr>
        <w:pStyle w:val="Heading1"/>
        <w:pStyle w:val="Heading1"/>
      </w:pPr>
      <w:r>
        <w:t xml:space="preserve">3. Failure Modes &amp; Degradation</w:t>
      </w:r>
    </w:p>
    <w:p>
      <w:pPr>
        <w:pStyle w:val="Body"/>
      </w:pPr>
      <w:r>
        <w:t xml:space="preserve">Every external dependency has a typed degradation path documented and exercised. Azure OpenAI failure (timeout, 5xx, rate limit, content filter) trips the Polly circuit and routes to the deterministic rule-based ranker; the response carries fallbackUsed=true, the SPA shows a subtle banner, and the override rate is unaffected because dispatchers still confirm the choice. Azure SQL transients are handled by the EF Core retry strategy (six attempts, exponential backoff). Service Bus unavailability does not lose work — the SQL outbox queues locally and drains on recovery while the SPA shows an 'events delayed' banner driven by an ops.health.changed broadcast. SignalR disconnects are handled by client-side reconnect with backoff; on reconnect, all open queries are refetched so the UI reconciles.</w:t>
      </w:r>
    </w:p>
    <w:p>
      <w:pPr>
        <w:pStyle w:val="Body"/>
      </w:pPr>
      <w:r>
        <w:t xml:space="preserve">Redis going down bypasses cache and idempotency degrades to best-effort with a logged warning; Azure AI Search down causes the recommender to skip retrieval and use a SQL pre-filter of the top 10 vendors by rule-score. Webhook signature verification failures log and 401 immediately. Idempotency keys plus the outbox give effective at-most-once semantics for client-perceived effects even though the bus contract is at-least-once. The /health page surfaces live circuit-breaker status for every dependency, and a /ops/chaos admin endpoint lets operators inject synthetic failures (AI timeout, SQL slow, SignalR drop) — gated to non-prod — for live demonstrations and on-call drills.</w:t>
      </w:r>
    </w:p>
    <w:p>
      <w:pPr>
        <w:pStyle w:val="Body"/>
      </w:pPr>
      <w:r>
        <w:t xml:space="preserve">The principle: failures are normal, not exceptional. Each one has a budget (timeout), a fallback (degraded path), and a signal (UI flag, metric, audit row). The system never silently produces a wrong answer; it produces a clearly-labeled degraded answer or refuses with an actionable error code.</w:t>
      </w:r>
    </w:p>
    <w:p>
      <w:pPr>
        <w:pStyle w:val="Heading1"/>
        <w:pStyle w:val="Heading1"/>
      </w:pPr>
      <w:r>
        <w:t xml:space="preserve">4. Multi-Tenancy &amp; RBAC</w:t>
      </w:r>
    </w:p>
    <w:p>
      <w:pPr>
        <w:pStyle w:val="Body"/>
      </w:pPr>
      <w:r>
        <w:t xml:space="preserve">Tenant isolation is enforced at three independent layers — defense in depth, not a single chokepoint. (1) Identity: every Entra-issued JWT carries a tid claim and a roles[] claim; the API rejects requests without a valid tid. (2) Application: an EF Core DbConnectionInterceptor reads tid from the ambient claims principal and sets SQL SESSION_CONTEXT('TenantId') on every connection acquisition — never from the URL or request body, so client manipulation cannot affect it. (3) Database: every multi-tenant table has a SQL Row-Level Security policy that filters and blocks on the session context. A forged path (/jobs/{otherTenantsId}) cannot escape the filter — the row simply does not exist from the API's perspective. Cosmos containers are partitioned per tenant; Blob storage uses per-tenant SAS tokens; Service Bus messages use sessionId=tenantId for ordering and isolation.</w:t>
      </w:r>
    </w:p>
    <w:p>
      <w:pPr>
        <w:pStyle w:val="Body"/>
      </w:pPr>
      <w:r>
        <w:t xml:space="preserve">RBAC is policy-based and authoritative on the server. Roles (admin, dispatcher, vendor_manager, support) map to granular permissions (jobs.read, jobs.assign, ai.governance.write, audit.export, ops.chaos, etc.) checked via [Authorize(Policy=…)] in the API. The SPA mirrors this matrix at /rbac as a transparency surface — dispatchers can see what they cannot do — but the page is never the source of truth. Admin-only operations like chaos injection and governance changes are additionally gated by environment policy so they cannot be invoked in production by default.</w:t>
      </w:r>
    </w:p>
    <w:p>
      <w:pPr>
        <w:pStyle w:val="Body"/>
      </w:pPr>
      <w:r>
        <w:t xml:space="preserve">Auditability completes the model. Every action — including governance changes, role changes, and AI overrides — writes an append-only Cosmos row capturing actor, role, before/after JSON, correlation ID, trace ID, and a SHA-256 hash chained to the previous row. A nightly verifier recomputes the chain to detect tampering. Combined with the three-layer isolation, the result is a system where cross-tenant data access is structurally impossible, privilege checks are server-authoritative, and every administrative or AI action is traceable to a person, a time, and a state transition.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Body"/>
      <w:tabs>
        <w:tab w:val="right" w:pos="9026"/>
      </w:tabs>
    </w:pPr>
    <w:r>
      <w:rPr>
        <w:color w:val="64748B"/>
        <w:sz w:val="18"/>
        <w:szCs w:val="18"/>
      </w:rPr>
      <w:t xml:space="preserve">RetailFixIt — Engineering Reasoning</w:t>
    </w:r>
    <w:r>
      <w:rPr>
        <w:color w:val="64748B"/>
        <w:sz w:val="18"/>
        <w:szCs w:val="18"/>
      </w:rPr>
      <w:t xml:space="preserve">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0F172A"/>
      <w:sz w:val="44"/>
      <w:szCs w:val="44"/>
    </w:rPr>
  </w:style>
  <w:style w:type="paragraph" w:styleId="Subtitle">
    <w:name w:val="Subtitle"/>
    <w:basedOn w:val="Normal"/>
    <w:next w:val="Normal"/>
    <w:pPr>
      <w:spacing w:after="320" w:before="0"/>
    </w:pPr>
    <w:rPr>
      <w:rFonts w:ascii="Calibri" w:cs="Calibri" w:eastAsia="Calibri" w:hAnsi="Calibri"/>
      <w:color w:val="475569"/>
      <w:sz w:val="24"/>
      <w:szCs w:val="24"/>
    </w:rPr>
  </w:style>
  <w:style w:type="paragraph" w:styleId="Heading1">
    <w:name w:val="Heading 1"/>
    <w:basedOn w:val="Normal"/>
    <w:next w:val="Normal"/>
    <w:qFormat/>
    <w:pPr>
      <w:pBdr>
        <w:bottom w:val="single" w:color="2563EB" w:sz="6" w:space="4"/>
      </w:pBdr>
      <w:spacing w:after="120" w:before="320"/>
      <w:outlineLvl w:val="0"/>
    </w:pPr>
    <w:rPr>
      <w:rFonts w:ascii="Calibri" w:cs="Calibri" w:eastAsia="Calibri" w:hAnsi="Calibri"/>
      <w:b/>
      <w:bCs/>
      <w:color w:val="0F172A"/>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334155"/>
      <w:sz w:val="22"/>
      <w:szCs w:val="22"/>
    </w:rPr>
  </w:style>
  <w:style w:type="paragraph" w:styleId="Body">
    <w:name w:val="Body"/>
    <w:basedOn w:val="Normal"/>
    <w:next w:val="Normal"/>
    <w:pPr>
      <w:spacing w:after="120" w:before="0" w:line="300"/>
    </w:pPr>
    <w:rPr>
      <w:rFonts w:ascii="Calibri" w:cs="Calibri" w:eastAsia="Calibri" w:hAnsi="Calibri"/>
      <w:sz w:val="22"/>
      <w:szCs w:val="22"/>
    </w:rPr>
  </w:style>
  <w:style w:type="paragraph" w:styleId="Code">
    <w:name w:val="Code"/>
    <w:basedOn w:val="Normal"/>
    <w:next w:val="Normal"/>
    <w:pPr>
      <w:shd w:fill="F1F5F9" w:val="clear"/>
      <w:spacing w:after="80" w:before="80"/>
    </w:pPr>
    <w:rPr>
      <w:rFonts w:ascii="Consolas" w:cs="Consolas" w:eastAsia="Consolas" w:hAnsi="Consolas"/>
      <w:color w:val="0F172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2026-05-11T21:04:14.739Z</dcterms:created>
  <dcterms:modified xsi:type="dcterms:W3CDTF">2026-05-11T21:04:14.739Z</dcterms:modified>
</cp:coreProperties>
</file>

<file path=docProps/custom.xml><?xml version="1.0" encoding="utf-8"?>
<Properties xmlns="http://schemas.openxmlformats.org/officeDocument/2006/custom-properties" xmlns:vt="http://schemas.openxmlformats.org/officeDocument/2006/docPropsVTypes"/>
</file>