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Optional Bonus Appendix</w:t>
      </w:r>
    </w:p>
    <w:p>
      <w:pPr>
        <w:pStyle w:val="Subtitle"/>
      </w:pPr>
      <w:r>
        <w:t xml:space="preserve">Eval, A/B, chaos, cost optimization, feature flags</w:t>
      </w:r>
    </w:p>
    <w:p>
      <w:pPr>
        <w:pStyle w:val="Heading1"/>
        <w:pStyle w:val="Heading1"/>
      </w:pPr>
      <w:r>
        <w:t xml:space="preserve">1. AI Evaluation Strategy (Offline Test Harness)</w:t>
      </w:r>
    </w:p>
    <w:p>
      <w:pPr>
        <w:pStyle w:val="Body"/>
      </w:pPr>
      <w:r>
        <w:t xml:space="preserve">A nightly Azure Function (ai-eval-runner) replays a curated golden set of 200 hand-labelled jobs through the live recommendation pipeline. The set is stored in Blob (gold/recommendations-vN.jsonl), versioned, and grown weekly by sampling production overrides (anonymised) plus targeted edge cases (ambiguous category, multi-region, capacity-saturated).</w:t>
      </w:r>
    </w:p>
    <w:p>
      <w:pPr>
        <w:pStyle w:val="Body"/>
      </w:pPr>
      <w:r>
        <w:t xml:space="preserve">For each item, the harness fixes the random seed and replays through retrieval + LLM + post-rank, then computes:</w:t>
      </w:r>
    </w:p>
    <w:p>
      <w:pPr>
        <w:pStyle w:val="Body"/>
        <w:numPr>
          <w:ilvl w:val="0"/>
          <w:numId w:val="2"/>
        </w:numPr>
      </w:pPr>
      <w:r>
        <w:t xml:space="preserve">Top-1 accuracy: the labelled correct vendor was the top candidate.</w:t>
      </w:r>
    </w:p>
    <w:p>
      <w:pPr>
        <w:pStyle w:val="Body"/>
        <w:numPr>
          <w:ilvl w:val="0"/>
          <w:numId w:val="2"/>
        </w:numPr>
      </w:pPr>
      <w:r>
        <w:t xml:space="preserve">Top-3 recall: the labelled vendor was anywhere in the returned candidates.</w:t>
      </w:r>
    </w:p>
    <w:p>
      <w:pPr>
        <w:pStyle w:val="Body"/>
        <w:numPr>
          <w:ilvl w:val="0"/>
          <w:numId w:val="2"/>
        </w:numPr>
      </w:pPr>
      <w:r>
        <w:t xml:space="preserve">Hallucination rate: vendor IDs returned that are not in the candidate set or do not exist.</w:t>
      </w:r>
    </w:p>
    <w:p>
      <w:pPr>
        <w:pStyle w:val="Body"/>
        <w:numPr>
          <w:ilvl w:val="0"/>
          <w:numId w:val="2"/>
        </w:numPr>
      </w:pPr>
      <w:r>
        <w:t xml:space="preserve">Latency p50/p95 by stage (retrieval, prompt, post-rank).</w:t>
      </w:r>
    </w:p>
    <w:p>
      <w:pPr>
        <w:pStyle w:val="Body"/>
        <w:numPr>
          <w:ilvl w:val="0"/>
          <w:numId w:val="2"/>
        </w:numPr>
      </w:pPr>
      <w:r>
        <w:t xml:space="preserve">Cost per recommendation (tokens × per-token pricing).</w:t>
      </w:r>
    </w:p>
    <w:p>
      <w:pPr>
        <w:pStyle w:val="Body"/>
      </w:pPr>
      <w:r>
        <w:t xml:space="preserve">Results write to AIEvalRuns and an HTML report uploads to Blob; an ai.eval.completed event lights a drift indicator on the dashboard. New prompt and model versions must beat the prior version on top-1 by ≥ 1pp (one-tailed t-test, p&lt;0.05) over a fixed evaluation window before promotion.</w:t>
      </w:r>
    </w:p>
    <w:p>
      <w:pPr>
        <w:pStyle w:val="Heading1"/>
        <w:pStyle w:val="Heading1"/>
      </w:pPr>
      <w:r>
        <w:t xml:space="preserve">2. A/B Rollout Strategy for AI Dispatch</w:t>
      </w:r>
    </w:p>
    <w:p>
      <w:pPr>
        <w:pStyle w:val="Body"/>
      </w:pPr>
      <w:r>
        <w:t xml:space="preserve">New recommender variants (model snapshot, prompt version, retrieval weights) ship behind a feature flag in /ops/feature-flags. The flag carries a RolloutPercent and an optional tenant allowlist. Bucketing is hash(jobId) % 100 — stable across retries and idempotent — so a job sees the same variant every time it is reprocessed. Cohort assignment is logged on the AIRecommendations row (cohort=A|B) for downstream analysis.</w:t>
      </w:r>
    </w:p>
    <w:p>
      <w:pPr>
        <w:pStyle w:val="Body"/>
      </w:pPr>
      <w:r>
        <w:t xml:space="preserve">Promotion gates: (1) the variant cohort must beat baseline top-1 accuracy by ≥ 1pp with statistical significance over 14 days or 5,000 jobs, whichever comes first; (2) override rate in the variant cohort must not regress by more than 3pp; (3) p95 latency must stay under SLO; (4) cost per recommendation must not exceed a 10% increase. If all four hold, the variant is promoted to 100%; the prior variant remains pinned for 7 days as instant rollback.</w:t>
      </w:r>
    </w:p>
    <w:p>
      <w:pPr>
        <w:pStyle w:val="Body"/>
      </w:pPr>
      <w:r>
        <w:t xml:space="preserve">Kill-switch behaviour: the global AI kill-switch overrides any feature-flag state and routes everything to the rule-based ranker. This protects against bad-prompt incidents discovered after promotion.</w:t>
      </w:r>
    </w:p>
    <w:p>
      <w:pPr>
        <w:pStyle w:val="Heading1"/>
        <w:pStyle w:val="Heading1"/>
      </w:pPr>
      <w:r>
        <w:t xml:space="preserve">3. Chaos Testing Plan</w:t>
      </w:r>
    </w:p>
    <w:p>
      <w:pPr>
        <w:pStyle w:val="Body"/>
      </w:pPr>
      <w:r>
        <w:t xml:space="preserve">Chaos is treated as a recurring drill, not a one-off. Three layers:</w:t>
      </w:r>
    </w:p>
    <w:p>
      <w:pPr>
        <w:pStyle w:val="Body"/>
        <w:numPr>
          <w:ilvl w:val="0"/>
          <w:numId w:val="3"/>
        </w:numPr>
      </w:pPr>
      <w:r>
        <w:t xml:space="preserve">In-app injection: /ops/chaos (admin-only, non-prod) supports targets {openai, sql, signalr, redis, servicebus} × modes {timeout, 500, slow, drop} for a bounded duration. Used for live demos, sprint review failure walkthroughs, and pre-release smoke tests.</w:t>
      </w:r>
    </w:p>
    <w:p>
      <w:pPr>
        <w:pStyle w:val="Body"/>
        <w:numPr>
          <w:ilvl w:val="0"/>
          <w:numId w:val="3"/>
        </w:numPr>
      </w:pPr>
      <w:r>
        <w:t xml:space="preserve">Scheduled drills: weekly Azure Chaos Studio experiment that, in a staging environment carrying production-like traffic from a replay tool, kills a random Container Apps replica, throttles SQL with a 200ms artificial latency, or simulates a Service Bus partition for 60 seconds. Pass criteria: no 5xx breaches, p95 within 2× SLO, full recovery within 90s of stop.</w:t>
      </w:r>
    </w:p>
    <w:p>
      <w:pPr>
        <w:pStyle w:val="Body"/>
        <w:numPr>
          <w:ilvl w:val="0"/>
          <w:numId w:val="3"/>
        </w:numPr>
      </w:pPr>
      <w:r>
        <w:t xml:space="preserve">Game days: quarterly cross-team exercise where the on-call rotation responds to an undisclosed scenario (eg. Azure OpenAI region down). Documented runbook updates feed back into the /health and /ops surfaces.</w:t>
      </w:r>
    </w:p>
    <w:p>
      <w:pPr>
        <w:pStyle w:val="Body"/>
      </w:pPr>
      <w:r>
        <w:t xml:space="preserve">Every chaos event correlates to a synthetic job traced end-to-end so we can prove the degraded path actually fired.</w:t>
      </w:r>
    </w:p>
    <w:p>
      <w:pPr>
        <w:pStyle w:val="Heading1"/>
        <w:pStyle w:val="Heading1"/>
      </w:pPr>
      <w:r>
        <w:t xml:space="preserve">4. Cost Optimization for High-Read Dashboards</w:t>
      </w:r>
    </w:p>
    <w:p>
      <w:pPr>
        <w:pStyle w:val="Body"/>
        <w:numPr>
          <w:ilvl w:val="0"/>
          <w:numId w:val="2"/>
        </w:numPr>
      </w:pPr>
      <w:r>
        <w:t xml:space="preserve">Two-tier cache: per-request memoization in API process, then Redis (TTL 30s) for tenant-scoped aggregates. Hit rates of 90%+ on the dashboard route push DB load near zero.</w:t>
      </w:r>
    </w:p>
    <w:p>
      <w:pPr>
        <w:pStyle w:val="Body"/>
        <w:numPr>
          <w:ilvl w:val="0"/>
          <w:numId w:val="2"/>
        </w:numPr>
      </w:pPr>
      <w:r>
        <w:t xml:space="preserve">Materialized view: SQL Agent refreshes vw_dashboard_metrics every 60s; the API selects from the view, not raw fact tables, dropping query cost from ~80 RU equivalent to ~3.</w:t>
      </w:r>
    </w:p>
    <w:p>
      <w:pPr>
        <w:pStyle w:val="Body"/>
        <w:numPr>
          <w:ilvl w:val="0"/>
          <w:numId w:val="2"/>
        </w:numPr>
      </w:pPr>
      <w:r>
        <w:t xml:space="preserve">Front Door caching: static assets, /healthz, and unauthenticated marketing routes cached at the edge.</w:t>
      </w:r>
    </w:p>
    <w:p>
      <w:pPr>
        <w:pStyle w:val="Body"/>
        <w:numPr>
          <w:ilvl w:val="0"/>
          <w:numId w:val="2"/>
        </w:numPr>
      </w:pPr>
      <w:r>
        <w:t xml:space="preserve">AI cost: gpt-4o reserved only for vendor recommendation; everything else (summaries, eval) on gpt-4o-mini. Embeddings batched 16 per call. Embedding cache (Redis) saves 35–50% of duplicate-intake calls.</w:t>
      </w:r>
    </w:p>
    <w:p>
      <w:pPr>
        <w:pStyle w:val="Body"/>
        <w:numPr>
          <w:ilvl w:val="0"/>
          <w:numId w:val="2"/>
        </w:numPr>
      </w:pPr>
      <w:r>
        <w:t xml:space="preserve">Cosmos: autoscale 400→4000 RU/s on /tenantId; analytical store enabled for ad-hoc queries via Synapse Link, avoiding RU contention with operational reads.</w:t>
      </w:r>
    </w:p>
    <w:p>
      <w:pPr>
        <w:pStyle w:val="Body"/>
        <w:numPr>
          <w:ilvl w:val="0"/>
          <w:numId w:val="2"/>
        </w:numPr>
      </w:pPr>
      <w:r>
        <w:t xml:space="preserve">Container Apps: scale to zero on dev branches; min 2 / max 20 in prod with KEDA on Service Bus depth — pay for capacity actually used.</w:t>
      </w:r>
    </w:p>
    <w:p>
      <w:pPr>
        <w:pStyle w:val="Body"/>
        <w:numPr>
          <w:ilvl w:val="0"/>
          <w:numId w:val="2"/>
        </w:numPr>
      </w:pPr>
      <w:r>
        <w:t xml:space="preserve">Reserved capacity for Azure SQL Business Critical (1-year RI) once usage stabilises.</w:t>
      </w:r>
    </w:p>
    <w:p>
      <w:pPr>
        <w:pStyle w:val="Body"/>
        <w:numPr>
          <w:ilvl w:val="0"/>
          <w:numId w:val="2"/>
        </w:numPr>
      </w:pPr>
      <w:r>
        <w:t xml:space="preserve">Cost guardrail: daily AI cost budget per tenant in Redis; on breach, requests degrade to the rule-based ranker and the on-call is paged.</w:t>
      </w:r>
    </w:p>
    <w:p>
      <w:pPr>
        <w:pStyle w:val="Heading1"/>
        <w:pStyle w:val="Heading1"/>
      </w:pPr>
      <w:r>
        <w:t xml:space="preserve">5. Feature Flag Strategy</w:t>
      </w:r>
    </w:p>
    <w:p>
      <w:pPr>
        <w:pStyle w:val="Body"/>
      </w:pPr>
      <w:r>
        <w:t xml:space="preserve">Flags live in the FeatureFlags table (tenantId, key, enabled, rolloutPercent, allowlistJson) and are mirrored into Redis with a 10s TTL for low-latency evaluation. The API exposes an Admin-only CRUD at /ops/feature-flags; the SPA mirrors them at /feature-flags for visibility. Three flag categories:</w:t>
      </w:r>
    </w:p>
    <w:p>
      <w:pPr>
        <w:pStyle w:val="Body"/>
        <w:numPr>
          <w:ilvl w:val="0"/>
          <w:numId w:val="3"/>
        </w:numPr>
      </w:pPr>
      <w:r>
        <w:t xml:space="preserve">Release flags: short-lived, gate new code paths until proven (eg. ai.recommender.v4). Removed within two release cycles of full rollout.</w:t>
      </w:r>
    </w:p>
    <w:p>
      <w:pPr>
        <w:pStyle w:val="Body"/>
        <w:numPr>
          <w:ilvl w:val="0"/>
          <w:numId w:val="3"/>
        </w:numPr>
      </w:pPr>
      <w:r>
        <w:t xml:space="preserve">Operational flags: long-lived kill-switches and circuit overrides (eg. ai.kill_switch, audit.write_through_cache). Documented runbooks tied to each.</w:t>
      </w:r>
    </w:p>
    <w:p>
      <w:pPr>
        <w:pStyle w:val="Body"/>
        <w:numPr>
          <w:ilvl w:val="0"/>
          <w:numId w:val="3"/>
        </w:numPr>
      </w:pPr>
      <w:r>
        <w:t xml:space="preserve">Experiment flags: paired with the A/B harness; cohort assignment via hash(jobId) % 100; results joined to AIRecommendations / Assignments for analysis.</w:t>
      </w:r>
    </w:p>
    <w:p>
      <w:pPr>
        <w:pStyle w:val="Body"/>
      </w:pPr>
      <w:r>
        <w:t xml:space="preserve">Every flag flip writes an audit row with before/after, actor, and correlation ID. Flags are evaluated server-side; the client receives only the resolved state for routes the user can access. Dependencies between flags are explicit in code (eg. ai.recommender.v4 requires ai.embeddings.v2) and validated at flag-write time.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ody"/>
      <w:tabs>
        <w:tab w:val="right" w:pos="9026"/>
      </w:tabs>
    </w:pPr>
    <w:r>
      <w:rPr>
        <w:color w:val="64748B"/>
        <w:sz w:val="18"/>
        <w:szCs w:val="18"/>
      </w:rPr>
      <w:t xml:space="preserve">RetailFixIt — Optional Bonus Appendix</w:t>
    </w:r>
    <w:r>
      <w:rPr>
        <w:color w:val="64748B"/>
        <w:sz w:val="18"/>
        <w:szCs w:val="18"/>
      </w:rPr>
      <w:t xml:space="preserve">	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pPr>
      <w:spacing w:after="320" w:before="0"/>
    </w:pPr>
    <w:rPr>
      <w:rFonts w:ascii="Calibri" w:cs="Calibri" w:eastAsia="Calibri" w:hAnsi="Calibri"/>
      <w:color w:val="475569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20" w:before="320"/>
      <w:outlineLvl w:val="0"/>
    </w:pPr>
    <w:rPr>
      <w:rFonts w:ascii="Calibri" w:cs="Calibri" w:eastAsia="Calibri" w:hAnsi="Calibr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34155"/>
      <w:sz w:val="22"/>
      <w:szCs w:val="22"/>
    </w:rPr>
  </w:style>
  <w:style w:type="paragraph" w:styleId="Body">
    <w:name w:val="Body"/>
    <w:basedOn w:val="Normal"/>
    <w:next w:val="Normal"/>
    <w:pPr>
      <w:spacing w:after="120" w:before="0" w:line="300"/>
    </w:pPr>
    <w:rPr>
      <w:rFonts w:ascii="Calibri" w:cs="Calibri" w:eastAsia="Calibri" w:hAnsi="Calibri"/>
      <w:sz w:val="22"/>
      <w:szCs w:val="22"/>
    </w:rPr>
  </w:style>
  <w:style w:type="paragraph" w:styleId="Code">
    <w:name w:val="Code"/>
    <w:basedOn w:val="Normal"/>
    <w:next w:val="Normal"/>
    <w:pPr>
      <w:shd w:fill="F1F5F9" w:val="clear"/>
      <w:spacing w:after="80" w:before="80"/>
    </w:pPr>
    <w:rPr>
      <w:rFonts w:ascii="Consolas" w:cs="Consolas" w:eastAsia="Consolas" w:hAnsi="Consolas"/>
      <w:color w:val="0F172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2026-05-11T21:04:14.741Z</dcterms:created>
  <dcterms:modified xsi:type="dcterms:W3CDTF">2026-05-11T21:04:14.741Z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