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0FBB6" w14:textId="2C401CFB" w:rsidR="002C4C2F" w:rsidRPr="00193D4B" w:rsidRDefault="002C4C2F" w:rsidP="00193D4B">
      <w:pPr>
        <w:ind w:right="-169"/>
        <w:rPr>
          <w:b/>
          <w:bCs/>
          <w:sz w:val="32"/>
          <w:szCs w:val="32"/>
          <w:lang w:val="en-GB"/>
        </w:rPr>
      </w:pPr>
      <w:r w:rsidRPr="00193D4B">
        <w:rPr>
          <w:b/>
          <w:bCs/>
          <w:sz w:val="32"/>
          <w:szCs w:val="32"/>
          <w:lang w:val="en-GB"/>
        </w:rPr>
        <w:t>Title: All-cause Mortality in Relation to COVID-19 Vaccination: Analysis of the UK ONS Public Data</w:t>
      </w:r>
    </w:p>
    <w:p w14:paraId="25ABB645" w14:textId="77777777" w:rsidR="006408C8" w:rsidRPr="00193D4B" w:rsidRDefault="006408C8" w:rsidP="00193D4B">
      <w:pPr>
        <w:ind w:right="-169"/>
        <w:rPr>
          <w:b/>
          <w:bCs/>
          <w:sz w:val="20"/>
          <w:szCs w:val="20"/>
          <w:lang w:val="en-GB"/>
        </w:rPr>
        <w:sectPr w:rsidR="006408C8" w:rsidRPr="00193D4B" w:rsidSect="00740841">
          <w:footerReference w:type="even" r:id="rId8"/>
          <w:footerReference w:type="default" r:id="rId9"/>
          <w:pgSz w:w="11909" w:h="16834"/>
          <w:pgMar w:top="1134" w:right="1134" w:bottom="1134" w:left="1134" w:header="720" w:footer="720" w:gutter="0"/>
          <w:pgNumType w:start="1"/>
          <w:cols w:space="409"/>
        </w:sectPr>
      </w:pPr>
    </w:p>
    <w:p w14:paraId="0D6566F0" w14:textId="35940B90" w:rsidR="002C4C2F" w:rsidRPr="00193D4B" w:rsidRDefault="002C4C2F" w:rsidP="00193D4B">
      <w:pPr>
        <w:ind w:right="-169"/>
        <w:rPr>
          <w:b/>
          <w:bCs/>
          <w:sz w:val="24"/>
          <w:szCs w:val="24"/>
          <w:lang w:val="en-GB"/>
        </w:rPr>
      </w:pPr>
      <w:r w:rsidRPr="00193D4B">
        <w:rPr>
          <w:b/>
          <w:bCs/>
          <w:sz w:val="24"/>
          <w:szCs w:val="24"/>
          <w:lang w:val="en-GB"/>
        </w:rPr>
        <w:t>Abstract:</w:t>
      </w:r>
    </w:p>
    <w:p w14:paraId="228F8202" w14:textId="30967C57" w:rsidR="002C4C2F" w:rsidRPr="00193D4B" w:rsidRDefault="002C4C2F" w:rsidP="00193D4B">
      <w:pPr>
        <w:ind w:right="-169"/>
        <w:rPr>
          <w:sz w:val="20"/>
          <w:szCs w:val="20"/>
          <w:lang w:val="en-GB"/>
        </w:rPr>
      </w:pPr>
      <w:r w:rsidRPr="00193D4B">
        <w:rPr>
          <w:sz w:val="20"/>
          <w:szCs w:val="20"/>
          <w:lang w:val="en-GB"/>
        </w:rPr>
        <w:t xml:space="preserve">The widespread availably of COVID-19 vaccines has presented a unique opportunity to study real-world impacts on population-wide mortality. Although clinical trials demonstrated high vaccine efficacy against COVID-19, </w:t>
      </w:r>
      <w:r w:rsidR="00383900" w:rsidRPr="00383900">
        <w:rPr>
          <w:sz w:val="20"/>
          <w:szCs w:val="20"/>
          <w:lang w:val="en-GB"/>
        </w:rPr>
        <w:t>there are still questions about the vaccines’ effectiveness in reducing all</w:t>
      </w:r>
      <w:r w:rsidR="00383900" w:rsidRPr="00383900">
        <w:rPr>
          <w:rFonts w:ascii="Cambria Math" w:hAnsi="Cambria Math" w:cs="Cambria Math"/>
          <w:sz w:val="20"/>
          <w:szCs w:val="20"/>
          <w:lang w:val="en-GB"/>
        </w:rPr>
        <w:t>‐</w:t>
      </w:r>
      <w:r w:rsidR="00383900" w:rsidRPr="00383900">
        <w:rPr>
          <w:sz w:val="20"/>
          <w:szCs w:val="20"/>
          <w:lang w:val="en-GB"/>
        </w:rPr>
        <w:t>cause mortality, especially in the context of the ever</w:t>
      </w:r>
      <w:r w:rsidR="00383900" w:rsidRPr="00383900">
        <w:rPr>
          <w:rFonts w:ascii="Cambria Math" w:hAnsi="Cambria Math" w:cs="Cambria Math"/>
          <w:sz w:val="20"/>
          <w:szCs w:val="20"/>
          <w:lang w:val="en-GB"/>
        </w:rPr>
        <w:t>‐</w:t>
      </w:r>
      <w:r w:rsidR="00383900" w:rsidRPr="00383900">
        <w:rPr>
          <w:sz w:val="20"/>
          <w:szCs w:val="20"/>
          <w:lang w:val="en-GB"/>
        </w:rPr>
        <w:t>changing pandemic.</w:t>
      </w:r>
      <w:r w:rsidR="00383900">
        <w:rPr>
          <w:sz w:val="20"/>
          <w:szCs w:val="20"/>
          <w:lang w:val="en-GB"/>
        </w:rPr>
        <w:t xml:space="preserve"> </w:t>
      </w:r>
      <w:r w:rsidRPr="00193D4B">
        <w:rPr>
          <w:sz w:val="20"/>
          <w:szCs w:val="20"/>
          <w:lang w:val="en-GB"/>
        </w:rPr>
        <w:t>Using publicly available data from the UK Office for National Statistics (ONS), this study examines whether vaccination status correlates with overall mortality rate in England from April 2021 to May 2023. We employ both rate ratio (RR) calculation, stratified by vaccine dose and timing, and Negative Binomial regression to account for overdispersion and evaluate the net association between vaccination and mortality. While monthly RRs occasionally exceed 1.0</w:t>
      </w:r>
      <w:r w:rsidR="004E35E0" w:rsidRPr="00193D4B">
        <w:rPr>
          <w:sz w:val="20"/>
          <w:szCs w:val="20"/>
          <w:lang w:val="en-GB"/>
        </w:rPr>
        <w:t xml:space="preserve"> (</w:t>
      </w:r>
      <w:r w:rsidRPr="00193D4B">
        <w:rPr>
          <w:sz w:val="20"/>
          <w:szCs w:val="20"/>
          <w:lang w:val="en-GB"/>
        </w:rPr>
        <w:t xml:space="preserve">suggesting higher mortality </w:t>
      </w:r>
      <w:r w:rsidR="004E35E0" w:rsidRPr="00193D4B">
        <w:rPr>
          <w:sz w:val="20"/>
          <w:szCs w:val="20"/>
          <w:lang w:val="en-GB"/>
        </w:rPr>
        <w:t xml:space="preserve">in certain dose-age combinations), the aggregated Negative Binomial model indicates a consistent protective effect across all age groups, with vaccinated individuals generally experiencing lower all-cause mortality. We discuss potential sources of bias, including underestimation of the unvaccinated population, health-vaccine bias, indication bias, and the harvesting effect, that could explain seemingly contradictory findings. Despite data limitation, our results underscore the complexity of interpreting observational vaccine data and the apparent overall benefit of COVID-19 vaccination in reducing all-cause mortality. </w:t>
      </w:r>
    </w:p>
    <w:p w14:paraId="062AB55F" w14:textId="77777777" w:rsidR="002C4C2F" w:rsidRPr="00193D4B" w:rsidRDefault="002C4C2F" w:rsidP="00193D4B">
      <w:pPr>
        <w:ind w:right="-169"/>
        <w:rPr>
          <w:sz w:val="20"/>
          <w:szCs w:val="20"/>
          <w:lang w:val="en-GB"/>
        </w:rPr>
      </w:pPr>
    </w:p>
    <w:p w14:paraId="2F7CA91F" w14:textId="621568BF" w:rsidR="002C4C2F" w:rsidRPr="00193D4B" w:rsidRDefault="00BA3752" w:rsidP="00193D4B">
      <w:pPr>
        <w:ind w:right="-169"/>
        <w:rPr>
          <w:b/>
          <w:bCs/>
          <w:sz w:val="24"/>
          <w:szCs w:val="24"/>
          <w:lang w:val="en-GB"/>
        </w:rPr>
      </w:pPr>
      <w:r>
        <w:rPr>
          <w:b/>
          <w:bCs/>
          <w:sz w:val="24"/>
          <w:szCs w:val="24"/>
          <w:lang w:val="en-GB"/>
        </w:rPr>
        <w:t xml:space="preserve">1. </w:t>
      </w:r>
      <w:r w:rsidR="002C4C2F" w:rsidRPr="00193D4B">
        <w:rPr>
          <w:b/>
          <w:bCs/>
          <w:sz w:val="24"/>
          <w:szCs w:val="24"/>
          <w:lang w:val="en-GB"/>
        </w:rPr>
        <w:t>Introduction</w:t>
      </w:r>
    </w:p>
    <w:p w14:paraId="49F7708D" w14:textId="26836D28" w:rsidR="00A201E6" w:rsidRPr="00193D4B" w:rsidRDefault="00383900" w:rsidP="00193D4B">
      <w:pPr>
        <w:ind w:right="-169"/>
        <w:rPr>
          <w:sz w:val="20"/>
          <w:szCs w:val="20"/>
          <w:lang w:val="en-GB"/>
        </w:rPr>
      </w:pPr>
      <w:r w:rsidRPr="00383900">
        <w:rPr>
          <w:sz w:val="20"/>
          <w:szCs w:val="20"/>
          <w:lang w:val="en-GB"/>
        </w:rPr>
        <w:t>With the outbreak of the COVID-19 pandemic</w:t>
      </w:r>
      <w:r w:rsidR="00A201E6" w:rsidRPr="00193D4B">
        <w:rPr>
          <w:sz w:val="20"/>
          <w:szCs w:val="20"/>
          <w:lang w:val="en-GB"/>
        </w:rPr>
        <w:t xml:space="preserve">, global public health has faced unprecedented challenges. As of October 2021, over 240 million confirmed COVID-19 cases and more than 4.8 million related deaths </w:t>
      </w:r>
      <w:r>
        <w:rPr>
          <w:sz w:val="20"/>
          <w:szCs w:val="20"/>
          <w:lang w:val="en-GB"/>
        </w:rPr>
        <w:t xml:space="preserve">have been </w:t>
      </w:r>
      <w:r w:rsidR="00A201E6" w:rsidRPr="00193D4B">
        <w:rPr>
          <w:sz w:val="20"/>
          <w:szCs w:val="20"/>
          <w:lang w:val="en-GB"/>
        </w:rPr>
        <w:t xml:space="preserve">reported worldwide (WHO, 2021b). </w:t>
      </w:r>
      <w:r w:rsidRPr="00383900">
        <w:rPr>
          <w:sz w:val="20"/>
          <w:szCs w:val="20"/>
          <w:lang w:val="en-GB"/>
        </w:rPr>
        <w:t>Several measures were adopted by governments of the globe (travel restrictions, lockdowns, mask mandates and finally mass vaccination campaigns) to reduce the number of deaths.</w:t>
      </w:r>
      <w:r>
        <w:rPr>
          <w:sz w:val="20"/>
          <w:szCs w:val="20"/>
          <w:lang w:val="en-GB"/>
        </w:rPr>
        <w:t xml:space="preserve"> </w:t>
      </w:r>
      <w:r w:rsidRPr="00383900">
        <w:rPr>
          <w:sz w:val="20"/>
          <w:szCs w:val="20"/>
          <w:lang w:val="en-GB"/>
        </w:rPr>
        <w:t>These include the development of several vaccines</w:t>
      </w:r>
      <w:r w:rsidR="00A201E6" w:rsidRPr="00193D4B">
        <w:rPr>
          <w:sz w:val="20"/>
          <w:szCs w:val="20"/>
          <w:lang w:val="en-GB"/>
        </w:rPr>
        <w:t>, including mRNA-based formulations (Pfizer-BioNTech’s BNT162b2 and Moderna’s mRNA-1273), adenovirus-vectored vaccines (Oxford-AstraZeneca’s ChAdOx1 nCoV-19), and others, represented landmark in pandemic response efforts.</w:t>
      </w:r>
    </w:p>
    <w:p w14:paraId="101C7341" w14:textId="03593183" w:rsidR="002C4C2F" w:rsidRPr="00193D4B" w:rsidRDefault="00383900" w:rsidP="00193D4B">
      <w:pPr>
        <w:ind w:right="-169"/>
        <w:rPr>
          <w:sz w:val="20"/>
          <w:szCs w:val="20"/>
          <w:lang w:val="en-GB"/>
        </w:rPr>
      </w:pPr>
      <w:r w:rsidRPr="00383900">
        <w:rPr>
          <w:sz w:val="20"/>
          <w:szCs w:val="20"/>
          <w:lang w:val="en-GB"/>
        </w:rPr>
        <w:t>Although clinical trials have shown that these vaccines are very efficient in preventing the symptoms of COVID 19 and reducing mortality</w:t>
      </w:r>
      <w:r w:rsidR="00A201E6" w:rsidRPr="00193D4B">
        <w:rPr>
          <w:sz w:val="20"/>
          <w:szCs w:val="20"/>
          <w:lang w:val="en-GB"/>
        </w:rPr>
        <w:t xml:space="preserve">, there </w:t>
      </w:r>
      <w:r w:rsidR="00A201E6" w:rsidRPr="00193D4B">
        <w:rPr>
          <w:sz w:val="20"/>
          <w:szCs w:val="20"/>
          <w:lang w:val="en-GB"/>
        </w:rPr>
        <w:t xml:space="preserve">is ongoing debate concerning their broader influence on all-cause </w:t>
      </w:r>
      <w:r w:rsidRPr="00193D4B">
        <w:rPr>
          <w:sz w:val="20"/>
          <w:szCs w:val="20"/>
          <w:lang w:val="en-GB"/>
        </w:rPr>
        <w:t>mortality (Baden et al., 2021; Skowronski &amp; De Serres, 2021</w:t>
      </w:r>
      <w:r>
        <w:rPr>
          <w:sz w:val="20"/>
          <w:szCs w:val="20"/>
          <w:lang w:val="en-GB"/>
        </w:rPr>
        <w:t>)</w:t>
      </w:r>
      <w:r w:rsidR="00A201E6" w:rsidRPr="00193D4B">
        <w:rPr>
          <w:sz w:val="20"/>
          <w:szCs w:val="20"/>
          <w:lang w:val="en-GB"/>
        </w:rPr>
        <w:t xml:space="preserve">. </w:t>
      </w:r>
      <w:r w:rsidR="00465481">
        <w:rPr>
          <w:sz w:val="20"/>
          <w:szCs w:val="20"/>
          <w:lang w:val="en-GB"/>
        </w:rPr>
        <w:t xml:space="preserve">In the early days of </w:t>
      </w:r>
      <w:r w:rsidR="00A201E6" w:rsidRPr="00193D4B">
        <w:rPr>
          <w:sz w:val="20"/>
          <w:szCs w:val="20"/>
          <w:lang w:val="en-GB"/>
        </w:rPr>
        <w:t xml:space="preserve">pandemic, numerous observational studies focused specifically on COVID-19-related deaths. However, measuring the effect of vaccination on all-cause mortality may yield additional insights, reflecting whether vaccines confer “spillover” benefits or, conversely, carry unforeseen risks that could influence non–COVID-19 deaths. </w:t>
      </w:r>
    </w:p>
    <w:p w14:paraId="64295C73" w14:textId="42CB982D" w:rsidR="00A201E6" w:rsidRPr="00193D4B" w:rsidRDefault="00465481" w:rsidP="00193D4B">
      <w:pPr>
        <w:ind w:right="-169"/>
        <w:rPr>
          <w:sz w:val="20"/>
          <w:szCs w:val="20"/>
          <w:lang w:val="en-GB"/>
        </w:rPr>
      </w:pPr>
      <w:r w:rsidRPr="00465481">
        <w:rPr>
          <w:sz w:val="20"/>
          <w:szCs w:val="20"/>
          <w:lang w:val="en-GB"/>
        </w:rPr>
        <w:t xml:space="preserve">Excess mortality, which is the number of deaths above the seasonal or historical average, has been noted to rise in </w:t>
      </w:r>
      <w:r>
        <w:rPr>
          <w:sz w:val="20"/>
          <w:szCs w:val="20"/>
          <w:lang w:val="en-GB"/>
        </w:rPr>
        <w:t xml:space="preserve">multiple </w:t>
      </w:r>
      <w:r w:rsidRPr="00465481">
        <w:rPr>
          <w:sz w:val="20"/>
          <w:szCs w:val="20"/>
          <w:lang w:val="en-GB"/>
        </w:rPr>
        <w:t xml:space="preserve">countries </w:t>
      </w:r>
      <w:r w:rsidR="00A201E6" w:rsidRPr="00193D4B">
        <w:rPr>
          <w:sz w:val="20"/>
          <w:szCs w:val="20"/>
          <w:lang w:val="en-GB"/>
        </w:rPr>
        <w:t>(</w:t>
      </w:r>
      <w:proofErr w:type="spellStart"/>
      <w:r w:rsidR="00A201E6" w:rsidRPr="00193D4B">
        <w:rPr>
          <w:sz w:val="20"/>
          <w:szCs w:val="20"/>
          <w:lang w:val="en-GB"/>
        </w:rPr>
        <w:t>Schöley</w:t>
      </w:r>
      <w:proofErr w:type="spellEnd"/>
      <w:r w:rsidR="00A201E6" w:rsidRPr="00193D4B">
        <w:rPr>
          <w:sz w:val="20"/>
          <w:szCs w:val="20"/>
          <w:lang w:val="en-GB"/>
        </w:rPr>
        <w:t xml:space="preserve"> et al., 2019; Yao et al., 2023). England and Wales</w:t>
      </w:r>
      <w:r w:rsidR="00740841" w:rsidRPr="00193D4B">
        <w:rPr>
          <w:sz w:val="20"/>
          <w:szCs w:val="20"/>
          <w:lang w:val="en-GB"/>
        </w:rPr>
        <w:t xml:space="preserve"> witnessed</w:t>
      </w:r>
      <w:r w:rsidR="00A201E6" w:rsidRPr="00193D4B">
        <w:rPr>
          <w:sz w:val="20"/>
          <w:szCs w:val="20"/>
          <w:lang w:val="en-GB"/>
        </w:rPr>
        <w:t xml:space="preserve"> a surge in excess mortality that began in March 2022 and </w:t>
      </w:r>
      <w:r>
        <w:rPr>
          <w:sz w:val="20"/>
          <w:szCs w:val="20"/>
          <w:lang w:val="en-GB"/>
        </w:rPr>
        <w:t xml:space="preserve">lasted most of the year </w:t>
      </w:r>
      <w:r w:rsidR="00A201E6" w:rsidRPr="00193D4B">
        <w:rPr>
          <w:sz w:val="20"/>
          <w:szCs w:val="20"/>
          <w:lang w:val="en-GB"/>
        </w:rPr>
        <w:t>2022 (Hussain, 2022). From April 2021 to May 2023, excess deaths in these two countries amounted to approximately 130,000 above the five-year average (Office for National Statistics, 2023).</w:t>
      </w:r>
    </w:p>
    <w:p w14:paraId="54ADE670" w14:textId="2590820D" w:rsidR="006E5579" w:rsidRPr="00193D4B" w:rsidRDefault="00A201E6" w:rsidP="00193D4B">
      <w:pPr>
        <w:ind w:right="-169"/>
        <w:rPr>
          <w:sz w:val="20"/>
          <w:szCs w:val="20"/>
          <w:lang w:val="en-GB"/>
        </w:rPr>
      </w:pPr>
      <w:r w:rsidRPr="00193D4B">
        <w:rPr>
          <w:sz w:val="20"/>
          <w:szCs w:val="20"/>
          <w:lang w:val="en-GB"/>
        </w:rPr>
        <w:t>The United Kingdom maintains one of the most detailed public health data collection systems worldwide, with the Office for National Statistics (ONS) regularly publishing mortality statistics stratified by age group and COVID-19 vaccination status. With more than 75% of the eligible population vaccinated by the end of 2021 (Our World in Data, 2024), England and Wales offer a robust data environment to explore whether vaccination truly influences overall mortality. Studying all-cause mortality rather than solely COVID-19 mortality can</w:t>
      </w:r>
      <w:r w:rsidR="00740841">
        <w:rPr>
          <w:sz w:val="20"/>
          <w:szCs w:val="20"/>
          <w:lang w:val="en-GB"/>
        </w:rPr>
        <w:t xml:space="preserve"> </w:t>
      </w:r>
      <w:r w:rsidRPr="00193D4B">
        <w:rPr>
          <w:sz w:val="20"/>
          <w:szCs w:val="20"/>
          <w:lang w:val="en-GB"/>
        </w:rPr>
        <w:t xml:space="preserve">shed light on broader health implications—both positive and </w:t>
      </w:r>
      <w:r w:rsidR="00740841" w:rsidRPr="00193D4B">
        <w:rPr>
          <w:sz w:val="20"/>
          <w:szCs w:val="20"/>
          <w:lang w:val="en-GB"/>
        </w:rPr>
        <w:t>negative arising</w:t>
      </w:r>
      <w:r w:rsidRPr="00193D4B">
        <w:rPr>
          <w:sz w:val="20"/>
          <w:szCs w:val="20"/>
          <w:lang w:val="en-GB"/>
        </w:rPr>
        <w:t xml:space="preserve"> from </w:t>
      </w:r>
      <w:r w:rsidR="00740841">
        <w:rPr>
          <w:sz w:val="20"/>
          <w:szCs w:val="20"/>
          <w:lang w:val="en-GB"/>
        </w:rPr>
        <w:t>l</w:t>
      </w:r>
      <w:r w:rsidRPr="00193D4B">
        <w:rPr>
          <w:sz w:val="20"/>
          <w:szCs w:val="20"/>
          <w:lang w:val="en-GB"/>
        </w:rPr>
        <w:t>arge-scale immunization efforts.</w:t>
      </w:r>
    </w:p>
    <w:p w14:paraId="5456ECA0" w14:textId="3CEBC01D" w:rsidR="002B7FC4" w:rsidRPr="00193D4B" w:rsidRDefault="006E5579" w:rsidP="00193D4B">
      <w:pPr>
        <w:spacing w:line="240" w:lineRule="auto"/>
        <w:ind w:right="-169"/>
        <w:rPr>
          <w:rFonts w:eastAsia="Times New Roman"/>
          <w:color w:val="000000"/>
          <w:sz w:val="20"/>
          <w:szCs w:val="20"/>
          <w:lang w:val="en-GB"/>
        </w:rPr>
      </w:pPr>
      <w:r w:rsidRPr="00193D4B">
        <w:rPr>
          <w:rFonts w:eastAsia="Times New Roman"/>
          <w:color w:val="000000"/>
          <w:sz w:val="20"/>
          <w:szCs w:val="20"/>
          <w:lang w:val="en-GB"/>
        </w:rPr>
        <w:t xml:space="preserve">This study utilizes ONS data on all-cause mortality to examine whether vaccination status and timing </w:t>
      </w:r>
      <w:r w:rsidR="00465481">
        <w:rPr>
          <w:rFonts w:eastAsia="Times New Roman"/>
          <w:color w:val="000000"/>
          <w:sz w:val="20"/>
          <w:szCs w:val="20"/>
          <w:lang w:val="en-GB"/>
        </w:rPr>
        <w:t>are associated</w:t>
      </w:r>
      <w:r w:rsidRPr="00193D4B">
        <w:rPr>
          <w:rFonts w:eastAsia="Times New Roman"/>
          <w:color w:val="000000"/>
          <w:sz w:val="20"/>
          <w:szCs w:val="20"/>
          <w:lang w:val="en-GB"/>
        </w:rPr>
        <w:t xml:space="preserve"> with overall death rates in England between April 2021 and May 2023. The analysis includes the computation of rate ratios (RRs) for various vaccination categories (e.g., first dose ≥ 21 days, second dose ≥ 21 days) relative to unvaccinated individuals, stratified by age group and month. Additionally, Poisson and Negative Binomial regression models are used to account for overdispersion in mortality counts and </w:t>
      </w:r>
    </w:p>
    <w:p w14:paraId="03CF2B7E" w14:textId="77777777" w:rsidR="000F04F5" w:rsidRPr="00193D4B" w:rsidRDefault="006E5579" w:rsidP="00193D4B">
      <w:pPr>
        <w:spacing w:line="240" w:lineRule="auto"/>
        <w:ind w:right="-169"/>
        <w:rPr>
          <w:rFonts w:eastAsia="Times New Roman"/>
          <w:color w:val="000000"/>
          <w:sz w:val="20"/>
          <w:szCs w:val="20"/>
          <w:lang w:val="en-GB"/>
        </w:rPr>
      </w:pPr>
      <w:r w:rsidRPr="00193D4B">
        <w:rPr>
          <w:rFonts w:eastAsia="Times New Roman"/>
          <w:color w:val="000000"/>
          <w:sz w:val="20"/>
          <w:szCs w:val="20"/>
          <w:lang w:val="en-GB"/>
        </w:rPr>
        <w:t xml:space="preserve">evaluate the net effect of vaccination across </w:t>
      </w:r>
    </w:p>
    <w:p w14:paraId="2A043936" w14:textId="77777777" w:rsidR="000F04F5" w:rsidRPr="00193D4B" w:rsidRDefault="006E5579" w:rsidP="00193D4B">
      <w:pPr>
        <w:spacing w:line="240" w:lineRule="auto"/>
        <w:ind w:right="-169"/>
        <w:rPr>
          <w:rFonts w:eastAsia="Times New Roman"/>
          <w:color w:val="000000"/>
          <w:sz w:val="20"/>
          <w:szCs w:val="20"/>
          <w:lang w:val="en-GB"/>
        </w:rPr>
      </w:pPr>
      <w:r w:rsidRPr="00193D4B">
        <w:rPr>
          <w:rFonts w:eastAsia="Times New Roman"/>
          <w:color w:val="000000"/>
          <w:sz w:val="20"/>
          <w:szCs w:val="20"/>
          <w:lang w:val="en-GB"/>
        </w:rPr>
        <w:t xml:space="preserve">different age brackets. Potential biases—such as </w:t>
      </w:r>
    </w:p>
    <w:p w14:paraId="647DC63D" w14:textId="3DC42D22" w:rsidR="002B7FC4" w:rsidRPr="00193D4B" w:rsidRDefault="006E5579" w:rsidP="00193D4B">
      <w:pPr>
        <w:spacing w:line="240" w:lineRule="auto"/>
        <w:ind w:right="-169"/>
        <w:rPr>
          <w:rFonts w:eastAsia="Times New Roman"/>
          <w:color w:val="000000"/>
          <w:sz w:val="20"/>
          <w:szCs w:val="20"/>
          <w:lang w:val="en-GB"/>
        </w:rPr>
      </w:pPr>
      <w:r w:rsidRPr="00193D4B">
        <w:rPr>
          <w:rFonts w:eastAsia="Times New Roman"/>
          <w:color w:val="000000"/>
          <w:sz w:val="20"/>
          <w:szCs w:val="20"/>
          <w:lang w:val="en-GB"/>
        </w:rPr>
        <w:t xml:space="preserve">the underestimation of unvaccinated populations, healthy-vaccine bias, indication bias, and the harvesting effect—are also discussed to provide context for the findings. </w:t>
      </w:r>
    </w:p>
    <w:p w14:paraId="489465AF" w14:textId="567BB693" w:rsidR="00A201E6" w:rsidRPr="00383900" w:rsidRDefault="006E5579" w:rsidP="00193D4B">
      <w:pPr>
        <w:spacing w:line="240" w:lineRule="auto"/>
        <w:ind w:right="-169"/>
        <w:rPr>
          <w:rFonts w:eastAsia="Times New Roman"/>
          <w:color w:val="000000"/>
          <w:sz w:val="20"/>
          <w:szCs w:val="20"/>
          <w:lang w:val="en-GB"/>
        </w:rPr>
      </w:pPr>
      <w:r w:rsidRPr="00193D4B">
        <w:rPr>
          <w:rFonts w:eastAsia="Times New Roman"/>
          <w:color w:val="000000"/>
          <w:sz w:val="20"/>
          <w:szCs w:val="20"/>
          <w:lang w:val="en-GB"/>
        </w:rPr>
        <w:t xml:space="preserve">By combining descriptive and inferential approaches, this study aims to offer a greater understanding of how vaccine-induced effects vary over time, across </w:t>
      </w:r>
      <w:r w:rsidRPr="00193D4B">
        <w:rPr>
          <w:rFonts w:eastAsia="Times New Roman"/>
          <w:color w:val="000000"/>
          <w:sz w:val="20"/>
          <w:szCs w:val="20"/>
          <w:lang w:val="en-GB"/>
        </w:rPr>
        <w:lastRenderedPageBreak/>
        <w:t>doses, and among age groups, while also addressing limitations in the ONS dataset, such as missing comorbidity data and incomplete temporal coverage.</w:t>
      </w:r>
    </w:p>
    <w:p w14:paraId="08B40895" w14:textId="77777777" w:rsidR="00A201E6" w:rsidRPr="00193D4B" w:rsidRDefault="00A201E6" w:rsidP="00193D4B">
      <w:pPr>
        <w:ind w:right="-169"/>
        <w:rPr>
          <w:sz w:val="20"/>
          <w:szCs w:val="20"/>
          <w:lang w:val="en-GB"/>
        </w:rPr>
      </w:pPr>
    </w:p>
    <w:p w14:paraId="34472223" w14:textId="5B7CE977" w:rsidR="002C4C2F" w:rsidRPr="00193D4B" w:rsidRDefault="00BA3752" w:rsidP="00193D4B">
      <w:pPr>
        <w:ind w:right="-169"/>
        <w:rPr>
          <w:b/>
          <w:bCs/>
          <w:sz w:val="24"/>
          <w:szCs w:val="24"/>
          <w:lang w:val="en-GB"/>
        </w:rPr>
      </w:pPr>
      <w:r>
        <w:rPr>
          <w:b/>
          <w:bCs/>
          <w:sz w:val="24"/>
          <w:szCs w:val="24"/>
          <w:lang w:val="en-GB"/>
        </w:rPr>
        <w:t xml:space="preserve">2. </w:t>
      </w:r>
      <w:r w:rsidR="002C4C2F" w:rsidRPr="00193D4B">
        <w:rPr>
          <w:b/>
          <w:bCs/>
          <w:sz w:val="24"/>
          <w:szCs w:val="24"/>
          <w:lang w:val="en-GB"/>
        </w:rPr>
        <w:t>Methods</w:t>
      </w:r>
    </w:p>
    <w:p w14:paraId="27F55D47" w14:textId="19FE726A" w:rsidR="002C4C2F" w:rsidRPr="00193D4B" w:rsidRDefault="002C4C2F" w:rsidP="00193D4B">
      <w:pPr>
        <w:ind w:right="-169"/>
        <w:rPr>
          <w:b/>
          <w:bCs/>
          <w:sz w:val="20"/>
          <w:szCs w:val="20"/>
          <w:lang w:val="en-GB"/>
        </w:rPr>
      </w:pPr>
      <w:r w:rsidRPr="00193D4B">
        <w:rPr>
          <w:b/>
          <w:bCs/>
          <w:sz w:val="20"/>
          <w:szCs w:val="20"/>
          <w:lang w:val="en-GB"/>
        </w:rPr>
        <w:t>2.1 Data Collection and</w:t>
      </w:r>
      <w:r w:rsidR="006408C8" w:rsidRPr="00193D4B">
        <w:rPr>
          <w:b/>
          <w:bCs/>
          <w:sz w:val="20"/>
          <w:szCs w:val="20"/>
          <w:lang w:val="en-GB"/>
        </w:rPr>
        <w:t xml:space="preserve"> </w:t>
      </w:r>
      <w:r w:rsidRPr="00193D4B">
        <w:rPr>
          <w:b/>
          <w:bCs/>
          <w:sz w:val="20"/>
          <w:szCs w:val="20"/>
          <w:lang w:val="en-GB"/>
        </w:rPr>
        <w:t xml:space="preserve">Preprocessing </w:t>
      </w:r>
    </w:p>
    <w:p w14:paraId="0B0827FD" w14:textId="41F13DF4" w:rsidR="002C4C2F" w:rsidRPr="00193D4B" w:rsidRDefault="002C4C2F" w:rsidP="00193D4B">
      <w:pPr>
        <w:ind w:right="-169"/>
        <w:rPr>
          <w:sz w:val="20"/>
          <w:szCs w:val="20"/>
          <w:lang w:val="en-GB"/>
        </w:rPr>
      </w:pPr>
      <w:r w:rsidRPr="00193D4B">
        <w:rPr>
          <w:sz w:val="20"/>
          <w:szCs w:val="20"/>
          <w:lang w:val="en-GB"/>
        </w:rPr>
        <w:t xml:space="preserve">All data were obtained from the UK Office for National Statistics (ONS) platform, including total mortality by vaccination status from April 2021 to May 2023. These data are publicly available and can be freely </w:t>
      </w:r>
      <w:r w:rsidR="00740841" w:rsidRPr="00193D4B">
        <w:rPr>
          <w:sz w:val="20"/>
          <w:szCs w:val="20"/>
          <w:lang w:val="en-GB"/>
        </w:rPr>
        <w:t>analysed</w:t>
      </w:r>
      <w:r w:rsidRPr="00193D4B">
        <w:rPr>
          <w:sz w:val="20"/>
          <w:szCs w:val="20"/>
          <w:lang w:val="en-GB"/>
        </w:rPr>
        <w:t xml:space="preserve"> and published, provided that the source is properly acknowledged.</w:t>
      </w:r>
    </w:p>
    <w:p w14:paraId="2A511C18" w14:textId="63978521" w:rsidR="002B7FC4" w:rsidRPr="00193D4B" w:rsidRDefault="002C4C2F" w:rsidP="00193D4B">
      <w:pPr>
        <w:ind w:right="-169"/>
        <w:rPr>
          <w:color w:val="333333"/>
          <w:sz w:val="20"/>
          <w:szCs w:val="20"/>
          <w:lang w:val="en-GB"/>
        </w:rPr>
      </w:pPr>
      <w:r w:rsidRPr="00193D4B">
        <w:rPr>
          <w:sz w:val="20"/>
          <w:szCs w:val="20"/>
          <w:lang w:val="en-GB"/>
        </w:rPr>
        <w:t xml:space="preserve">From the ONS Excel file, we used “Table 2,” which stratifies all-cause deaths by age and vaccination status, thereby allowing for the calculation of relative risks (RR). We excluded any deaths classified as COVID-19 because, for many months—especially early in the pandemic and in younger age brackets—the number of COVID-19 deaths was less than three, preventing reliable RR calculations. The spreadsheet defines seven age groups (18–39, 40–49, 50–59, 60–69, 70–79, 80–89, 90+). Each group is further broken down by vaccination status: Unvaccinated, First dose less than 21 </w:t>
      </w:r>
      <w:r w:rsidR="00740841" w:rsidRPr="00193D4B">
        <w:rPr>
          <w:sz w:val="20"/>
          <w:szCs w:val="20"/>
          <w:lang w:val="en-GB"/>
        </w:rPr>
        <w:t>days, First</w:t>
      </w:r>
      <w:r w:rsidRPr="00193D4B">
        <w:rPr>
          <w:color w:val="333333"/>
          <w:sz w:val="20"/>
          <w:szCs w:val="20"/>
          <w:lang w:val="en-GB"/>
        </w:rPr>
        <w:t xml:space="preserve"> dose at least 21 days, Second dose less than 21 </w:t>
      </w:r>
      <w:r w:rsidR="00740841" w:rsidRPr="00193D4B">
        <w:rPr>
          <w:color w:val="333333"/>
          <w:sz w:val="20"/>
          <w:szCs w:val="20"/>
          <w:lang w:val="en-GB"/>
        </w:rPr>
        <w:t>days,</w:t>
      </w:r>
      <w:r w:rsidRPr="00193D4B">
        <w:rPr>
          <w:color w:val="333333"/>
          <w:sz w:val="20"/>
          <w:szCs w:val="20"/>
          <w:lang w:val="en-GB"/>
        </w:rPr>
        <w:t xml:space="preserve"> Second dose at least 21 days, Third dose or booster less than 21 days, Third dose or booster at least 21 days.</w:t>
      </w:r>
    </w:p>
    <w:p w14:paraId="209F6C40" w14:textId="11F1834D" w:rsidR="002C4C2F" w:rsidRPr="00193D4B" w:rsidRDefault="002C4C2F" w:rsidP="00193D4B">
      <w:pPr>
        <w:ind w:right="-169"/>
        <w:rPr>
          <w:color w:val="333333"/>
          <w:sz w:val="20"/>
          <w:szCs w:val="20"/>
          <w:lang w:val="en-GB"/>
        </w:rPr>
      </w:pPr>
      <w:r w:rsidRPr="00193D4B">
        <w:rPr>
          <w:color w:val="333333"/>
          <w:sz w:val="20"/>
          <w:szCs w:val="20"/>
          <w:lang w:val="en-GB"/>
        </w:rPr>
        <w:t>Where the death count was listed as “&lt;3,” we recoded these values to 0. This step enabled us to visualize mortality trends for each age group over time despite early low vaccination rates. We then created stacked graphs to examine the monthly distributions of mortality by vaccination status for each age group (see Supplementary Materials, Tables S1–S7 and Figures S1–S7).</w:t>
      </w:r>
    </w:p>
    <w:p w14:paraId="11B1C022" w14:textId="77777777" w:rsidR="00740841" w:rsidRDefault="00740841" w:rsidP="00193D4B">
      <w:pPr>
        <w:ind w:right="-169"/>
        <w:rPr>
          <w:b/>
          <w:bCs/>
          <w:color w:val="333333"/>
          <w:sz w:val="20"/>
          <w:szCs w:val="20"/>
          <w:lang w:val="en-GB"/>
        </w:rPr>
      </w:pPr>
    </w:p>
    <w:p w14:paraId="1F088EE5" w14:textId="6B24909F" w:rsidR="002C4C2F" w:rsidRPr="00193D4B" w:rsidRDefault="00740841" w:rsidP="00193D4B">
      <w:pPr>
        <w:ind w:right="-169"/>
        <w:rPr>
          <w:b/>
          <w:bCs/>
          <w:color w:val="333333"/>
          <w:sz w:val="20"/>
          <w:szCs w:val="20"/>
          <w:lang w:val="en-GB"/>
        </w:rPr>
      </w:pPr>
      <w:r>
        <w:rPr>
          <w:b/>
          <w:bCs/>
          <w:color w:val="333333"/>
          <w:sz w:val="20"/>
          <w:szCs w:val="20"/>
          <w:lang w:val="en-GB"/>
        </w:rPr>
        <w:t>2</w:t>
      </w:r>
      <w:r w:rsidR="002C4C2F" w:rsidRPr="00193D4B">
        <w:rPr>
          <w:b/>
          <w:bCs/>
          <w:color w:val="333333"/>
          <w:sz w:val="20"/>
          <w:szCs w:val="20"/>
          <w:lang w:val="en-GB"/>
        </w:rPr>
        <w:t>.2 Statistical analysis</w:t>
      </w:r>
    </w:p>
    <w:p w14:paraId="265EB126" w14:textId="3B5F2B1B" w:rsidR="002C4C2F" w:rsidRPr="00193D4B" w:rsidRDefault="002C4C2F" w:rsidP="00193D4B">
      <w:pPr>
        <w:ind w:right="-169"/>
        <w:rPr>
          <w:b/>
          <w:bCs/>
          <w:color w:val="333333"/>
          <w:sz w:val="20"/>
          <w:szCs w:val="20"/>
          <w:lang w:val="en-GB"/>
        </w:rPr>
      </w:pPr>
      <w:r w:rsidRPr="00193D4B">
        <w:rPr>
          <w:b/>
          <w:bCs/>
          <w:color w:val="333333"/>
          <w:sz w:val="20"/>
          <w:szCs w:val="20"/>
          <w:lang w:val="en-GB"/>
        </w:rPr>
        <w:t xml:space="preserve">2.2.1 </w:t>
      </w:r>
      <w:r w:rsidR="00E87D06" w:rsidRPr="00193D4B">
        <w:rPr>
          <w:b/>
          <w:bCs/>
          <w:color w:val="333333"/>
          <w:sz w:val="20"/>
          <w:szCs w:val="20"/>
          <w:lang w:val="en-GB"/>
        </w:rPr>
        <w:t xml:space="preserve">Computing Relative Risk </w:t>
      </w:r>
      <w:r w:rsidRPr="00193D4B">
        <w:rPr>
          <w:b/>
          <w:bCs/>
          <w:color w:val="333333"/>
          <w:sz w:val="20"/>
          <w:szCs w:val="20"/>
          <w:lang w:val="en-GB"/>
        </w:rPr>
        <w:t>(RR)</w:t>
      </w:r>
    </w:p>
    <w:p w14:paraId="19BEBCFF" w14:textId="7279E7FE" w:rsidR="002C4C2F" w:rsidRPr="00193D4B" w:rsidRDefault="002C4C2F" w:rsidP="00193D4B">
      <w:pPr>
        <w:ind w:right="-169"/>
        <w:rPr>
          <w:sz w:val="20"/>
          <w:szCs w:val="20"/>
          <w:lang w:val="en-GB"/>
        </w:rPr>
      </w:pPr>
      <w:r w:rsidRPr="00193D4B">
        <w:rPr>
          <w:color w:val="333333"/>
          <w:sz w:val="20"/>
          <w:szCs w:val="20"/>
          <w:lang w:val="en-GB"/>
        </w:rPr>
        <w:t>We first computed the relative risk (RR) for all-cause mortality comparing each vaccinated group with the unvaccinated, based on the age-standardized rates available from the ONS (Office for National Statistics, 2023).</w:t>
      </w:r>
      <w:r w:rsidRPr="00193D4B">
        <w:rPr>
          <w:sz w:val="20"/>
          <w:szCs w:val="20"/>
          <w:lang w:val="en-GB"/>
        </w:rPr>
        <w:t xml:space="preserve"> </w:t>
      </w:r>
      <w:r w:rsidR="00E87D06" w:rsidRPr="00193D4B">
        <w:rPr>
          <w:sz w:val="20"/>
          <w:szCs w:val="20"/>
          <w:lang w:val="en-GB"/>
        </w:rPr>
        <w:t xml:space="preserve">The RR is: </w:t>
      </w:r>
      <w:r w:rsidRPr="00193D4B">
        <w:rPr>
          <w:sz w:val="20"/>
          <w:szCs w:val="20"/>
          <w:lang w:val="en-GB"/>
        </w:rPr>
        <w:t>Their 95% confidence intervals were calculated according to the following formula (</w:t>
      </w:r>
      <w:proofErr w:type="spellStart"/>
      <w:r w:rsidRPr="00193D4B">
        <w:rPr>
          <w:sz w:val="20"/>
          <w:szCs w:val="20"/>
          <w:lang w:val="en-GB"/>
        </w:rPr>
        <w:t>Soliani</w:t>
      </w:r>
      <w:proofErr w:type="spellEnd"/>
      <w:r w:rsidRPr="00193D4B">
        <w:rPr>
          <w:sz w:val="20"/>
          <w:szCs w:val="20"/>
          <w:lang w:val="en-GB"/>
        </w:rPr>
        <w:t xml:space="preserve">, 2008; Norman &amp; </w:t>
      </w:r>
      <w:proofErr w:type="spellStart"/>
      <w:r w:rsidRPr="00193D4B">
        <w:rPr>
          <w:sz w:val="20"/>
          <w:szCs w:val="20"/>
          <w:lang w:val="en-GB"/>
        </w:rPr>
        <w:t>Streiner</w:t>
      </w:r>
      <w:proofErr w:type="spellEnd"/>
      <w:r w:rsidRPr="00193D4B">
        <w:rPr>
          <w:sz w:val="20"/>
          <w:szCs w:val="20"/>
          <w:lang w:val="en-GB"/>
        </w:rPr>
        <w:t xml:space="preserve">, 2015): </w:t>
      </w:r>
    </w:p>
    <w:p w14:paraId="7BCDE0E2" w14:textId="354534A7" w:rsidR="00E87D06" w:rsidRPr="00193D4B" w:rsidRDefault="00E87D06" w:rsidP="00193D4B">
      <w:pPr>
        <w:ind w:right="-169"/>
        <w:jc w:val="center"/>
        <w:rPr>
          <w:sz w:val="20"/>
          <w:szCs w:val="20"/>
          <w:lang w:val="en-GB"/>
        </w:rPr>
      </w:pPr>
      <m:oMath>
        <m:r>
          <w:rPr>
            <w:rFonts w:ascii="Cambria Math" w:hAnsi="Cambria Math"/>
            <w:sz w:val="20"/>
            <w:szCs w:val="20"/>
            <w:lang w:val="en-GB"/>
          </w:rPr>
          <m:t>RR=</m:t>
        </m:r>
        <m:f>
          <m:fPr>
            <m:ctrlPr>
              <w:rPr>
                <w:rFonts w:ascii="Cambria Math" w:hAnsi="Cambria Math"/>
                <w:i/>
                <w:sz w:val="20"/>
                <w:szCs w:val="20"/>
                <w:lang w:val="en-GB"/>
              </w:rPr>
            </m:ctrlPr>
          </m:fPr>
          <m:num>
            <m:r>
              <w:rPr>
                <w:rFonts w:ascii="Cambria Math" w:hAnsi="Cambria Math"/>
                <w:sz w:val="20"/>
                <w:szCs w:val="20"/>
                <w:lang w:val="en-GB"/>
              </w:rPr>
              <m:t>Standardized death rate for vaccinated group</m:t>
            </m:r>
          </m:num>
          <m:den>
            <m:r>
              <w:rPr>
                <w:rFonts w:ascii="Cambria Math" w:hAnsi="Cambria Math"/>
                <w:sz w:val="20"/>
                <w:szCs w:val="20"/>
                <w:lang w:val="en-GB"/>
              </w:rPr>
              <m:t>Standardized death rate for unvaccinated group</m:t>
            </m:r>
          </m:den>
        </m:f>
      </m:oMath>
      <w:r w:rsidRPr="00193D4B">
        <w:rPr>
          <w:sz w:val="20"/>
          <w:szCs w:val="20"/>
          <w:lang w:val="en-GB"/>
        </w:rPr>
        <w:t xml:space="preserve">   (Equation 1)</w:t>
      </w:r>
    </w:p>
    <w:p w14:paraId="6543628E" w14:textId="0804789E" w:rsidR="00E87D06" w:rsidRPr="00193D4B" w:rsidRDefault="00E87D06" w:rsidP="00193D4B">
      <w:pPr>
        <w:ind w:right="-169"/>
        <w:rPr>
          <w:sz w:val="20"/>
          <w:szCs w:val="20"/>
          <w:lang w:val="en-GB"/>
        </w:rPr>
      </w:pPr>
      <w:r w:rsidRPr="00193D4B">
        <w:rPr>
          <w:sz w:val="20"/>
          <w:szCs w:val="20"/>
          <w:lang w:val="en-GB"/>
        </w:rPr>
        <w:t>Confidence intervals at 95% were calculated according to the following formula (</w:t>
      </w:r>
      <w:proofErr w:type="spellStart"/>
      <w:r w:rsidRPr="00193D4B">
        <w:rPr>
          <w:sz w:val="20"/>
          <w:szCs w:val="20"/>
          <w:lang w:val="en-GB"/>
        </w:rPr>
        <w:t>Soliani</w:t>
      </w:r>
      <w:proofErr w:type="spellEnd"/>
      <w:r w:rsidRPr="00193D4B">
        <w:rPr>
          <w:sz w:val="20"/>
          <w:szCs w:val="20"/>
          <w:lang w:val="en-GB"/>
        </w:rPr>
        <w:t xml:space="preserve">, 2008; Norman &amp; </w:t>
      </w:r>
      <w:proofErr w:type="spellStart"/>
      <w:r w:rsidRPr="00193D4B">
        <w:rPr>
          <w:sz w:val="20"/>
          <w:szCs w:val="20"/>
          <w:lang w:val="en-GB"/>
        </w:rPr>
        <w:t>Streiner</w:t>
      </w:r>
      <w:proofErr w:type="spellEnd"/>
      <w:r w:rsidRPr="00193D4B">
        <w:rPr>
          <w:sz w:val="20"/>
          <w:szCs w:val="20"/>
          <w:lang w:val="en-GB"/>
        </w:rPr>
        <w:t>, 2015):</w:t>
      </w:r>
    </w:p>
    <w:p w14:paraId="45655356" w14:textId="4ED212D4" w:rsidR="002C4C2F" w:rsidRPr="00193D4B" w:rsidRDefault="002C4C2F" w:rsidP="00193D4B">
      <w:pPr>
        <w:ind w:right="-169"/>
        <w:jc w:val="center"/>
        <w:rPr>
          <w:sz w:val="20"/>
          <w:szCs w:val="20"/>
          <w:lang w:val="en-GB"/>
        </w:rPr>
      </w:pPr>
      <m:oMath>
        <m:r>
          <w:rPr>
            <w:rFonts w:ascii="Cambria Math" w:hAnsi="Cambria Math"/>
            <w:sz w:val="20"/>
            <w:szCs w:val="20"/>
            <w:lang w:val="en-GB"/>
          </w:rPr>
          <m:t>C</m:t>
        </m:r>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95(RR)</m:t>
            </m:r>
          </m:sub>
        </m:sSub>
        <m:r>
          <w:rPr>
            <w:rFonts w:ascii="Cambria Math" w:hAnsi="Cambria Math"/>
            <w:sz w:val="20"/>
            <w:szCs w:val="20"/>
            <w:lang w:val="en-GB"/>
          </w:rPr>
          <m:t>=</m:t>
        </m:r>
        <m:sSup>
          <m:sSupPr>
            <m:ctrlPr>
              <w:rPr>
                <w:rFonts w:ascii="Cambria Math" w:hAnsi="Cambria Math"/>
                <w:sz w:val="20"/>
                <w:szCs w:val="20"/>
                <w:lang w:val="en-GB"/>
              </w:rPr>
            </m:ctrlPr>
          </m:sSupPr>
          <m:e>
            <m:r>
              <w:rPr>
                <w:rFonts w:ascii="Cambria Math" w:hAnsi="Cambria Math"/>
                <w:sz w:val="20"/>
                <w:szCs w:val="20"/>
                <w:lang w:val="en-GB"/>
              </w:rPr>
              <m:t>e</m:t>
            </m:r>
          </m:e>
          <m:sup>
            <m:r>
              <w:rPr>
                <w:rFonts w:ascii="Cambria Math" w:hAnsi="Cambria Math"/>
                <w:sz w:val="20"/>
                <w:szCs w:val="20"/>
                <w:lang w:val="en-GB"/>
              </w:rPr>
              <m:t>[ln</m:t>
            </m:r>
            <m:d>
              <m:dPr>
                <m:ctrlPr>
                  <w:rPr>
                    <w:rFonts w:ascii="Cambria Math" w:hAnsi="Cambria Math"/>
                    <w:i/>
                    <w:sz w:val="20"/>
                    <w:szCs w:val="20"/>
                    <w:lang w:val="en-GB"/>
                  </w:rPr>
                </m:ctrlPr>
              </m:dPr>
              <m:e>
                <m:r>
                  <w:rPr>
                    <w:rFonts w:ascii="Cambria Math" w:hAnsi="Cambria Math"/>
                    <w:sz w:val="20"/>
                    <w:szCs w:val="20"/>
                    <w:lang w:val="en-GB"/>
                  </w:rPr>
                  <m:t>RR</m:t>
                </m:r>
              </m:e>
            </m:d>
            <m:r>
              <w:rPr>
                <w:rFonts w:ascii="Cambria Math" w:hAnsi="Cambria Math"/>
                <w:sz w:val="20"/>
                <w:szCs w:val="20"/>
                <w:lang w:val="en-GB"/>
              </w:rPr>
              <m:t>±1.96×SEl</m:t>
            </m:r>
            <m:r>
              <m:rPr>
                <m:sty m:val="p"/>
              </m:rPr>
              <w:rPr>
                <w:rFonts w:ascii="Cambria Math" w:hAnsi="Cambria Math"/>
                <w:sz w:val="20"/>
                <w:szCs w:val="20"/>
                <w:lang w:val="en-GB"/>
              </w:rPr>
              <m:t>n</m:t>
            </m:r>
            <m:d>
              <m:dPr>
                <m:ctrlPr>
                  <w:rPr>
                    <w:rFonts w:ascii="Cambria Math" w:hAnsi="Cambria Math"/>
                    <w:i/>
                    <w:sz w:val="20"/>
                    <w:szCs w:val="20"/>
                    <w:lang w:val="en-GB"/>
                  </w:rPr>
                </m:ctrlPr>
              </m:dPr>
              <m:e>
                <m:r>
                  <w:rPr>
                    <w:rFonts w:ascii="Cambria Math" w:hAnsi="Cambria Math"/>
                    <w:sz w:val="20"/>
                    <w:szCs w:val="20"/>
                    <w:lang w:val="en-GB"/>
                  </w:rPr>
                  <m:t>RR</m:t>
                </m:r>
              </m:e>
            </m:d>
            <m:r>
              <w:rPr>
                <w:rFonts w:ascii="Cambria Math" w:hAnsi="Cambria Math"/>
                <w:sz w:val="20"/>
                <w:szCs w:val="20"/>
                <w:lang w:val="en-GB"/>
              </w:rPr>
              <m:t>]</m:t>
            </m:r>
          </m:sup>
        </m:sSup>
      </m:oMath>
      <w:r w:rsidRPr="00193D4B">
        <w:rPr>
          <w:sz w:val="20"/>
          <w:szCs w:val="20"/>
          <w:lang w:val="en-GB"/>
        </w:rPr>
        <w:t xml:space="preserve"> (Equation </w:t>
      </w:r>
      <w:r w:rsidR="00E87D06" w:rsidRPr="00193D4B">
        <w:rPr>
          <w:sz w:val="20"/>
          <w:szCs w:val="20"/>
          <w:lang w:val="en-GB"/>
        </w:rPr>
        <w:t>2</w:t>
      </w:r>
      <w:r w:rsidRPr="00193D4B">
        <w:rPr>
          <w:sz w:val="20"/>
          <w:szCs w:val="20"/>
          <w:lang w:val="en-GB"/>
        </w:rPr>
        <w:t>)</w:t>
      </w:r>
    </w:p>
    <w:p w14:paraId="7B27C400" w14:textId="2E940CA8" w:rsidR="002C4C2F" w:rsidRPr="00193D4B" w:rsidRDefault="002C4C2F" w:rsidP="00193D4B">
      <w:pPr>
        <w:ind w:right="-169"/>
        <w:rPr>
          <w:sz w:val="20"/>
          <w:szCs w:val="20"/>
          <w:lang w:val="en-GB"/>
        </w:rPr>
      </w:pPr>
      <w:r w:rsidRPr="00193D4B">
        <w:rPr>
          <w:sz w:val="20"/>
          <w:szCs w:val="20"/>
          <w:lang w:val="en-GB"/>
        </w:rPr>
        <w:t>where “</w:t>
      </w:r>
      <w:proofErr w:type="gramStart"/>
      <w:r w:rsidRPr="00193D4B">
        <w:rPr>
          <w:sz w:val="20"/>
          <w:szCs w:val="20"/>
          <w:lang w:val="en-GB"/>
        </w:rPr>
        <w:t>ln(</w:t>
      </w:r>
      <w:proofErr w:type="gramEnd"/>
      <w:r w:rsidRPr="00193D4B">
        <w:rPr>
          <w:sz w:val="20"/>
          <w:szCs w:val="20"/>
          <w:lang w:val="en-GB"/>
        </w:rPr>
        <w:t>RR)” is the natural log of the RR and “</w:t>
      </w:r>
      <w:proofErr w:type="spellStart"/>
      <w:r w:rsidRPr="00193D4B">
        <w:rPr>
          <w:sz w:val="20"/>
          <w:szCs w:val="20"/>
          <w:lang w:val="en-GB"/>
        </w:rPr>
        <w:t>SEln</w:t>
      </w:r>
      <w:proofErr w:type="spellEnd"/>
      <w:r w:rsidRPr="00193D4B">
        <w:rPr>
          <w:sz w:val="20"/>
          <w:szCs w:val="20"/>
          <w:lang w:val="en-GB"/>
        </w:rPr>
        <w:t xml:space="preserve">(RR)” is the standard error of the natural log of the RR. </w:t>
      </w:r>
    </w:p>
    <w:p w14:paraId="3F97213F" w14:textId="77777777" w:rsidR="002C4C2F" w:rsidRPr="00193D4B" w:rsidRDefault="002C4C2F" w:rsidP="00193D4B">
      <w:pPr>
        <w:ind w:right="-169"/>
        <w:rPr>
          <w:sz w:val="20"/>
          <w:szCs w:val="20"/>
          <w:lang w:val="en-GB"/>
        </w:rPr>
      </w:pPr>
      <w:r w:rsidRPr="00193D4B">
        <w:rPr>
          <w:sz w:val="20"/>
          <w:szCs w:val="20"/>
          <w:lang w:val="en-GB"/>
        </w:rPr>
        <w:t xml:space="preserve">To obtain </w:t>
      </w:r>
      <w:proofErr w:type="spellStart"/>
      <w:proofErr w:type="gramStart"/>
      <w:r w:rsidRPr="00193D4B">
        <w:rPr>
          <w:sz w:val="20"/>
          <w:szCs w:val="20"/>
          <w:lang w:val="en-GB"/>
        </w:rPr>
        <w:t>SEln</w:t>
      </w:r>
      <w:proofErr w:type="spellEnd"/>
      <w:r w:rsidRPr="00193D4B">
        <w:rPr>
          <w:sz w:val="20"/>
          <w:szCs w:val="20"/>
          <w:lang w:val="en-GB"/>
        </w:rPr>
        <w:t>(</w:t>
      </w:r>
      <w:proofErr w:type="gramEnd"/>
      <w:r w:rsidRPr="00193D4B">
        <w:rPr>
          <w:sz w:val="20"/>
          <w:szCs w:val="20"/>
          <w:lang w:val="en-GB"/>
        </w:rPr>
        <w:t>RR) or each vaccination status by age group, we applied (Alessandria et al., 2024):</w:t>
      </w:r>
    </w:p>
    <w:p w14:paraId="604C475D" w14:textId="00B658E9" w:rsidR="002C4C2F" w:rsidRPr="00193D4B" w:rsidRDefault="002C4C2F" w:rsidP="00193D4B">
      <w:pPr>
        <w:ind w:right="-169"/>
        <w:jc w:val="center"/>
        <w:rPr>
          <w:sz w:val="20"/>
          <w:szCs w:val="20"/>
          <w:lang w:val="en-GB"/>
        </w:rPr>
      </w:pPr>
      <m:oMath>
        <m:r>
          <w:rPr>
            <w:rFonts w:ascii="Cambria Math" w:hAnsi="Cambria Math"/>
            <w:sz w:val="20"/>
            <w:szCs w:val="20"/>
            <w:lang w:val="en-GB"/>
          </w:rPr>
          <m:t xml:space="preserve">SEln(RR) = </m:t>
        </m:r>
        <m:rad>
          <m:radPr>
            <m:degHide m:val="1"/>
            <m:ctrlPr>
              <w:rPr>
                <w:rFonts w:ascii="Cambria Math" w:hAnsi="Cambria Math"/>
                <w:sz w:val="20"/>
                <w:szCs w:val="20"/>
                <w:lang w:val="en-GB"/>
              </w:rPr>
            </m:ctrlPr>
          </m:radPr>
          <m:deg/>
          <m:e>
            <m: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 xml:space="preserve">V. Pop. -Exp. Stand. D. </m:t>
                </m:r>
              </m:num>
              <m:den>
                <m:r>
                  <w:rPr>
                    <w:rFonts w:ascii="Cambria Math" w:hAnsi="Cambria Math"/>
                    <w:sz w:val="20"/>
                    <w:szCs w:val="20"/>
                    <w:lang w:val="en-GB"/>
                  </w:rPr>
                  <m:t>V.Pop.×Exp. Stand. D.</m:t>
                </m:r>
              </m:den>
            </m:f>
            <m: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Un. Pop. - Exp. Stand. D.</m:t>
                </m:r>
              </m:num>
              <m:den>
                <m:r>
                  <w:rPr>
                    <w:rFonts w:ascii="Cambria Math" w:hAnsi="Cambria Math"/>
                    <w:sz w:val="20"/>
                    <w:szCs w:val="20"/>
                    <w:lang w:val="en-GB"/>
                  </w:rPr>
                  <m:t>Un. Pop. ×Exp. Stand. D.</m:t>
                </m:r>
              </m:den>
            </m:f>
            <m:r>
              <w:rPr>
                <w:rFonts w:ascii="Cambria Math" w:hAnsi="Cambria Math"/>
                <w:sz w:val="20"/>
                <w:szCs w:val="20"/>
                <w:lang w:val="en-GB"/>
              </w:rPr>
              <m:t>)</m:t>
            </m:r>
          </m:e>
        </m:rad>
      </m:oMath>
      <w:r w:rsidRPr="00193D4B">
        <w:rPr>
          <w:sz w:val="20"/>
          <w:szCs w:val="20"/>
          <w:lang w:val="en-GB"/>
        </w:rPr>
        <w:t xml:space="preserve">     (Equation </w:t>
      </w:r>
      <w:r w:rsidR="00E87D06" w:rsidRPr="00193D4B">
        <w:rPr>
          <w:sz w:val="20"/>
          <w:szCs w:val="20"/>
          <w:lang w:val="en-GB"/>
        </w:rPr>
        <w:t>3</w:t>
      </w:r>
      <w:r w:rsidRPr="00193D4B">
        <w:rPr>
          <w:sz w:val="20"/>
          <w:szCs w:val="20"/>
          <w:lang w:val="en-GB"/>
        </w:rPr>
        <w:t>)</w:t>
      </w:r>
    </w:p>
    <w:p w14:paraId="330C3BE7" w14:textId="77777777" w:rsidR="00AF587A" w:rsidRPr="00193D4B" w:rsidRDefault="002C4C2F" w:rsidP="00193D4B">
      <w:pPr>
        <w:ind w:right="-169"/>
        <w:rPr>
          <w:sz w:val="20"/>
          <w:szCs w:val="20"/>
          <w:lang w:val="en-GB"/>
        </w:rPr>
      </w:pPr>
      <w:r w:rsidRPr="00193D4B">
        <w:rPr>
          <w:sz w:val="20"/>
          <w:szCs w:val="20"/>
          <w:lang w:val="en-GB"/>
        </w:rPr>
        <w:t>where, “</w:t>
      </w:r>
      <w:proofErr w:type="spellStart"/>
      <w:proofErr w:type="gramStart"/>
      <w:r w:rsidRPr="00193D4B">
        <w:rPr>
          <w:sz w:val="20"/>
          <w:szCs w:val="20"/>
          <w:lang w:val="en-GB"/>
        </w:rPr>
        <w:t>V.Pop</w:t>
      </w:r>
      <w:proofErr w:type="spellEnd"/>
      <w:proofErr w:type="gramEnd"/>
      <w:r w:rsidRPr="00193D4B">
        <w:rPr>
          <w:sz w:val="20"/>
          <w:szCs w:val="20"/>
          <w:lang w:val="en-GB"/>
        </w:rPr>
        <w:t>.” is the vaccinated population, “</w:t>
      </w:r>
      <w:proofErr w:type="spellStart"/>
      <w:r w:rsidRPr="00193D4B">
        <w:rPr>
          <w:sz w:val="20"/>
          <w:szCs w:val="20"/>
          <w:lang w:val="en-GB"/>
        </w:rPr>
        <w:t>Un.Pop</w:t>
      </w:r>
      <w:proofErr w:type="spellEnd"/>
      <w:r w:rsidRPr="00193D4B">
        <w:rPr>
          <w:sz w:val="20"/>
          <w:szCs w:val="20"/>
          <w:lang w:val="en-GB"/>
        </w:rPr>
        <w:t>.” is the unvaccinated population, and “</w:t>
      </w:r>
      <w:proofErr w:type="spellStart"/>
      <w:r w:rsidRPr="00193D4B">
        <w:rPr>
          <w:sz w:val="20"/>
          <w:szCs w:val="20"/>
          <w:lang w:val="en-GB"/>
        </w:rPr>
        <w:t>Exp.Stand.D</w:t>
      </w:r>
      <w:proofErr w:type="spellEnd"/>
      <w:r w:rsidRPr="00193D4B">
        <w:rPr>
          <w:sz w:val="20"/>
          <w:szCs w:val="20"/>
          <w:lang w:val="en-GB"/>
        </w:rPr>
        <w:t xml:space="preserve">.” is the expected standardized death – calculated by multiplying the standardized rate by the actual population, divided by 100,000 (Equation 3) </w:t>
      </w:r>
    </w:p>
    <w:p w14:paraId="695A9D50" w14:textId="29295E1D" w:rsidR="002C4C2F" w:rsidRPr="00193D4B" w:rsidRDefault="002C4C2F" w:rsidP="00193D4B">
      <w:pPr>
        <w:ind w:right="-169"/>
        <w:rPr>
          <w:sz w:val="20"/>
          <w:szCs w:val="20"/>
          <w:lang w:val="en-GB"/>
        </w:rPr>
      </w:pPr>
      <w:r w:rsidRPr="00193D4B">
        <w:rPr>
          <w:sz w:val="20"/>
          <w:szCs w:val="20"/>
          <w:lang w:val="en-GB"/>
        </w:rPr>
        <w:t xml:space="preserve">(Alessandria et al., 2024). </w:t>
      </w:r>
    </w:p>
    <w:p w14:paraId="4103819E" w14:textId="77777777" w:rsidR="00E87D06" w:rsidRPr="00193D4B" w:rsidRDefault="002C4C2F" w:rsidP="00193D4B">
      <w:pPr>
        <w:ind w:right="-169"/>
        <w:jc w:val="center"/>
        <w:rPr>
          <w:sz w:val="20"/>
          <w:szCs w:val="20"/>
          <w:lang w:val="en-GB"/>
        </w:rPr>
      </w:pPr>
      <m:oMath>
        <m:r>
          <w:rPr>
            <w:rFonts w:ascii="Cambria Math" w:hAnsi="Cambria Math"/>
            <w:sz w:val="20"/>
            <w:szCs w:val="20"/>
            <w:lang w:val="en-GB"/>
          </w:rPr>
          <m:t>Exp.Stand.D.=</m:t>
        </m:r>
        <m:f>
          <m:fPr>
            <m:ctrlPr>
              <w:rPr>
                <w:rFonts w:ascii="Cambria Math" w:hAnsi="Cambria Math"/>
                <w:sz w:val="20"/>
                <w:szCs w:val="20"/>
                <w:lang w:val="en-GB"/>
              </w:rPr>
            </m:ctrlPr>
          </m:fPr>
          <m:num>
            <m:r>
              <w:rPr>
                <w:rFonts w:ascii="Cambria Math" w:hAnsi="Cambria Math"/>
                <w:sz w:val="20"/>
                <w:szCs w:val="20"/>
                <w:lang w:val="en-GB"/>
              </w:rPr>
              <m:t>Age-Standardized rate×Population of each vaccine status</m:t>
            </m:r>
          </m:num>
          <m:den>
            <m:r>
              <w:rPr>
                <w:rFonts w:ascii="Cambria Math" w:hAnsi="Cambria Math"/>
                <w:sz w:val="20"/>
                <w:szCs w:val="20"/>
                <w:lang w:val="en-GB"/>
              </w:rPr>
              <m:t>100,000</m:t>
            </m:r>
          </m:den>
        </m:f>
      </m:oMath>
      <w:r w:rsidRPr="00193D4B">
        <w:rPr>
          <w:sz w:val="20"/>
          <w:szCs w:val="20"/>
          <w:lang w:val="en-GB"/>
        </w:rPr>
        <w:t xml:space="preserve"> </w:t>
      </w:r>
    </w:p>
    <w:p w14:paraId="68F559D0" w14:textId="6E7D87E2" w:rsidR="002C4C2F" w:rsidRPr="00193D4B" w:rsidRDefault="002C4C2F" w:rsidP="00193D4B">
      <w:pPr>
        <w:ind w:right="-169"/>
        <w:jc w:val="center"/>
        <w:rPr>
          <w:sz w:val="20"/>
          <w:szCs w:val="20"/>
          <w:lang w:val="en-GB"/>
        </w:rPr>
      </w:pPr>
      <w:r w:rsidRPr="00193D4B">
        <w:rPr>
          <w:sz w:val="20"/>
          <w:szCs w:val="20"/>
          <w:lang w:val="en-GB"/>
        </w:rPr>
        <w:t>(Equation</w:t>
      </w:r>
      <w:r w:rsidR="00E87D06" w:rsidRPr="00193D4B">
        <w:rPr>
          <w:sz w:val="20"/>
          <w:szCs w:val="20"/>
          <w:lang w:val="en-GB"/>
        </w:rPr>
        <w:t xml:space="preserve"> 4</w:t>
      </w:r>
      <w:r w:rsidRPr="00193D4B">
        <w:rPr>
          <w:sz w:val="20"/>
          <w:szCs w:val="20"/>
          <w:lang w:val="en-GB"/>
        </w:rPr>
        <w:t>)</w:t>
      </w:r>
    </w:p>
    <w:p w14:paraId="27837A3F" w14:textId="77777777" w:rsidR="002C4C2F" w:rsidRPr="00193D4B" w:rsidRDefault="002C4C2F" w:rsidP="00193D4B">
      <w:pPr>
        <w:ind w:right="-169"/>
        <w:rPr>
          <w:sz w:val="20"/>
          <w:szCs w:val="20"/>
          <w:lang w:val="en-GB"/>
        </w:rPr>
      </w:pPr>
      <w:r w:rsidRPr="00193D4B">
        <w:rPr>
          <w:sz w:val="20"/>
          <w:szCs w:val="20"/>
          <w:lang w:val="en-GB"/>
        </w:rPr>
        <w:t>Because RR is a ratio of two standardized rates, expected standardized deaths adjust for differences in population composition</w:t>
      </w:r>
    </w:p>
    <w:p w14:paraId="79F59C20" w14:textId="77777777" w:rsidR="002C4C2F" w:rsidRPr="00193D4B" w:rsidRDefault="002C4C2F" w:rsidP="00193D4B">
      <w:pPr>
        <w:ind w:right="-169"/>
        <w:rPr>
          <w:sz w:val="20"/>
          <w:szCs w:val="20"/>
          <w:lang w:val="en-GB"/>
        </w:rPr>
      </w:pPr>
      <w:r w:rsidRPr="00193D4B">
        <w:rPr>
          <w:sz w:val="20"/>
          <w:szCs w:val="20"/>
          <w:lang w:val="en-GB"/>
        </w:rPr>
        <w:t>We then calculated the p-value following Altman and Bland (2011):</w:t>
      </w:r>
    </w:p>
    <w:p w14:paraId="5E735E46" w14:textId="081F97B4" w:rsidR="002C4C2F" w:rsidRPr="00193D4B" w:rsidRDefault="002C4C2F" w:rsidP="00193D4B">
      <w:pPr>
        <w:ind w:right="-169"/>
        <w:rPr>
          <w:sz w:val="20"/>
          <w:szCs w:val="20"/>
          <w:lang w:val="en-GB"/>
        </w:rPr>
      </w:pPr>
      <m:oMath>
        <m:r>
          <w:rPr>
            <w:rFonts w:ascii="Cambria Math" w:hAnsi="Cambria Math"/>
            <w:sz w:val="20"/>
            <w:szCs w:val="20"/>
            <w:lang w:val="en-GB"/>
          </w:rPr>
          <m:t>p=exp(-0.717×z-0.416×</m:t>
        </m:r>
        <m:sSup>
          <m:sSupPr>
            <m:ctrlPr>
              <w:rPr>
                <w:rFonts w:ascii="Cambria Math" w:hAnsi="Cambria Math"/>
                <w:sz w:val="20"/>
                <w:szCs w:val="20"/>
                <w:lang w:val="en-GB"/>
              </w:rPr>
            </m:ctrlPr>
          </m:sSupPr>
          <m:e>
            <m:r>
              <w:rPr>
                <w:rFonts w:ascii="Cambria Math" w:hAnsi="Cambria Math"/>
                <w:sz w:val="20"/>
                <w:szCs w:val="20"/>
                <w:lang w:val="en-GB"/>
              </w:rPr>
              <m:t>z</m:t>
            </m:r>
          </m:e>
          <m:sup>
            <m:r>
              <w:rPr>
                <w:rFonts w:ascii="Cambria Math" w:hAnsi="Cambria Math"/>
                <w:sz w:val="20"/>
                <w:szCs w:val="20"/>
                <w:lang w:val="en-GB"/>
              </w:rPr>
              <m:t>2</m:t>
            </m:r>
          </m:sup>
        </m:sSup>
      </m:oMath>
      <w:proofErr w:type="gramStart"/>
      <w:r w:rsidRPr="00193D4B">
        <w:rPr>
          <w:sz w:val="20"/>
          <w:szCs w:val="20"/>
          <w:lang w:val="en-GB"/>
        </w:rPr>
        <w:t>)(</w:t>
      </w:r>
      <w:proofErr w:type="gramEnd"/>
      <w:r w:rsidRPr="00193D4B">
        <w:rPr>
          <w:sz w:val="20"/>
          <w:szCs w:val="20"/>
          <w:lang w:val="en-GB"/>
        </w:rPr>
        <w:t xml:space="preserve">Equation </w:t>
      </w:r>
      <w:r w:rsidR="00E87D06" w:rsidRPr="00193D4B">
        <w:rPr>
          <w:sz w:val="20"/>
          <w:szCs w:val="20"/>
          <w:lang w:val="en-GB"/>
        </w:rPr>
        <w:t>5</w:t>
      </w:r>
      <w:r w:rsidRPr="00193D4B">
        <w:rPr>
          <w:sz w:val="20"/>
          <w:szCs w:val="20"/>
          <w:lang w:val="en-GB"/>
        </w:rPr>
        <w:t>)</w:t>
      </w:r>
    </w:p>
    <w:p w14:paraId="0AF49DCB" w14:textId="77777777" w:rsidR="002C4C2F" w:rsidRPr="00193D4B" w:rsidRDefault="002C4C2F" w:rsidP="00193D4B">
      <w:pPr>
        <w:ind w:right="-169"/>
        <w:rPr>
          <w:sz w:val="20"/>
          <w:szCs w:val="20"/>
          <w:lang w:val="en-GB"/>
        </w:rPr>
      </w:pPr>
      <w:r w:rsidRPr="00193D4B">
        <w:rPr>
          <w:sz w:val="20"/>
          <w:szCs w:val="20"/>
          <w:lang w:val="en-GB"/>
        </w:rPr>
        <w:t xml:space="preserve">where z = </w:t>
      </w:r>
      <m:oMath>
        <m:f>
          <m:fPr>
            <m:ctrlPr>
              <w:rPr>
                <w:rFonts w:ascii="Cambria Math" w:hAnsi="Cambria Math"/>
                <w:sz w:val="20"/>
                <w:szCs w:val="20"/>
                <w:lang w:val="en-GB"/>
              </w:rPr>
            </m:ctrlPr>
          </m:fPr>
          <m:num>
            <m:r>
              <w:rPr>
                <w:rFonts w:ascii="Cambria Math" w:hAnsi="Cambria Math"/>
                <w:sz w:val="20"/>
                <w:szCs w:val="20"/>
                <w:lang w:val="en-GB"/>
              </w:rPr>
              <m:t>ln(RR)</m:t>
            </m:r>
          </m:num>
          <m:den>
            <m:r>
              <w:rPr>
                <w:rFonts w:ascii="Cambria Math" w:hAnsi="Cambria Math"/>
                <w:sz w:val="20"/>
                <w:szCs w:val="20"/>
                <w:lang w:val="en-GB"/>
              </w:rPr>
              <m:t>SE</m:t>
            </m:r>
          </m:den>
        </m:f>
      </m:oMath>
      <w:r w:rsidRPr="00193D4B">
        <w:rPr>
          <w:sz w:val="20"/>
          <w:szCs w:val="20"/>
          <w:lang w:val="en-GB"/>
        </w:rPr>
        <w:t xml:space="preserve"> and SE is from Equation 1</w:t>
      </w:r>
    </w:p>
    <w:p w14:paraId="79885354" w14:textId="77777777" w:rsidR="00740841" w:rsidRDefault="00740841" w:rsidP="00193D4B">
      <w:pPr>
        <w:ind w:right="-169"/>
        <w:rPr>
          <w:b/>
          <w:bCs/>
          <w:sz w:val="20"/>
          <w:szCs w:val="20"/>
          <w:lang w:val="en-GB"/>
        </w:rPr>
      </w:pPr>
    </w:p>
    <w:p w14:paraId="33215D99" w14:textId="74CD0D68" w:rsidR="002C4C2F" w:rsidRPr="00193D4B" w:rsidRDefault="002C4C2F" w:rsidP="00193D4B">
      <w:pPr>
        <w:ind w:right="-169"/>
        <w:rPr>
          <w:b/>
          <w:bCs/>
          <w:sz w:val="20"/>
          <w:szCs w:val="20"/>
          <w:lang w:val="en-GB"/>
        </w:rPr>
      </w:pPr>
      <w:r w:rsidRPr="00193D4B">
        <w:rPr>
          <w:b/>
          <w:bCs/>
          <w:sz w:val="20"/>
          <w:szCs w:val="20"/>
          <w:lang w:val="en-GB"/>
        </w:rPr>
        <w:t>2.2.2 Poisson Regression</w:t>
      </w:r>
    </w:p>
    <w:p w14:paraId="2BD2C2A7" w14:textId="77777777" w:rsidR="00E9129B" w:rsidRPr="00193D4B" w:rsidRDefault="002C4C2F" w:rsidP="00193D4B">
      <w:pPr>
        <w:ind w:right="-169"/>
        <w:rPr>
          <w:sz w:val="20"/>
          <w:szCs w:val="20"/>
          <w:lang w:val="en-GB"/>
        </w:rPr>
      </w:pPr>
      <w:r w:rsidRPr="00193D4B">
        <w:rPr>
          <w:sz w:val="20"/>
          <w:szCs w:val="20"/>
          <w:lang w:val="en-GB"/>
        </w:rPr>
        <w:t xml:space="preserve">Next, we assessed whether vaccination status (vaccinated vs. unvaccinated) was associated with mortality using a Poisson regression model. Poisson regression is suited to count data, such as total deaths, assuming the </w:t>
      </w:r>
    </w:p>
    <w:p w14:paraId="52AF6EC0" w14:textId="77777777" w:rsidR="00E9129B" w:rsidRPr="00193D4B" w:rsidRDefault="002C4C2F" w:rsidP="00193D4B">
      <w:pPr>
        <w:ind w:right="-169"/>
        <w:rPr>
          <w:sz w:val="20"/>
          <w:szCs w:val="20"/>
          <w:lang w:val="en-GB"/>
        </w:rPr>
      </w:pPr>
      <w:r w:rsidRPr="00193D4B">
        <w:rPr>
          <w:sz w:val="20"/>
          <w:szCs w:val="20"/>
          <w:lang w:val="en-GB"/>
        </w:rPr>
        <w:t>mean equals the variance (</w:t>
      </w:r>
      <w:proofErr w:type="spellStart"/>
      <w:r w:rsidRPr="00193D4B">
        <w:rPr>
          <w:sz w:val="20"/>
          <w:szCs w:val="20"/>
          <w:lang w:val="en-GB"/>
        </w:rPr>
        <w:t>Ogallo</w:t>
      </w:r>
      <w:proofErr w:type="spellEnd"/>
      <w:r w:rsidRPr="00193D4B">
        <w:rPr>
          <w:sz w:val="20"/>
          <w:szCs w:val="20"/>
          <w:lang w:val="en-GB"/>
        </w:rPr>
        <w:t xml:space="preserve"> et al., 2022). We began by filtering for deaths attributed to “All causes,” then recoded vaccination status </w:t>
      </w:r>
    </w:p>
    <w:p w14:paraId="22108DF3" w14:textId="4F823EC8" w:rsidR="002C4C2F" w:rsidRPr="00193D4B" w:rsidRDefault="002C4C2F" w:rsidP="00193D4B">
      <w:pPr>
        <w:ind w:right="-169"/>
        <w:rPr>
          <w:sz w:val="20"/>
          <w:szCs w:val="20"/>
          <w:lang w:val="en-GB"/>
        </w:rPr>
      </w:pPr>
      <w:r w:rsidRPr="00193D4B">
        <w:rPr>
          <w:sz w:val="20"/>
          <w:szCs w:val="20"/>
          <w:lang w:val="en-GB"/>
        </w:rPr>
        <w:t>as a binary variable: “Vaccinated” (any dose) vs. “Unvaccinated” (no dose). The Poisson model takes the form:</w:t>
      </w:r>
    </w:p>
    <w:p w14:paraId="7022752C" w14:textId="0D05877D" w:rsidR="002C4C2F" w:rsidRPr="00193D4B" w:rsidRDefault="002C4C2F" w:rsidP="00193D4B">
      <w:pPr>
        <w:ind w:right="-169"/>
        <w:jc w:val="center"/>
        <w:rPr>
          <w:sz w:val="20"/>
          <w:szCs w:val="20"/>
          <w:lang w:val="en-GB"/>
        </w:rPr>
      </w:pPr>
      <m:oMath>
        <m:r>
          <w:rPr>
            <w:rFonts w:ascii="Cambria Math" w:hAnsi="Cambria Math"/>
            <w:sz w:val="20"/>
            <w:szCs w:val="20"/>
            <w:lang w:val="en-GB"/>
          </w:rPr>
          <m:t>ln</m:t>
        </m:r>
        <m:sSub>
          <m:sSubPr>
            <m:ctrlPr>
              <w:rPr>
                <w:rFonts w:ascii="Cambria Math" w:hAnsi="Cambria Math"/>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o</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1</m:t>
            </m:r>
          </m:sub>
        </m:sSub>
        <m:r>
          <w:rPr>
            <w:rFonts w:ascii="Cambria Math" w:hAnsi="Cambria Math"/>
            <w:sz w:val="20"/>
            <w:szCs w:val="20"/>
            <w:lang w:val="en-GB"/>
          </w:rPr>
          <m:t>×Vaccination Status+ln(PersonYears)</m:t>
        </m:r>
      </m:oMath>
      <w:r w:rsidRPr="00193D4B">
        <w:rPr>
          <w:sz w:val="20"/>
          <w:szCs w:val="20"/>
          <w:lang w:val="en-GB"/>
        </w:rPr>
        <w:t xml:space="preserve">  (Equation </w:t>
      </w:r>
      <w:r w:rsidR="00E87D06" w:rsidRPr="00193D4B">
        <w:rPr>
          <w:sz w:val="20"/>
          <w:szCs w:val="20"/>
          <w:lang w:val="en-GB"/>
        </w:rPr>
        <w:t>6</w:t>
      </w:r>
      <w:r w:rsidRPr="00193D4B">
        <w:rPr>
          <w:sz w:val="20"/>
          <w:szCs w:val="20"/>
          <w:lang w:val="en-GB"/>
        </w:rPr>
        <w:t>)</w:t>
      </w:r>
    </w:p>
    <w:p w14:paraId="74F60747" w14:textId="77777777" w:rsidR="002C4C2F" w:rsidRPr="00193D4B" w:rsidRDefault="002C4C2F" w:rsidP="00193D4B">
      <w:pPr>
        <w:ind w:right="-169"/>
        <w:rPr>
          <w:sz w:val="20"/>
          <w:szCs w:val="20"/>
          <w:lang w:val="en-GB"/>
        </w:rPr>
      </w:pPr>
      <w:r w:rsidRPr="00193D4B">
        <w:rPr>
          <w:sz w:val="20"/>
          <w:szCs w:val="20"/>
          <w:lang w:val="en-GB"/>
        </w:rPr>
        <w:t>where:</w:t>
      </w:r>
    </w:p>
    <w:p w14:paraId="1D821705" w14:textId="28F33A4E" w:rsidR="002C4C2F" w:rsidRPr="00193D4B" w:rsidRDefault="00000000" w:rsidP="00193D4B">
      <w:pPr>
        <w:ind w:right="-169"/>
        <w:rPr>
          <w:sz w:val="20"/>
          <w:szCs w:val="20"/>
          <w:lang w:val="en-GB"/>
        </w:rPr>
      </w:pPr>
      <m:oMath>
        <m:sSub>
          <m:sSubPr>
            <m:ctrlPr>
              <w:rPr>
                <w:rFonts w:ascii="Cambria Math" w:hAnsi="Cambria Math"/>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i</m:t>
            </m:r>
          </m:sub>
        </m:sSub>
      </m:oMath>
      <w:r w:rsidR="002C4C2F" w:rsidRPr="00193D4B">
        <w:rPr>
          <w:sz w:val="20"/>
          <w:szCs w:val="20"/>
          <w:lang w:val="en-GB"/>
        </w:rPr>
        <w:t xml:space="preserve"> is the expected number of deaths in group i </w:t>
      </w:r>
    </w:p>
    <w:p w14:paraId="22B9E7C5" w14:textId="77777777" w:rsidR="002C4C2F" w:rsidRPr="00193D4B" w:rsidRDefault="00000000" w:rsidP="00193D4B">
      <w:pPr>
        <w:ind w:right="-169"/>
        <w:rPr>
          <w:sz w:val="20"/>
          <w:szCs w:val="20"/>
          <w:lang w:val="en-GB"/>
        </w:rPr>
      </w:pPr>
      <m:oMath>
        <m:sSub>
          <m:sSubPr>
            <m:ctrlPr>
              <w:rPr>
                <w:rFonts w:ascii="Cambria Math" w:hAnsi="Cambria Math"/>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0</m:t>
            </m:r>
          </m:sub>
        </m:sSub>
      </m:oMath>
      <w:r w:rsidR="002C4C2F" w:rsidRPr="00193D4B">
        <w:rPr>
          <w:sz w:val="20"/>
          <w:szCs w:val="20"/>
          <w:lang w:val="en-GB"/>
        </w:rPr>
        <w:t xml:space="preserve"> is the intercept, representing the baseline log-mortality rate for the unvaccinated group,</w:t>
      </w:r>
    </w:p>
    <w:p w14:paraId="50FD38F2" w14:textId="77777777" w:rsidR="002C4C2F" w:rsidRPr="00193D4B" w:rsidRDefault="00000000" w:rsidP="00193D4B">
      <w:pPr>
        <w:ind w:right="-169"/>
        <w:rPr>
          <w:sz w:val="20"/>
          <w:szCs w:val="20"/>
          <w:lang w:val="en-GB"/>
        </w:rPr>
      </w:pPr>
      <m:oMath>
        <m:sSub>
          <m:sSubPr>
            <m:ctrlPr>
              <w:rPr>
                <w:rFonts w:ascii="Cambria Math" w:hAnsi="Cambria Math"/>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1</m:t>
            </m:r>
          </m:sub>
        </m:sSub>
      </m:oMath>
      <w:r w:rsidR="002C4C2F" w:rsidRPr="00193D4B">
        <w:rPr>
          <w:sz w:val="20"/>
          <w:szCs w:val="20"/>
          <w:lang w:val="en-GB"/>
        </w:rPr>
        <w:t xml:space="preserve">quantifies the log-rate difference between vaccinated and unvaccinated individuals, and </w:t>
      </w:r>
    </w:p>
    <w:p w14:paraId="1D7E8797" w14:textId="77777777" w:rsidR="002C4C2F" w:rsidRPr="00193D4B" w:rsidRDefault="002C4C2F" w:rsidP="00193D4B">
      <w:pPr>
        <w:ind w:right="-169"/>
        <w:rPr>
          <w:sz w:val="20"/>
          <w:szCs w:val="20"/>
          <w:lang w:val="en-GB"/>
        </w:rPr>
      </w:pPr>
      <w:proofErr w:type="gramStart"/>
      <w:r w:rsidRPr="00193D4B">
        <w:rPr>
          <w:sz w:val="20"/>
          <w:szCs w:val="20"/>
          <w:lang w:val="en-GB"/>
        </w:rPr>
        <w:t>ln(</w:t>
      </w:r>
      <w:proofErr w:type="spellStart"/>
      <w:proofErr w:type="gramEnd"/>
      <w:r w:rsidRPr="00193D4B">
        <w:rPr>
          <w:sz w:val="20"/>
          <w:szCs w:val="20"/>
          <w:lang w:val="en-GB"/>
        </w:rPr>
        <w:t>PersonYears</w:t>
      </w:r>
      <w:proofErr w:type="spellEnd"/>
      <w:r w:rsidRPr="00193D4B">
        <w:rPr>
          <w:sz w:val="20"/>
          <w:szCs w:val="20"/>
          <w:lang w:val="en-GB"/>
        </w:rPr>
        <w:t xml:space="preserve">) is included as an offset to account for varying exposure time across groups, ensuring the model estimates mortality rates rather than raw events counts. </w:t>
      </w:r>
    </w:p>
    <w:p w14:paraId="0083F064" w14:textId="68D73C02" w:rsidR="002C4C2F" w:rsidRPr="00193D4B" w:rsidRDefault="002C4C2F" w:rsidP="00193D4B">
      <w:pPr>
        <w:ind w:right="-169"/>
        <w:rPr>
          <w:sz w:val="20"/>
          <w:szCs w:val="20"/>
          <w:lang w:val="en-GB"/>
        </w:rPr>
      </w:pPr>
      <w:r w:rsidRPr="00193D4B">
        <w:rPr>
          <w:sz w:val="20"/>
          <w:szCs w:val="20"/>
          <w:lang w:val="en-GB"/>
        </w:rPr>
        <w:t xml:space="preserve">The exponentiated coefficient </w:t>
      </w:r>
      <w:r w:rsidR="00C862F8" w:rsidRPr="00193D4B">
        <w:rPr>
          <w:sz w:val="20"/>
          <w:szCs w:val="20"/>
          <w:lang w:val="en-GB"/>
        </w:rPr>
        <w:t>exp (</w:t>
      </w:r>
      <m:oMath>
        <m:sSub>
          <m:sSubPr>
            <m:ctrlPr>
              <w:rPr>
                <w:rFonts w:ascii="Cambria Math" w:hAnsi="Cambria Math"/>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1</m:t>
            </m:r>
          </m:sub>
        </m:sSub>
      </m:oMath>
      <w:r w:rsidRPr="00193D4B">
        <w:rPr>
          <w:sz w:val="20"/>
          <w:szCs w:val="20"/>
          <w:lang w:val="en-GB"/>
        </w:rPr>
        <w:t xml:space="preserve">) yields the rate </w:t>
      </w:r>
      <w:r w:rsidR="00C862F8" w:rsidRPr="00193D4B">
        <w:rPr>
          <w:sz w:val="20"/>
          <w:szCs w:val="20"/>
          <w:lang w:val="en-GB"/>
        </w:rPr>
        <w:t>ratio (</w:t>
      </w:r>
      <w:r w:rsidRPr="00193D4B">
        <w:rPr>
          <w:sz w:val="20"/>
          <w:szCs w:val="20"/>
          <w:lang w:val="en-GB"/>
        </w:rPr>
        <w:t>RR), which quantifies the relative mortality risk for vaccinated compared to unvaccinated individuals. RR below 1 suggests a protective effect of vaccination. In the contrast, RR larger than 1 indicates higher mortality risk in the vaccinated group.</w:t>
      </w:r>
    </w:p>
    <w:p w14:paraId="3A257A57" w14:textId="77777777" w:rsidR="00740841" w:rsidRDefault="00740841" w:rsidP="00193D4B">
      <w:pPr>
        <w:ind w:right="-169"/>
        <w:rPr>
          <w:b/>
          <w:bCs/>
          <w:sz w:val="20"/>
          <w:szCs w:val="20"/>
          <w:lang w:val="en-GB"/>
        </w:rPr>
      </w:pPr>
    </w:p>
    <w:p w14:paraId="04708D96" w14:textId="7DF1A3CA" w:rsidR="002B7FC4" w:rsidRPr="00193D4B" w:rsidRDefault="00193D4B" w:rsidP="00193D4B">
      <w:pPr>
        <w:ind w:right="-169"/>
        <w:rPr>
          <w:b/>
          <w:bCs/>
          <w:sz w:val="20"/>
          <w:szCs w:val="20"/>
          <w:lang w:val="en-GB"/>
        </w:rPr>
      </w:pPr>
      <w:r w:rsidRPr="00193D4B">
        <w:rPr>
          <w:b/>
          <w:bCs/>
          <w:sz w:val="20"/>
          <w:szCs w:val="20"/>
          <w:lang w:val="en-GB"/>
        </w:rPr>
        <w:lastRenderedPageBreak/>
        <w:t>2.2.3 Addressing</w:t>
      </w:r>
      <w:r w:rsidR="002C4C2F" w:rsidRPr="00193D4B">
        <w:rPr>
          <w:b/>
          <w:bCs/>
          <w:sz w:val="20"/>
          <w:szCs w:val="20"/>
          <w:lang w:val="en-GB"/>
        </w:rPr>
        <w:t xml:space="preserve"> Overdispersion</w:t>
      </w:r>
      <w:r w:rsidR="00E87D06" w:rsidRPr="00193D4B">
        <w:rPr>
          <w:b/>
          <w:bCs/>
          <w:sz w:val="20"/>
          <w:szCs w:val="20"/>
          <w:lang w:val="en-GB"/>
        </w:rPr>
        <w:t xml:space="preserve"> </w:t>
      </w:r>
    </w:p>
    <w:p w14:paraId="701B5215" w14:textId="14BF280F" w:rsidR="002C4C2F" w:rsidRPr="00193D4B" w:rsidRDefault="002C4C2F" w:rsidP="00193D4B">
      <w:pPr>
        <w:ind w:right="-169"/>
        <w:rPr>
          <w:b/>
          <w:bCs/>
          <w:sz w:val="20"/>
          <w:szCs w:val="20"/>
          <w:lang w:val="en-GB"/>
        </w:rPr>
      </w:pPr>
      <w:r w:rsidRPr="00193D4B">
        <w:rPr>
          <w:sz w:val="20"/>
          <w:szCs w:val="20"/>
          <w:lang w:val="en-GB"/>
        </w:rPr>
        <w:t xml:space="preserve">In many real-world mortality datasets, variance often exceeds the mean, leading to </w:t>
      </w:r>
      <w:r w:rsidRPr="00193D4B">
        <w:rPr>
          <w:i/>
          <w:sz w:val="20"/>
          <w:szCs w:val="20"/>
          <w:lang w:val="en-GB"/>
        </w:rPr>
        <w:t>overdispersion</w:t>
      </w:r>
      <w:r w:rsidRPr="00193D4B">
        <w:rPr>
          <w:sz w:val="20"/>
          <w:szCs w:val="20"/>
          <w:lang w:val="en-GB"/>
        </w:rPr>
        <w:t xml:space="preserve"> (Ibarra-Espinosa et al., 2022). We identified this issue by observing that the variance in death counts was substantially larger than the mean across all age groups (for instance, a mean of 238.83 vs. a variance of 16,564.34 for ages 18–39). Consequently, Poisson regression alone was unsuitable for these data.</w:t>
      </w:r>
    </w:p>
    <w:p w14:paraId="6328F3E0" w14:textId="77777777" w:rsidR="002C4C2F" w:rsidRPr="00193D4B" w:rsidRDefault="002C4C2F" w:rsidP="00193D4B">
      <w:pPr>
        <w:ind w:right="-169"/>
        <w:rPr>
          <w:sz w:val="20"/>
          <w:szCs w:val="20"/>
          <w:lang w:val="en-GB"/>
        </w:rPr>
      </w:pPr>
      <w:r w:rsidRPr="00193D4B">
        <w:rPr>
          <w:sz w:val="20"/>
          <w:szCs w:val="20"/>
          <w:lang w:val="en-GB"/>
        </w:rPr>
        <w:t>To address this, we employed Negative Binomial regression models, which extend the Poisson model by introducing a dispersing parameter (</w:t>
      </w:r>
      <m:oMath>
        <m:r>
          <w:rPr>
            <w:rFonts w:ascii="Cambria Math" w:hAnsi="Cambria Math"/>
            <w:sz w:val="20"/>
            <w:szCs w:val="20"/>
            <w:lang w:val="en-GB"/>
          </w:rPr>
          <m:t>α)</m:t>
        </m:r>
      </m:oMath>
      <w:r w:rsidRPr="00193D4B">
        <w:rPr>
          <w:sz w:val="20"/>
          <w:szCs w:val="20"/>
          <w:lang w:val="en-GB"/>
        </w:rPr>
        <w:t xml:space="preserve"> that accounts for the extra variability. This adjustment allows the variance to exceed the mean, with the relationship (Xie, 2020):</w:t>
      </w:r>
    </w:p>
    <w:p w14:paraId="3520C925" w14:textId="2690EF68" w:rsidR="002C4C2F" w:rsidRPr="00193D4B" w:rsidRDefault="002C4C2F" w:rsidP="00193D4B">
      <w:pPr>
        <w:ind w:right="-169"/>
        <w:jc w:val="center"/>
        <w:rPr>
          <w:sz w:val="20"/>
          <w:szCs w:val="20"/>
          <w:lang w:val="en-GB"/>
        </w:rPr>
      </w:pPr>
      <m:oMath>
        <m:r>
          <w:rPr>
            <w:rFonts w:ascii="Cambria Math" w:hAnsi="Cambria Math"/>
            <w:sz w:val="20"/>
            <w:szCs w:val="20"/>
            <w:lang w:val="en-GB"/>
          </w:rPr>
          <m:t>Var(Yi)=</m:t>
        </m:r>
        <m:sSub>
          <m:sSubPr>
            <m:ctrlPr>
              <w:rPr>
                <w:rFonts w:ascii="Cambria Math" w:hAnsi="Cambria Math"/>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i</m:t>
            </m:r>
          </m:sub>
        </m:sSub>
        <m:r>
          <w:rPr>
            <w:rFonts w:ascii="Cambria Math" w:hAnsi="Cambria Math"/>
            <w:sz w:val="20"/>
            <w:szCs w:val="20"/>
            <w:lang w:val="en-GB"/>
          </w:rPr>
          <m:t>+α</m:t>
        </m:r>
        <m:sSubSup>
          <m:sSubSupPr>
            <m:ctrlPr>
              <w:rPr>
                <w:rFonts w:ascii="Cambria Math" w:hAnsi="Cambria Math"/>
                <w:sz w:val="20"/>
                <w:szCs w:val="20"/>
                <w:lang w:val="en-GB"/>
              </w:rPr>
            </m:ctrlPr>
          </m:sSubSupPr>
          <m:e>
            <m:r>
              <w:rPr>
                <w:rFonts w:ascii="Cambria Math" w:hAnsi="Cambria Math"/>
                <w:sz w:val="20"/>
                <w:szCs w:val="20"/>
                <w:lang w:val="en-GB"/>
              </w:rPr>
              <m:t>μ</m:t>
            </m:r>
          </m:e>
          <m:sub>
            <m:r>
              <w:rPr>
                <w:rFonts w:ascii="Cambria Math" w:hAnsi="Cambria Math"/>
                <w:sz w:val="20"/>
                <w:szCs w:val="20"/>
                <w:lang w:val="en-GB"/>
              </w:rPr>
              <m:t>i</m:t>
            </m:r>
          </m:sub>
          <m:sup>
            <m:r>
              <w:rPr>
                <w:rFonts w:ascii="Cambria Math" w:hAnsi="Cambria Math"/>
                <w:sz w:val="20"/>
                <w:szCs w:val="20"/>
                <w:lang w:val="en-GB"/>
              </w:rPr>
              <m:t>2</m:t>
            </m:r>
          </m:sup>
        </m:sSubSup>
      </m:oMath>
      <w:r w:rsidRPr="00193D4B">
        <w:rPr>
          <w:sz w:val="20"/>
          <w:szCs w:val="20"/>
          <w:lang w:val="en-GB"/>
        </w:rPr>
        <w:t xml:space="preserve">     (Equation </w:t>
      </w:r>
      <w:r w:rsidR="00E87D06" w:rsidRPr="00193D4B">
        <w:rPr>
          <w:sz w:val="20"/>
          <w:szCs w:val="20"/>
          <w:lang w:val="en-GB"/>
        </w:rPr>
        <w:t>7</w:t>
      </w:r>
      <w:r w:rsidRPr="00193D4B">
        <w:rPr>
          <w:sz w:val="20"/>
          <w:szCs w:val="20"/>
          <w:lang w:val="en-GB"/>
        </w:rPr>
        <w:t>).</w:t>
      </w:r>
    </w:p>
    <w:p w14:paraId="45D15214" w14:textId="77777777" w:rsidR="002C4C2F" w:rsidRPr="00193D4B" w:rsidRDefault="002C4C2F" w:rsidP="00193D4B">
      <w:pPr>
        <w:ind w:right="-169"/>
        <w:rPr>
          <w:sz w:val="20"/>
          <w:szCs w:val="20"/>
          <w:lang w:val="en-GB"/>
        </w:rPr>
      </w:pPr>
      <w:r w:rsidRPr="00193D4B">
        <w:rPr>
          <w:sz w:val="20"/>
          <w:szCs w:val="20"/>
          <w:lang w:val="en-GB"/>
        </w:rPr>
        <w:t xml:space="preserve">where </w:t>
      </w:r>
      <m:oMath>
        <m:sSub>
          <m:sSubPr>
            <m:ctrlPr>
              <w:rPr>
                <w:rFonts w:ascii="Cambria Math" w:hAnsi="Cambria Math"/>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i</m:t>
            </m:r>
          </m:sub>
        </m:sSub>
      </m:oMath>
      <w:r w:rsidRPr="00193D4B">
        <w:rPr>
          <w:sz w:val="20"/>
          <w:szCs w:val="20"/>
          <w:lang w:val="en-GB"/>
        </w:rPr>
        <w:t xml:space="preserve"> represents the expected count of deaths for group i, and </w:t>
      </w:r>
      <m:oMath>
        <m:r>
          <w:rPr>
            <w:rFonts w:ascii="Cambria Math" w:hAnsi="Cambria Math"/>
            <w:sz w:val="20"/>
            <w:szCs w:val="20"/>
            <w:lang w:val="en-GB"/>
          </w:rPr>
          <m:t>α&gt;0</m:t>
        </m:r>
      </m:oMath>
      <w:r w:rsidRPr="00193D4B">
        <w:rPr>
          <w:sz w:val="20"/>
          <w:szCs w:val="20"/>
          <w:lang w:val="en-GB"/>
        </w:rPr>
        <w:t xml:space="preserve"> is the estimated dispersion parameter. The Negative Binomial maintains the same log</w:t>
      </w:r>
      <w:r w:rsidRPr="00193D4B">
        <w:rPr>
          <w:rFonts w:ascii="Cambria Math" w:hAnsi="Cambria Math" w:cs="Cambria Math"/>
          <w:sz w:val="20"/>
          <w:szCs w:val="20"/>
          <w:lang w:val="en-GB"/>
        </w:rPr>
        <w:t>‐</w:t>
      </w:r>
      <w:r w:rsidRPr="00193D4B">
        <w:rPr>
          <w:sz w:val="20"/>
          <w:szCs w:val="20"/>
          <w:lang w:val="en-GB"/>
        </w:rPr>
        <w:t>linear structure as Poisson regression, such that exponentiating the coefficient of the “Vaccinated (vs. Unvaccinated)” variable again gives the RR:</w:t>
      </w:r>
    </w:p>
    <w:p w14:paraId="6EF9CCB7" w14:textId="77777777" w:rsidR="002B7FC4" w:rsidRPr="00193D4B" w:rsidRDefault="002C4C2F" w:rsidP="00193D4B">
      <w:pPr>
        <w:ind w:right="-169"/>
        <w:jc w:val="center"/>
        <w:rPr>
          <w:sz w:val="20"/>
          <w:szCs w:val="20"/>
          <w:lang w:val="en-GB"/>
        </w:rPr>
      </w:pPr>
      <m:oMath>
        <m:r>
          <w:rPr>
            <w:rFonts w:ascii="Cambria Math" w:hAnsi="Cambria Math"/>
            <w:sz w:val="20"/>
            <w:szCs w:val="20"/>
            <w:lang w:val="en-GB"/>
          </w:rPr>
          <m:t>RR=</m:t>
        </m:r>
        <m:sSup>
          <m:sSupPr>
            <m:ctrlPr>
              <w:rPr>
                <w:rFonts w:ascii="Cambria Math" w:hAnsi="Cambria Math"/>
                <w:sz w:val="20"/>
                <w:szCs w:val="20"/>
                <w:lang w:val="en-GB"/>
              </w:rPr>
            </m:ctrlPr>
          </m:sSupPr>
          <m:e>
            <m:r>
              <w:rPr>
                <w:rFonts w:ascii="Cambria Math" w:hAnsi="Cambria Math"/>
                <w:sz w:val="20"/>
                <w:szCs w:val="20"/>
                <w:lang w:val="en-GB"/>
              </w:rPr>
              <m:t>e</m:t>
            </m:r>
          </m:e>
          <m:sup>
            <m:r>
              <w:rPr>
                <w:rFonts w:ascii="Cambria Math" w:hAnsi="Cambria Math"/>
                <w:sz w:val="20"/>
                <w:szCs w:val="20"/>
                <w:lang w:val="en-GB"/>
              </w:rPr>
              <m:t>β1</m:t>
            </m:r>
          </m:sup>
        </m:sSup>
      </m:oMath>
      <w:r w:rsidRPr="00193D4B">
        <w:rPr>
          <w:sz w:val="20"/>
          <w:szCs w:val="20"/>
          <w:lang w:val="en-GB"/>
        </w:rPr>
        <w:t xml:space="preserve">     (Equation </w:t>
      </w:r>
      <w:r w:rsidR="00E87D06" w:rsidRPr="00193D4B">
        <w:rPr>
          <w:sz w:val="20"/>
          <w:szCs w:val="20"/>
          <w:lang w:val="en-GB"/>
        </w:rPr>
        <w:t>8</w:t>
      </w:r>
      <w:r w:rsidRPr="00193D4B">
        <w:rPr>
          <w:sz w:val="20"/>
          <w:szCs w:val="20"/>
          <w:lang w:val="en-GB"/>
        </w:rPr>
        <w:t>)</w:t>
      </w:r>
    </w:p>
    <w:p w14:paraId="53988CB8" w14:textId="773608BA" w:rsidR="002C4C2F" w:rsidRPr="00193D4B" w:rsidRDefault="002C4C2F" w:rsidP="00193D4B">
      <w:pPr>
        <w:ind w:right="-169"/>
        <w:rPr>
          <w:sz w:val="20"/>
          <w:szCs w:val="20"/>
          <w:lang w:val="en-GB"/>
        </w:rPr>
      </w:pPr>
      <w:r w:rsidRPr="00193D4B">
        <w:rPr>
          <w:sz w:val="20"/>
          <w:szCs w:val="20"/>
          <w:lang w:val="en-GB"/>
        </w:rPr>
        <w:t>As before, an RR &lt; 1 implies a protective effect of vaccination, whereas an RR &gt; 1 would indicate higher mortality among the vaccinated group.</w:t>
      </w:r>
    </w:p>
    <w:p w14:paraId="1FEA93CD" w14:textId="77777777" w:rsidR="00740841" w:rsidRDefault="00740841" w:rsidP="00193D4B">
      <w:pPr>
        <w:ind w:right="-169"/>
        <w:rPr>
          <w:b/>
          <w:bCs/>
          <w:sz w:val="20"/>
          <w:szCs w:val="20"/>
          <w:lang w:val="en-GB"/>
        </w:rPr>
      </w:pPr>
    </w:p>
    <w:p w14:paraId="1E5B5D84" w14:textId="4AD31C1E" w:rsidR="002C4C2F" w:rsidRPr="00193D4B" w:rsidRDefault="002C4C2F" w:rsidP="00193D4B">
      <w:pPr>
        <w:ind w:right="-169"/>
        <w:rPr>
          <w:b/>
          <w:bCs/>
          <w:sz w:val="20"/>
          <w:szCs w:val="20"/>
          <w:lang w:val="en-GB"/>
        </w:rPr>
      </w:pPr>
      <w:r w:rsidRPr="00193D4B">
        <w:rPr>
          <w:b/>
          <w:bCs/>
          <w:sz w:val="20"/>
          <w:szCs w:val="20"/>
          <w:lang w:val="en-GB"/>
        </w:rPr>
        <w:t>2.3 Data Visualization</w:t>
      </w:r>
    </w:p>
    <w:p w14:paraId="371E3A0E" w14:textId="158FA9B1" w:rsidR="00E9129B" w:rsidRPr="00193D4B" w:rsidRDefault="002C4C2F" w:rsidP="00193D4B">
      <w:pPr>
        <w:ind w:right="-169"/>
        <w:rPr>
          <w:sz w:val="20"/>
          <w:szCs w:val="20"/>
          <w:lang w:val="en-GB"/>
        </w:rPr>
      </w:pPr>
      <w:r w:rsidRPr="00193D4B">
        <w:rPr>
          <w:sz w:val="20"/>
          <w:szCs w:val="20"/>
          <w:lang w:val="en-GB"/>
        </w:rPr>
        <w:t xml:space="preserve">To illustrate the findings, we utilized several visualization techniques. First, </w:t>
      </w:r>
      <w:r w:rsidR="009C18B8" w:rsidRPr="00193D4B">
        <w:rPr>
          <w:sz w:val="20"/>
          <w:szCs w:val="20"/>
          <w:lang w:val="en-GB"/>
        </w:rPr>
        <w:t>whisker and box</w:t>
      </w:r>
      <w:r w:rsidRPr="00193D4B">
        <w:rPr>
          <w:sz w:val="20"/>
          <w:szCs w:val="20"/>
          <w:lang w:val="en-GB"/>
        </w:rPr>
        <w:t xml:space="preserve"> plots presented the relative risk (RR) of all-cause mortality in vaccinated individuals compared to varied vaccination statuses. A vertical reference line at RR = 1 indicated no difference in risk. In addition, we plotted logarithmic mortality rates by vaccination status to illustrate the log-linear assumptions underlying the Negative Binomial model and to show how these assumptions manifest across different age groups.</w:t>
      </w:r>
      <w:r w:rsidR="00BA3752">
        <w:rPr>
          <w:sz w:val="20"/>
          <w:szCs w:val="20"/>
          <w:lang w:val="en-GB"/>
        </w:rPr>
        <w:t xml:space="preserve"> </w:t>
      </w:r>
      <w:r w:rsidRPr="00193D4B">
        <w:rPr>
          <w:sz w:val="20"/>
          <w:szCs w:val="20"/>
          <w:lang w:val="en-GB"/>
        </w:rPr>
        <w:t xml:space="preserve">Collectively, these visual tools revealed a consistent pattern of reduced mortality risk </w:t>
      </w:r>
    </w:p>
    <w:p w14:paraId="12BBF5DE" w14:textId="77777777" w:rsidR="00BA3752" w:rsidRDefault="002C4C2F" w:rsidP="00193D4B">
      <w:pPr>
        <w:ind w:right="-169"/>
        <w:rPr>
          <w:sz w:val="20"/>
          <w:szCs w:val="20"/>
          <w:lang w:val="en-GB"/>
        </w:rPr>
      </w:pPr>
      <w:r w:rsidRPr="00193D4B">
        <w:rPr>
          <w:sz w:val="20"/>
          <w:szCs w:val="20"/>
          <w:lang w:val="en-GB"/>
        </w:rPr>
        <w:t xml:space="preserve">(RR &lt; 1) associated with vaccination in most age groups, with RRs approaching zero indicating a stronger protective effect. </w:t>
      </w:r>
    </w:p>
    <w:p w14:paraId="7631CEE1" w14:textId="635A1A9D" w:rsidR="002C4C2F" w:rsidRPr="00193D4B" w:rsidRDefault="002C4C2F" w:rsidP="00193D4B">
      <w:pPr>
        <w:ind w:right="-169"/>
        <w:rPr>
          <w:sz w:val="20"/>
          <w:szCs w:val="20"/>
          <w:lang w:val="en-GB"/>
        </w:rPr>
      </w:pPr>
      <w:r w:rsidRPr="00193D4B">
        <w:rPr>
          <w:sz w:val="20"/>
          <w:szCs w:val="20"/>
          <w:lang w:val="en-GB"/>
        </w:rPr>
        <w:t>All data processing was performed in RStudio (version 2024.12.0).</w:t>
      </w:r>
    </w:p>
    <w:p w14:paraId="213E0532" w14:textId="77777777" w:rsidR="00BA3752" w:rsidRDefault="00BA3752" w:rsidP="00193D4B">
      <w:pPr>
        <w:ind w:right="-169"/>
        <w:rPr>
          <w:b/>
          <w:bCs/>
          <w:sz w:val="20"/>
          <w:szCs w:val="20"/>
          <w:lang w:val="en-GB"/>
        </w:rPr>
      </w:pPr>
    </w:p>
    <w:p w14:paraId="6FDA7762" w14:textId="1B6267EB" w:rsidR="002C4C2F" w:rsidRPr="00C862F8" w:rsidRDefault="00BA3752" w:rsidP="00193D4B">
      <w:pPr>
        <w:ind w:right="-169"/>
        <w:rPr>
          <w:b/>
          <w:bCs/>
          <w:sz w:val="24"/>
          <w:szCs w:val="24"/>
          <w:lang w:val="en-GB"/>
        </w:rPr>
      </w:pPr>
      <w:r>
        <w:rPr>
          <w:b/>
          <w:bCs/>
          <w:sz w:val="24"/>
          <w:szCs w:val="24"/>
          <w:lang w:val="en-GB"/>
        </w:rPr>
        <w:t xml:space="preserve">3. </w:t>
      </w:r>
      <w:r w:rsidR="002C4C2F" w:rsidRPr="00C862F8">
        <w:rPr>
          <w:b/>
          <w:bCs/>
          <w:sz w:val="24"/>
          <w:szCs w:val="24"/>
          <w:lang w:val="en-GB"/>
        </w:rPr>
        <w:t>Results:</w:t>
      </w:r>
    </w:p>
    <w:p w14:paraId="2B22EF27" w14:textId="77777777" w:rsidR="002C4C2F" w:rsidRPr="00193D4B" w:rsidRDefault="002C4C2F" w:rsidP="00193D4B">
      <w:pPr>
        <w:ind w:right="-169"/>
        <w:rPr>
          <w:b/>
          <w:bCs/>
          <w:sz w:val="20"/>
          <w:szCs w:val="20"/>
          <w:lang w:val="en-GB"/>
        </w:rPr>
      </w:pPr>
      <w:r w:rsidRPr="00193D4B">
        <w:rPr>
          <w:b/>
          <w:bCs/>
          <w:sz w:val="20"/>
          <w:szCs w:val="20"/>
          <w:lang w:val="en-GB"/>
        </w:rPr>
        <w:t>3.1 About ONS dataset</w:t>
      </w:r>
    </w:p>
    <w:p w14:paraId="04E12C3B" w14:textId="77777777" w:rsidR="00E9129B" w:rsidRPr="00193D4B" w:rsidRDefault="002C4C2F" w:rsidP="00193D4B">
      <w:pPr>
        <w:ind w:right="-169"/>
        <w:rPr>
          <w:sz w:val="20"/>
          <w:szCs w:val="20"/>
          <w:lang w:val="en-GB"/>
        </w:rPr>
      </w:pPr>
      <w:r w:rsidRPr="00193D4B">
        <w:rPr>
          <w:sz w:val="20"/>
          <w:szCs w:val="20"/>
          <w:lang w:val="en-GB"/>
        </w:rPr>
        <w:t xml:space="preserve">We used the latest version of the UK Office </w:t>
      </w:r>
    </w:p>
    <w:p w14:paraId="0AF18861" w14:textId="77777777" w:rsidR="00E9129B" w:rsidRPr="00193D4B" w:rsidRDefault="002C4C2F" w:rsidP="00193D4B">
      <w:pPr>
        <w:ind w:right="-169"/>
        <w:rPr>
          <w:sz w:val="20"/>
          <w:szCs w:val="20"/>
          <w:lang w:val="en-GB"/>
        </w:rPr>
      </w:pPr>
      <w:r w:rsidRPr="00193D4B">
        <w:rPr>
          <w:sz w:val="20"/>
          <w:szCs w:val="20"/>
          <w:lang w:val="en-GB"/>
        </w:rPr>
        <w:t xml:space="preserve">for National Statistics (ONS) dataset, which draws on the 2021 Census and links deidentified census records to National Health Service (NHS) numbers. Individuals lacking </w:t>
      </w:r>
    </w:p>
    <w:p w14:paraId="622B9931" w14:textId="77777777" w:rsidR="00E9129B" w:rsidRPr="00193D4B" w:rsidRDefault="002C4C2F" w:rsidP="00193D4B">
      <w:pPr>
        <w:ind w:right="-169"/>
        <w:rPr>
          <w:sz w:val="20"/>
          <w:szCs w:val="20"/>
          <w:lang w:val="en-GB"/>
        </w:rPr>
      </w:pPr>
      <w:r w:rsidRPr="00193D4B">
        <w:rPr>
          <w:sz w:val="20"/>
          <w:szCs w:val="20"/>
          <w:lang w:val="en-GB"/>
        </w:rPr>
        <w:t xml:space="preserve">an NHS number or those with multiple entries are excluded. Consequently, the dataset </w:t>
      </w:r>
    </w:p>
    <w:p w14:paraId="763D6B14" w14:textId="6F09B32C" w:rsidR="002C4C2F" w:rsidRPr="00193D4B" w:rsidRDefault="002C4C2F" w:rsidP="00193D4B">
      <w:pPr>
        <w:ind w:right="-169"/>
        <w:rPr>
          <w:sz w:val="20"/>
          <w:szCs w:val="20"/>
          <w:lang w:val="en-GB"/>
        </w:rPr>
      </w:pPr>
      <w:r w:rsidRPr="00193D4B">
        <w:rPr>
          <w:sz w:val="20"/>
          <w:szCs w:val="20"/>
          <w:lang w:val="en-GB"/>
        </w:rPr>
        <w:t>covers 51,786,812 people—over 90% of England’s population on Census Day 2021 (Office for National Statistics, 2022). An additional 103,142 individuals were excluded due to erroneous or inconsistent vaccination data, bringing the total excluded population to approximately 4.7 million.</w:t>
      </w:r>
    </w:p>
    <w:p w14:paraId="3F2E0923" w14:textId="77777777" w:rsidR="00E00B8E" w:rsidRDefault="00E00B8E" w:rsidP="00193D4B">
      <w:pPr>
        <w:ind w:right="-169"/>
        <w:rPr>
          <w:b/>
          <w:bCs/>
          <w:sz w:val="20"/>
          <w:szCs w:val="20"/>
          <w:lang w:val="en-GB"/>
        </w:rPr>
      </w:pPr>
    </w:p>
    <w:p w14:paraId="1123224E" w14:textId="6FB2BAE2" w:rsidR="002C4C2F" w:rsidRPr="00193D4B" w:rsidRDefault="002C4C2F" w:rsidP="00193D4B">
      <w:pPr>
        <w:ind w:right="-169"/>
        <w:rPr>
          <w:b/>
          <w:bCs/>
          <w:sz w:val="20"/>
          <w:szCs w:val="20"/>
          <w:lang w:val="en-GB"/>
        </w:rPr>
      </w:pPr>
      <w:r w:rsidRPr="00193D4B">
        <w:rPr>
          <w:b/>
          <w:bCs/>
          <w:sz w:val="20"/>
          <w:szCs w:val="20"/>
          <w:lang w:val="en-GB"/>
        </w:rPr>
        <w:t>3.</w:t>
      </w:r>
      <w:r w:rsidR="00E00B8E">
        <w:rPr>
          <w:b/>
          <w:bCs/>
          <w:sz w:val="20"/>
          <w:szCs w:val="20"/>
          <w:lang w:val="en-GB"/>
        </w:rPr>
        <w:t>2</w:t>
      </w:r>
      <w:r w:rsidRPr="00193D4B">
        <w:rPr>
          <w:b/>
          <w:bCs/>
          <w:sz w:val="20"/>
          <w:szCs w:val="20"/>
          <w:lang w:val="en-GB"/>
        </w:rPr>
        <w:t xml:space="preserve"> Rate Ratios (RR)</w:t>
      </w:r>
    </w:p>
    <w:p w14:paraId="571E6711" w14:textId="0BA2F8A9" w:rsidR="002C4C2F" w:rsidRPr="00193D4B" w:rsidRDefault="009C18B8" w:rsidP="00193D4B">
      <w:pPr>
        <w:spacing w:line="240" w:lineRule="auto"/>
        <w:ind w:right="-169"/>
        <w:rPr>
          <w:rFonts w:eastAsia="Arial Unicode MS"/>
          <w:sz w:val="20"/>
          <w:szCs w:val="20"/>
          <w:lang w:val="en-GB"/>
        </w:rPr>
      </w:pPr>
      <w:r w:rsidRPr="00193D4B">
        <w:rPr>
          <w:rFonts w:eastAsia="Arial Unicode MS"/>
          <w:sz w:val="20"/>
          <w:szCs w:val="20"/>
          <w:lang w:val="en-GB"/>
        </w:rPr>
        <w:t xml:space="preserve">Whisker and box </w:t>
      </w:r>
      <w:r w:rsidR="002C4C2F" w:rsidRPr="00193D4B">
        <w:rPr>
          <w:rFonts w:eastAsia="Arial Unicode MS"/>
          <w:sz w:val="20"/>
          <w:szCs w:val="20"/>
          <w:lang w:val="en-GB"/>
        </w:rPr>
        <w:t>plots of all</w:t>
      </w:r>
      <w:r w:rsidR="002C4C2F" w:rsidRPr="00193D4B">
        <w:rPr>
          <w:rFonts w:ascii="Cambria Math" w:eastAsia="Arial Unicode MS" w:hAnsi="Cambria Math" w:cs="Cambria Math"/>
          <w:sz w:val="20"/>
          <w:szCs w:val="20"/>
          <w:lang w:val="en-GB"/>
        </w:rPr>
        <w:t>‐</w:t>
      </w:r>
      <w:r w:rsidR="002C4C2F" w:rsidRPr="00193D4B">
        <w:rPr>
          <w:rFonts w:eastAsia="Arial Unicode MS"/>
          <w:sz w:val="20"/>
          <w:szCs w:val="20"/>
          <w:lang w:val="en-GB"/>
        </w:rPr>
        <w:t xml:space="preserve">cause mortality rate ratios (RR) by vaccination status are displayed in </w:t>
      </w:r>
      <w:r w:rsidR="00BA3752">
        <w:rPr>
          <w:rFonts w:eastAsia="Arial Unicode MS"/>
          <w:sz w:val="20"/>
          <w:szCs w:val="20"/>
          <w:lang w:val="en-GB"/>
        </w:rPr>
        <w:t xml:space="preserve">Supplementary Materials Section </w:t>
      </w:r>
      <w:r w:rsidR="002C4C2F" w:rsidRPr="00193D4B">
        <w:rPr>
          <w:rFonts w:eastAsia="Arial Unicode MS"/>
          <w:sz w:val="20"/>
          <w:szCs w:val="20"/>
          <w:lang w:val="en-GB"/>
        </w:rPr>
        <w:t>Figures </w:t>
      </w:r>
      <w:r w:rsidR="00BA3752">
        <w:rPr>
          <w:rFonts w:eastAsia="Arial Unicode MS"/>
          <w:sz w:val="20"/>
          <w:szCs w:val="20"/>
          <w:lang w:val="en-GB"/>
        </w:rPr>
        <w:t>S</w:t>
      </w:r>
      <w:r w:rsidR="002C4C2F" w:rsidRPr="00193D4B">
        <w:rPr>
          <w:rFonts w:eastAsia="Arial Unicode MS"/>
          <w:sz w:val="20"/>
          <w:szCs w:val="20"/>
          <w:lang w:val="en-GB"/>
        </w:rPr>
        <w:t>1-</w:t>
      </w:r>
      <w:r w:rsidR="00BA3752">
        <w:rPr>
          <w:rFonts w:eastAsia="Arial Unicode MS"/>
          <w:sz w:val="20"/>
          <w:szCs w:val="20"/>
          <w:lang w:val="en-GB"/>
        </w:rPr>
        <w:t>S</w:t>
      </w:r>
      <w:r w:rsidR="002C4C2F" w:rsidRPr="00193D4B">
        <w:rPr>
          <w:rFonts w:eastAsia="Arial Unicode MS"/>
          <w:sz w:val="20"/>
          <w:szCs w:val="20"/>
          <w:lang w:val="en-GB"/>
        </w:rPr>
        <w:t>7. These plots compare</w:t>
      </w:r>
      <w:r w:rsidR="002C4C2F" w:rsidRPr="00193D4B">
        <w:rPr>
          <w:rFonts w:ascii="Arial Unicode MS" w:eastAsia="Arial Unicode MS" w:hAnsi="Arial Unicode MS" w:cs="Arial Unicode MS"/>
          <w:sz w:val="20"/>
          <w:szCs w:val="20"/>
          <w:lang w:val="en-GB"/>
        </w:rPr>
        <w:t xml:space="preserve"> </w:t>
      </w:r>
      <w:r w:rsidR="002C4C2F" w:rsidRPr="00193D4B">
        <w:rPr>
          <w:rFonts w:eastAsia="Arial Unicode MS"/>
          <w:sz w:val="20"/>
          <w:szCs w:val="20"/>
          <w:lang w:val="en-GB"/>
        </w:rPr>
        <w:t>each vaccinated group (e.g., first dose</w:t>
      </w:r>
      <w:r w:rsidR="002C4C2F" w:rsidRPr="00193D4B">
        <w:rPr>
          <w:rFonts w:ascii="Arial Unicode MS" w:eastAsia="Arial Unicode MS" w:hAnsi="Arial Unicode MS" w:cs="Arial Unicode MS"/>
          <w:sz w:val="20"/>
          <w:szCs w:val="20"/>
          <w:lang w:val="en-GB"/>
        </w:rPr>
        <w:t xml:space="preserve"> </w:t>
      </w:r>
      <w:r w:rsidR="002C4C2F" w:rsidRPr="00193D4B">
        <w:rPr>
          <w:rFonts w:eastAsia="Arial Unicode MS"/>
          <w:sz w:val="20"/>
          <w:szCs w:val="20"/>
          <w:lang w:val="en-GB"/>
        </w:rPr>
        <w:t>≥21 days, second dose ≥21 days, etc.) to the</w:t>
      </w:r>
      <w:r w:rsidR="002C4C2F" w:rsidRPr="00193D4B">
        <w:rPr>
          <w:rFonts w:ascii="Arial Unicode MS" w:eastAsia="Arial Unicode MS" w:hAnsi="Arial Unicode MS" w:cs="Arial Unicode MS"/>
          <w:sz w:val="20"/>
          <w:szCs w:val="20"/>
          <w:lang w:val="en-GB"/>
        </w:rPr>
        <w:t xml:space="preserve"> </w:t>
      </w:r>
      <w:r w:rsidR="002C4C2F" w:rsidRPr="00193D4B">
        <w:rPr>
          <w:rFonts w:eastAsia="Arial Unicode MS"/>
          <w:sz w:val="20"/>
          <w:szCs w:val="20"/>
          <w:lang w:val="en-GB"/>
        </w:rPr>
        <w:t>unvaccinated population across different age brackets. The main findings are:</w:t>
      </w:r>
    </w:p>
    <w:p w14:paraId="65FC9C40" w14:textId="77777777" w:rsidR="00E00B8E" w:rsidRDefault="00E00B8E" w:rsidP="00193D4B">
      <w:pPr>
        <w:ind w:right="-169"/>
        <w:rPr>
          <w:b/>
          <w:bCs/>
          <w:sz w:val="20"/>
          <w:szCs w:val="20"/>
          <w:lang w:val="en-GB"/>
        </w:rPr>
      </w:pPr>
    </w:p>
    <w:p w14:paraId="38B21F5B" w14:textId="3A08283E" w:rsidR="00B93C64" w:rsidRPr="00193D4B" w:rsidRDefault="002C4C2F" w:rsidP="00193D4B">
      <w:pPr>
        <w:ind w:right="-169"/>
        <w:rPr>
          <w:b/>
          <w:bCs/>
          <w:sz w:val="20"/>
          <w:szCs w:val="20"/>
          <w:lang w:val="en-GB"/>
        </w:rPr>
      </w:pPr>
      <w:r w:rsidRPr="00193D4B">
        <w:rPr>
          <w:b/>
          <w:bCs/>
          <w:sz w:val="20"/>
          <w:szCs w:val="20"/>
          <w:lang w:val="en-GB"/>
        </w:rPr>
        <w:t>First dose (</w:t>
      </w:r>
      <m:oMath>
        <m:r>
          <m:rPr>
            <m:sty m:val="bi"/>
          </m:rPr>
          <w:rPr>
            <w:rFonts w:ascii="Cambria Math" w:hAnsi="Cambria Math"/>
            <w:sz w:val="20"/>
            <w:szCs w:val="20"/>
            <w:lang w:val="en-GB"/>
          </w:rPr>
          <m:t>≥</m:t>
        </m:r>
      </m:oMath>
      <w:r w:rsidRPr="00193D4B">
        <w:rPr>
          <w:b/>
          <w:bCs/>
          <w:sz w:val="20"/>
          <w:szCs w:val="20"/>
          <w:lang w:val="en-GB"/>
        </w:rPr>
        <w:t>21days)</w:t>
      </w:r>
    </w:p>
    <w:p w14:paraId="6F5B26FD" w14:textId="11605BE5" w:rsidR="00B93C64" w:rsidRPr="00193D4B" w:rsidRDefault="00B93C64" w:rsidP="00193D4B">
      <w:pPr>
        <w:ind w:right="-169"/>
        <w:rPr>
          <w:sz w:val="20"/>
          <w:szCs w:val="20"/>
          <w:lang w:val="en-GB"/>
        </w:rPr>
      </w:pPr>
      <w:r w:rsidRPr="00193D4B">
        <w:rPr>
          <w:rFonts w:eastAsia="Times New Roman"/>
          <w:color w:val="000000"/>
          <w:sz w:val="20"/>
          <w:szCs w:val="20"/>
          <w:lang w:val="en-GB"/>
        </w:rPr>
        <w:t>For individuals who received their first dose at least 21 days prior, the boxplots indicate elevated rate ratios (RRs) compared to unvaccinated individuals in most age groups. In the 18–39 group, the RR shows significant variation, with a median value slightly above 1.0 but with a range extending up to 4–5, suggesting elevated mortality risk during certain periods. For older age groups (e.g., 60–69 and 70–79), the median RR increases, with upper whiskers and outliers indicating occasional periods of very high relative risk (e.g., &gt;4). These findings suggest that early post-vaccination periods might include elevated risks, likely driven by specific underlying factors.</w:t>
      </w:r>
    </w:p>
    <w:p w14:paraId="78738E8A" w14:textId="77777777" w:rsidR="00740841" w:rsidRDefault="00740841" w:rsidP="00193D4B">
      <w:pPr>
        <w:ind w:right="-169"/>
        <w:rPr>
          <w:b/>
          <w:bCs/>
          <w:sz w:val="20"/>
          <w:szCs w:val="20"/>
          <w:lang w:val="en-GB"/>
        </w:rPr>
      </w:pPr>
    </w:p>
    <w:p w14:paraId="3F22AE0A" w14:textId="69F50952" w:rsidR="00B93C64" w:rsidRPr="00193D4B" w:rsidRDefault="002C4C2F" w:rsidP="00193D4B">
      <w:pPr>
        <w:ind w:right="-169"/>
        <w:rPr>
          <w:b/>
          <w:bCs/>
          <w:sz w:val="20"/>
          <w:szCs w:val="20"/>
          <w:lang w:val="en-GB"/>
        </w:rPr>
      </w:pPr>
      <w:r w:rsidRPr="00193D4B">
        <w:rPr>
          <w:b/>
          <w:bCs/>
          <w:sz w:val="20"/>
          <w:szCs w:val="20"/>
          <w:lang w:val="en-GB"/>
        </w:rPr>
        <w:t>Second Dose (</w:t>
      </w:r>
      <m:oMath>
        <m:r>
          <m:rPr>
            <m:sty m:val="bi"/>
          </m:rPr>
          <w:rPr>
            <w:rFonts w:ascii="Cambria Math" w:hAnsi="Cambria Math"/>
            <w:sz w:val="20"/>
            <w:szCs w:val="20"/>
            <w:lang w:val="en-GB"/>
          </w:rPr>
          <m:t>≥</m:t>
        </m:r>
      </m:oMath>
      <w:r w:rsidRPr="00193D4B">
        <w:rPr>
          <w:b/>
          <w:bCs/>
          <w:sz w:val="20"/>
          <w:szCs w:val="20"/>
          <w:lang w:val="en-GB"/>
        </w:rPr>
        <w:t>21days)</w:t>
      </w:r>
    </w:p>
    <w:p w14:paraId="6C760494" w14:textId="11D8463B" w:rsidR="00B93C64" w:rsidRPr="00193D4B" w:rsidRDefault="00B93C64" w:rsidP="00193D4B">
      <w:pPr>
        <w:ind w:right="-169"/>
        <w:rPr>
          <w:sz w:val="20"/>
          <w:szCs w:val="20"/>
          <w:lang w:val="en-GB"/>
        </w:rPr>
      </w:pPr>
      <w:r w:rsidRPr="00193D4B">
        <w:rPr>
          <w:rFonts w:eastAsia="Times New Roman"/>
          <w:color w:val="000000"/>
          <w:sz w:val="20"/>
          <w:szCs w:val="20"/>
          <w:lang w:val="en-GB"/>
        </w:rPr>
        <w:t>The RR values for the second dose (≥21 days) show a more balanced trend compared to the first dose. In the 40–49 and 50–59 groups, the boxplots demonstrate that the median RR is closer to 1.0, indicating a reduction in relative risk compared to the first dose. However, for older groups, such as 70–79 and 80–89, the RRs still exhibit variability, with the median slightly exceeding 1.0 in some cases. The overall trend suggests a decline in risk over time, although certain periods exhibit elevated risks.</w:t>
      </w:r>
    </w:p>
    <w:p w14:paraId="48FCDCF6" w14:textId="77777777" w:rsidR="00740841" w:rsidRDefault="00740841" w:rsidP="00193D4B">
      <w:pPr>
        <w:ind w:right="-169"/>
        <w:rPr>
          <w:b/>
          <w:bCs/>
          <w:sz w:val="20"/>
          <w:szCs w:val="20"/>
          <w:lang w:val="en-GB"/>
        </w:rPr>
      </w:pPr>
    </w:p>
    <w:p w14:paraId="32FA1E20" w14:textId="043038BA" w:rsidR="006849CB" w:rsidRPr="00193D4B" w:rsidRDefault="002C4C2F" w:rsidP="00193D4B">
      <w:pPr>
        <w:ind w:right="-169"/>
        <w:rPr>
          <w:b/>
          <w:bCs/>
          <w:sz w:val="20"/>
          <w:szCs w:val="20"/>
          <w:lang w:val="en-GB"/>
        </w:rPr>
      </w:pPr>
      <w:r w:rsidRPr="00193D4B">
        <w:rPr>
          <w:b/>
          <w:bCs/>
          <w:sz w:val="20"/>
          <w:szCs w:val="20"/>
          <w:lang w:val="en-GB"/>
        </w:rPr>
        <w:t>Third Dose (</w:t>
      </w:r>
      <m:oMath>
        <m:r>
          <m:rPr>
            <m:sty m:val="bi"/>
          </m:rPr>
          <w:rPr>
            <w:rFonts w:ascii="Cambria Math" w:hAnsi="Cambria Math"/>
            <w:sz w:val="20"/>
            <w:szCs w:val="20"/>
            <w:lang w:val="en-GB"/>
          </w:rPr>
          <m:t>≥</m:t>
        </m:r>
      </m:oMath>
      <w:r w:rsidRPr="00193D4B">
        <w:rPr>
          <w:b/>
          <w:bCs/>
          <w:sz w:val="20"/>
          <w:szCs w:val="20"/>
          <w:lang w:val="en-GB"/>
        </w:rPr>
        <w:t>21days)</w:t>
      </w:r>
    </w:p>
    <w:p w14:paraId="0E909F28" w14:textId="7F28BBE1" w:rsidR="006849CB" w:rsidRPr="00193D4B" w:rsidRDefault="006849CB" w:rsidP="00193D4B">
      <w:pPr>
        <w:ind w:right="-169"/>
        <w:rPr>
          <w:rFonts w:eastAsia="Times New Roman"/>
          <w:color w:val="000000"/>
          <w:sz w:val="20"/>
          <w:szCs w:val="20"/>
          <w:lang w:val="en-GB"/>
        </w:rPr>
      </w:pPr>
      <w:r w:rsidRPr="00193D4B">
        <w:rPr>
          <w:rFonts w:eastAsia="Times New Roman"/>
          <w:color w:val="000000"/>
          <w:sz w:val="20"/>
          <w:szCs w:val="20"/>
          <w:lang w:val="en-GB"/>
        </w:rPr>
        <w:t>For the third dose (≥21 days), the RRs generally display a protective effect in most age groups. The median RRs often fall below 1.0, particularly in younger groups such as 40–49 and 50–59. In older groups (e.g., 70–79 and 80–89), the median values hover around 1.0, with a few outliers exceeding 2.0, reflecting variability. The range of RRs narrows for most age groups compared to earlier doses, indicating more consistent trends.</w:t>
      </w:r>
    </w:p>
    <w:p w14:paraId="7C2F31D9" w14:textId="77777777" w:rsidR="00740841" w:rsidRDefault="00740841" w:rsidP="00193D4B">
      <w:pPr>
        <w:ind w:right="-169"/>
        <w:rPr>
          <w:b/>
          <w:bCs/>
          <w:sz w:val="20"/>
          <w:szCs w:val="20"/>
          <w:lang w:val="en-GB"/>
        </w:rPr>
      </w:pPr>
    </w:p>
    <w:p w14:paraId="21427B4E" w14:textId="27B59559" w:rsidR="006849CB" w:rsidRPr="00193D4B" w:rsidRDefault="002C4C2F" w:rsidP="00193D4B">
      <w:pPr>
        <w:ind w:right="-169"/>
        <w:rPr>
          <w:b/>
          <w:bCs/>
          <w:sz w:val="20"/>
          <w:szCs w:val="20"/>
          <w:lang w:val="en-GB"/>
        </w:rPr>
      </w:pPr>
      <w:r w:rsidRPr="00193D4B">
        <w:rPr>
          <w:b/>
          <w:bCs/>
          <w:sz w:val="20"/>
          <w:szCs w:val="20"/>
          <w:lang w:val="en-GB"/>
        </w:rPr>
        <w:lastRenderedPageBreak/>
        <w:t>Fourth Dose (</w:t>
      </w:r>
      <m:oMath>
        <m:r>
          <m:rPr>
            <m:sty m:val="bi"/>
          </m:rPr>
          <w:rPr>
            <w:rFonts w:ascii="Cambria Math" w:hAnsi="Cambria Math"/>
            <w:sz w:val="20"/>
            <w:szCs w:val="20"/>
            <w:lang w:val="en-GB"/>
          </w:rPr>
          <m:t>≥</m:t>
        </m:r>
      </m:oMath>
      <w:r w:rsidRPr="00193D4B">
        <w:rPr>
          <w:b/>
          <w:bCs/>
          <w:sz w:val="20"/>
          <w:szCs w:val="20"/>
          <w:lang w:val="en-GB"/>
        </w:rPr>
        <w:t>21days)</w:t>
      </w:r>
    </w:p>
    <w:p w14:paraId="6352A44A" w14:textId="4BF215FD" w:rsidR="006849CB" w:rsidRPr="00193D4B" w:rsidRDefault="006849CB" w:rsidP="00193D4B">
      <w:pPr>
        <w:ind w:right="-169"/>
        <w:rPr>
          <w:sz w:val="20"/>
          <w:szCs w:val="20"/>
          <w:lang w:val="en-GB"/>
        </w:rPr>
      </w:pPr>
      <w:r w:rsidRPr="00193D4B">
        <w:rPr>
          <w:rFonts w:eastAsia="Times New Roman"/>
          <w:color w:val="000000"/>
          <w:sz w:val="20"/>
          <w:szCs w:val="20"/>
          <w:lang w:val="en-GB"/>
        </w:rPr>
        <w:t>The fourth dose (≥21 days) demonstrates a strong protective effect in nearly all age groups. The median RR values are below 1.0 across the board, with tight interquartile ranges and minimal outliers. Notably, in the 70–79 and 80–89 age groups, the fourth dose shows the most consistent protective trend, with RRs concentrated well below 1.0. The younger groups, such as 40–49, also exhibit a similar protective trend, with no significant spikes or outliers.</w:t>
      </w:r>
    </w:p>
    <w:p w14:paraId="22C3DE20" w14:textId="77777777" w:rsidR="00740841" w:rsidRDefault="00740841" w:rsidP="00193D4B">
      <w:pPr>
        <w:ind w:right="-169"/>
        <w:rPr>
          <w:b/>
          <w:bCs/>
          <w:sz w:val="20"/>
          <w:szCs w:val="20"/>
          <w:lang w:val="en-GB"/>
        </w:rPr>
      </w:pPr>
    </w:p>
    <w:p w14:paraId="5F6E12F1" w14:textId="39984CB7" w:rsidR="006849CB" w:rsidRPr="00193D4B" w:rsidRDefault="002C4C2F" w:rsidP="00193D4B">
      <w:pPr>
        <w:ind w:right="-169"/>
        <w:rPr>
          <w:b/>
          <w:bCs/>
          <w:sz w:val="20"/>
          <w:szCs w:val="20"/>
          <w:lang w:val="en-GB"/>
        </w:rPr>
      </w:pPr>
      <w:r w:rsidRPr="00193D4B">
        <w:rPr>
          <w:b/>
          <w:bCs/>
          <w:sz w:val="20"/>
          <w:szCs w:val="20"/>
          <w:lang w:val="en-GB"/>
        </w:rPr>
        <w:t xml:space="preserve">Other Vaccination Categories (&lt;21 days </w:t>
      </w:r>
      <w:r w:rsidR="006849CB" w:rsidRPr="00193D4B">
        <w:rPr>
          <w:b/>
          <w:bCs/>
          <w:sz w:val="20"/>
          <w:szCs w:val="20"/>
          <w:lang w:val="en-GB"/>
        </w:rPr>
        <w:t xml:space="preserve">across </w:t>
      </w:r>
      <w:r w:rsidRPr="00193D4B">
        <w:rPr>
          <w:b/>
          <w:bCs/>
          <w:sz w:val="20"/>
          <w:szCs w:val="20"/>
          <w:lang w:val="en-GB"/>
        </w:rPr>
        <w:t>doses)</w:t>
      </w:r>
    </w:p>
    <w:p w14:paraId="51104A46" w14:textId="77777777" w:rsidR="000F04F5" w:rsidRPr="00193D4B" w:rsidRDefault="006849CB" w:rsidP="00193D4B">
      <w:pPr>
        <w:ind w:right="-169"/>
        <w:rPr>
          <w:rFonts w:eastAsia="Times New Roman"/>
          <w:color w:val="000000"/>
          <w:sz w:val="20"/>
          <w:szCs w:val="20"/>
          <w:lang w:val="en-GB"/>
        </w:rPr>
      </w:pPr>
      <w:r w:rsidRPr="00193D4B">
        <w:rPr>
          <w:rFonts w:eastAsia="Times New Roman"/>
          <w:color w:val="000000"/>
          <w:sz w:val="20"/>
          <w:szCs w:val="20"/>
          <w:lang w:val="en-GB"/>
        </w:rPr>
        <w:t xml:space="preserve">For individuals in the "less than 21 days" category across doses, the boxplots show significant variability in RRs, often exceeding 1.0. This trend is most pronounced in the first and second doses, where the upper whiskers extend beyond 2.0 or </w:t>
      </w:r>
    </w:p>
    <w:p w14:paraId="3D7A6E70" w14:textId="24BF1188" w:rsidR="006849CB" w:rsidRPr="00193D4B" w:rsidRDefault="006849CB" w:rsidP="00193D4B">
      <w:pPr>
        <w:ind w:right="-169"/>
        <w:rPr>
          <w:sz w:val="20"/>
          <w:szCs w:val="20"/>
          <w:lang w:val="en-GB"/>
        </w:rPr>
      </w:pPr>
      <w:r w:rsidRPr="00193D4B">
        <w:rPr>
          <w:rFonts w:eastAsia="Times New Roman"/>
          <w:color w:val="000000"/>
          <w:sz w:val="20"/>
          <w:szCs w:val="20"/>
          <w:lang w:val="en-GB"/>
        </w:rPr>
        <w:t>3.0 in some age groups. For subsequent doses, such as the third and fourth, the RRs stabilize and tend to cluster closer to or below 1.0.</w:t>
      </w:r>
    </w:p>
    <w:p w14:paraId="157E9F62" w14:textId="77777777" w:rsidR="00740841" w:rsidRDefault="00740841" w:rsidP="00193D4B">
      <w:pPr>
        <w:ind w:right="-169"/>
        <w:rPr>
          <w:b/>
          <w:bCs/>
          <w:sz w:val="20"/>
          <w:szCs w:val="20"/>
          <w:lang w:val="en-GB"/>
        </w:rPr>
      </w:pPr>
    </w:p>
    <w:p w14:paraId="52FF8DB0" w14:textId="5BF2DAEE" w:rsidR="002C4C2F" w:rsidRPr="00193D4B" w:rsidRDefault="002C4C2F" w:rsidP="00193D4B">
      <w:pPr>
        <w:ind w:right="-169"/>
        <w:rPr>
          <w:b/>
          <w:bCs/>
          <w:sz w:val="20"/>
          <w:szCs w:val="20"/>
          <w:lang w:val="en-GB"/>
        </w:rPr>
      </w:pPr>
      <w:r w:rsidRPr="00193D4B">
        <w:rPr>
          <w:b/>
          <w:bCs/>
          <w:sz w:val="20"/>
          <w:szCs w:val="20"/>
          <w:lang w:val="en-GB"/>
        </w:rPr>
        <w:t>3.</w:t>
      </w:r>
      <w:r w:rsidR="00E00B8E">
        <w:rPr>
          <w:b/>
          <w:bCs/>
          <w:sz w:val="20"/>
          <w:szCs w:val="20"/>
          <w:lang w:val="en-GB"/>
        </w:rPr>
        <w:t>3</w:t>
      </w:r>
      <w:r w:rsidRPr="00193D4B">
        <w:rPr>
          <w:b/>
          <w:bCs/>
          <w:sz w:val="20"/>
          <w:szCs w:val="20"/>
          <w:lang w:val="en-GB"/>
        </w:rPr>
        <w:t xml:space="preserve">: Negative Binomial Regression </w:t>
      </w:r>
    </w:p>
    <w:p w14:paraId="30EB7853" w14:textId="77777777" w:rsidR="002C4C2F" w:rsidRPr="00193D4B" w:rsidRDefault="002C4C2F" w:rsidP="00193D4B">
      <w:pPr>
        <w:ind w:right="-169"/>
        <w:rPr>
          <w:sz w:val="20"/>
          <w:szCs w:val="20"/>
          <w:lang w:val="en-GB"/>
        </w:rPr>
      </w:pPr>
      <w:r w:rsidRPr="00193D4B">
        <w:rPr>
          <w:noProof/>
          <w:sz w:val="20"/>
          <w:szCs w:val="20"/>
          <w:lang w:val="en-GB"/>
        </w:rPr>
        <w:drawing>
          <wp:inline distT="114300" distB="114300" distL="114300" distR="114300" wp14:anchorId="52B1D03B" wp14:editId="76A4A3D2">
            <wp:extent cx="2822028" cy="793689"/>
            <wp:effectExtent l="0" t="0" r="0" b="0"/>
            <wp:docPr id="4" name="image9.png" descr="A table of numbers and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9.png" descr="A table of numbers and a number of numbers&#10;&#10;Description automatically generated with medium confidence"/>
                    <pic:cNvPicPr preferRelativeResize="0"/>
                  </pic:nvPicPr>
                  <pic:blipFill rotWithShape="1">
                    <a:blip r:embed="rId10"/>
                    <a:srcRect r="10986"/>
                    <a:stretch/>
                  </pic:blipFill>
                  <pic:spPr bwMode="auto">
                    <a:xfrm>
                      <a:off x="0" y="0"/>
                      <a:ext cx="2999288" cy="843543"/>
                    </a:xfrm>
                    <a:prstGeom prst="rect">
                      <a:avLst/>
                    </a:prstGeom>
                    <a:ln>
                      <a:noFill/>
                    </a:ln>
                    <a:extLst>
                      <a:ext uri="{53640926-AAD7-44D8-BBD7-CCE9431645EC}">
                        <a14:shadowObscured xmlns:a14="http://schemas.microsoft.com/office/drawing/2010/main"/>
                      </a:ext>
                    </a:extLst>
                  </pic:spPr>
                </pic:pic>
              </a:graphicData>
            </a:graphic>
          </wp:inline>
        </w:drawing>
      </w:r>
    </w:p>
    <w:p w14:paraId="5473C465" w14:textId="11B184AE" w:rsidR="002C4C2F" w:rsidRPr="00193D4B" w:rsidRDefault="002C4C2F" w:rsidP="00193D4B">
      <w:pPr>
        <w:ind w:right="-169"/>
        <w:rPr>
          <w:sz w:val="20"/>
          <w:szCs w:val="20"/>
          <w:lang w:val="en-GB"/>
        </w:rPr>
      </w:pPr>
      <w:r w:rsidRPr="00193D4B">
        <w:rPr>
          <w:sz w:val="20"/>
          <w:szCs w:val="20"/>
          <w:lang w:val="en-GB"/>
        </w:rPr>
        <w:t xml:space="preserve">Figure </w:t>
      </w:r>
      <w:r w:rsidR="00BA3752">
        <w:rPr>
          <w:sz w:val="20"/>
          <w:szCs w:val="20"/>
          <w:lang w:val="en-GB"/>
        </w:rPr>
        <w:t>8</w:t>
      </w:r>
      <w:r w:rsidRPr="00193D4B">
        <w:rPr>
          <w:sz w:val="20"/>
          <w:szCs w:val="20"/>
          <w:lang w:val="en-GB"/>
        </w:rPr>
        <w:t>: Negative Binomial Regression analysis by age groups</w:t>
      </w:r>
    </w:p>
    <w:p w14:paraId="69C561A8" w14:textId="1425789D" w:rsidR="000F04F5" w:rsidRPr="00193D4B" w:rsidRDefault="002C4C2F" w:rsidP="00193D4B">
      <w:pPr>
        <w:ind w:right="-169"/>
        <w:rPr>
          <w:sz w:val="20"/>
          <w:szCs w:val="20"/>
          <w:lang w:val="en-GB"/>
        </w:rPr>
      </w:pPr>
      <w:r w:rsidRPr="00193D4B">
        <w:rPr>
          <w:sz w:val="20"/>
          <w:szCs w:val="20"/>
          <w:lang w:val="en-GB"/>
        </w:rPr>
        <w:t xml:space="preserve">Figure 8 presents a Negative Binomial regression by age group, where the dependent variable is the count of death in </w:t>
      </w:r>
    </w:p>
    <w:p w14:paraId="78423207" w14:textId="4CA87513" w:rsidR="002C4C2F" w:rsidRPr="00193D4B" w:rsidRDefault="002C4C2F" w:rsidP="00193D4B">
      <w:pPr>
        <w:ind w:right="-169"/>
        <w:rPr>
          <w:sz w:val="20"/>
          <w:szCs w:val="20"/>
          <w:lang w:val="en-GB"/>
        </w:rPr>
      </w:pPr>
      <w:r w:rsidRPr="00193D4B">
        <w:rPr>
          <w:sz w:val="20"/>
          <w:szCs w:val="20"/>
          <w:lang w:val="en-GB"/>
        </w:rPr>
        <w:t xml:space="preserve">each group. In this model, the coefficients for the “Vaccinated (Vs. Unvaccinated)” variable reflects the log-count difference between vaccinated and unvaccinated individuals; hence, a negative coefficient indicates a protective effect of vaccination on all-cause mortality. Exponentiating each coefficient provides a rate ratio (RR), or the ratio of the estimated death rate for the vaccinated population compared to the unvaccinated population. A negative coefficient below 0 translates to an RR below 1, indicating lower mortality risk among those vaccinated. </w:t>
      </w:r>
    </w:p>
    <w:p w14:paraId="0770B251" w14:textId="1717747A" w:rsidR="002C4C2F" w:rsidRPr="00193D4B" w:rsidRDefault="002C4C2F" w:rsidP="00193D4B">
      <w:pPr>
        <w:ind w:right="-169"/>
        <w:rPr>
          <w:sz w:val="20"/>
          <w:szCs w:val="20"/>
          <w:lang w:val="en-GB"/>
        </w:rPr>
      </w:pPr>
      <w:r w:rsidRPr="00193D4B">
        <w:rPr>
          <w:sz w:val="20"/>
          <w:szCs w:val="20"/>
          <w:lang w:val="en-GB"/>
        </w:rPr>
        <w:t>In detail, all coefficients for “</w:t>
      </w:r>
      <w:r w:rsidR="00C862F8" w:rsidRPr="00193D4B">
        <w:rPr>
          <w:sz w:val="20"/>
          <w:szCs w:val="20"/>
          <w:lang w:val="en-GB"/>
        </w:rPr>
        <w:t>Vaccinated (</w:t>
      </w:r>
      <w:r w:rsidRPr="00193D4B">
        <w:rPr>
          <w:sz w:val="20"/>
          <w:szCs w:val="20"/>
          <w:lang w:val="en-GB"/>
        </w:rPr>
        <w:t xml:space="preserve">Vs. Unvaccinated)” are negative and statistically significant (p-value &lt;0.01). For instance, in the 18-39 age group, the coefficient is -0.157(p&lt;0.05), corresponding to rate ratio of approximately </w:t>
      </w:r>
      <m:oMath>
        <m:sSup>
          <m:sSupPr>
            <m:ctrlPr>
              <w:rPr>
                <w:rFonts w:ascii="Cambria Math" w:hAnsi="Cambria Math"/>
                <w:sz w:val="20"/>
                <w:szCs w:val="20"/>
                <w:lang w:val="en-GB"/>
              </w:rPr>
            </m:ctrlPr>
          </m:sSupPr>
          <m:e>
            <m:r>
              <w:rPr>
                <w:rFonts w:ascii="Cambria Math" w:hAnsi="Cambria Math"/>
                <w:sz w:val="20"/>
                <w:szCs w:val="20"/>
                <w:lang w:val="en-GB"/>
              </w:rPr>
              <m:t>e</m:t>
            </m:r>
          </m:e>
          <m:sup>
            <m:r>
              <w:rPr>
                <w:rFonts w:ascii="Cambria Math" w:hAnsi="Cambria Math"/>
                <w:sz w:val="20"/>
                <w:szCs w:val="20"/>
                <w:lang w:val="en-GB"/>
              </w:rPr>
              <m:t>-0.157</m:t>
            </m:r>
          </m:sup>
        </m:sSup>
        <m:r>
          <w:rPr>
            <w:rFonts w:ascii="Cambria Math" w:hAnsi="Cambria Math"/>
            <w:sz w:val="20"/>
            <w:szCs w:val="20"/>
            <w:lang w:val="en-GB"/>
          </w:rPr>
          <m:t>≈0.85</m:t>
        </m:r>
      </m:oMath>
      <w:r w:rsidRPr="00193D4B">
        <w:rPr>
          <w:sz w:val="20"/>
          <w:szCs w:val="20"/>
          <w:lang w:val="en-GB"/>
        </w:rPr>
        <w:t xml:space="preserve">. Interpreted substantively, this suggests that vaccinated individuals in this age group face about a 15% lower death rate compared to those who are unvaccinated. In the 40-49 group, the coefficient is -0.438 (p&lt;0.01), translating to a rate ratio of about </w:t>
      </w:r>
      <w:r w:rsidRPr="00193D4B">
        <w:rPr>
          <w:sz w:val="20"/>
          <w:szCs w:val="20"/>
          <w:lang w:val="en-GB"/>
        </w:rPr>
        <w:t xml:space="preserve">0.65, or a roughly 35% reduction in death rates among the vaccinated population. The 50-59 and 60-69 age groups both have coefficients around -0.612 ~-0.622 (p&lt;0.01), indicating an even stronger protective effect of vaccination, where mortality rates are lowered by approximately 46% compared to unvaccinated individuals. </w:t>
      </w:r>
    </w:p>
    <w:p w14:paraId="7AB3FD09" w14:textId="6CA54109" w:rsidR="002C4C2F" w:rsidRPr="00193D4B" w:rsidRDefault="002C4C2F" w:rsidP="00193D4B">
      <w:pPr>
        <w:ind w:right="-169"/>
        <w:rPr>
          <w:sz w:val="20"/>
          <w:szCs w:val="20"/>
          <w:lang w:val="en-GB"/>
        </w:rPr>
      </w:pPr>
      <w:r w:rsidRPr="00193D4B">
        <w:rPr>
          <w:sz w:val="20"/>
          <w:szCs w:val="20"/>
          <w:lang w:val="en-GB"/>
        </w:rPr>
        <w:t xml:space="preserve">Among the older groups, the coefficients remain negative and significant, but the magnitude is smaller. For 70-79-year-olds, the coefficient of -0.537 (p&lt;0.01) corresponds to a rate ratio near 0.58, implying that vaccination reduces death rates by around 42%. In the 80-89 bracket, the coefficient is -0.292 (p&lt;0.01), giving a rate ratio around 0.75, or a 25% reduction in mortality. Finally, even in the 90+ age group, the coefficient remains negative at -0.093, associated with an RR of about 0.91. While this indicates a comparatively smaller protective effect (around 9% lower mortality), it still shows that vaccination confers a statistically significant reduction in risk among the oldest individuals. </w:t>
      </w:r>
    </w:p>
    <w:p w14:paraId="65FF489D" w14:textId="27C99F73" w:rsidR="002C4C2F" w:rsidRPr="00193D4B" w:rsidRDefault="002C4C2F" w:rsidP="00193D4B">
      <w:pPr>
        <w:ind w:right="-169"/>
        <w:rPr>
          <w:sz w:val="20"/>
          <w:szCs w:val="20"/>
          <w:lang w:val="en-GB"/>
        </w:rPr>
      </w:pPr>
      <w:r w:rsidRPr="00193D4B">
        <w:rPr>
          <w:sz w:val="20"/>
          <w:szCs w:val="20"/>
          <w:lang w:val="en-GB"/>
        </w:rPr>
        <w:t>In summary, while the RRs (section 3.</w:t>
      </w:r>
      <w:r w:rsidR="00465481">
        <w:rPr>
          <w:sz w:val="20"/>
          <w:szCs w:val="20"/>
          <w:lang w:val="en-GB"/>
        </w:rPr>
        <w:t>2</w:t>
      </w:r>
      <w:r w:rsidRPr="00193D4B">
        <w:rPr>
          <w:sz w:val="20"/>
          <w:szCs w:val="20"/>
          <w:lang w:val="en-GB"/>
        </w:rPr>
        <w:t>) suggest that some dose-age combinations experience increased risks over specific intervals, the overall Negative Binomial regression (combining all vaccination statuses) indicates that, on balance, vaccinated individuals in every age group face a significantly lower rate of all-cause mortality than their unvaccinated counterparts.</w:t>
      </w:r>
    </w:p>
    <w:p w14:paraId="0D91A31A" w14:textId="77777777" w:rsidR="002C4C2F" w:rsidRPr="00193D4B" w:rsidRDefault="002C4C2F" w:rsidP="00193D4B">
      <w:pPr>
        <w:ind w:right="-169"/>
        <w:rPr>
          <w:sz w:val="20"/>
          <w:szCs w:val="20"/>
          <w:lang w:val="en-GB"/>
        </w:rPr>
      </w:pPr>
      <w:r w:rsidRPr="00193D4B">
        <w:rPr>
          <w:sz w:val="20"/>
          <w:szCs w:val="20"/>
          <w:lang w:val="en-GB"/>
        </w:rPr>
        <w:t xml:space="preserve"> </w:t>
      </w:r>
    </w:p>
    <w:p w14:paraId="272ADDC9" w14:textId="2048E612" w:rsidR="002C4C2F" w:rsidRPr="00C862F8" w:rsidRDefault="002C4C2F" w:rsidP="00193D4B">
      <w:pPr>
        <w:ind w:right="-169"/>
        <w:rPr>
          <w:b/>
          <w:bCs/>
          <w:sz w:val="24"/>
          <w:szCs w:val="24"/>
          <w:lang w:val="en-GB"/>
        </w:rPr>
      </w:pPr>
      <w:r w:rsidRPr="00C862F8">
        <w:rPr>
          <w:b/>
          <w:bCs/>
          <w:sz w:val="24"/>
          <w:szCs w:val="24"/>
          <w:lang w:val="en-GB"/>
        </w:rPr>
        <w:t>4. Discussion</w:t>
      </w:r>
    </w:p>
    <w:p w14:paraId="1C9AD1F3" w14:textId="2515B5AA" w:rsidR="00E738D7" w:rsidRPr="00193D4B" w:rsidRDefault="002C4C2F" w:rsidP="00193D4B">
      <w:pPr>
        <w:ind w:right="-169"/>
        <w:rPr>
          <w:sz w:val="20"/>
          <w:szCs w:val="20"/>
          <w:lang w:val="en-GB"/>
        </w:rPr>
      </w:pPr>
      <w:r w:rsidRPr="00193D4B">
        <w:rPr>
          <w:sz w:val="20"/>
          <w:szCs w:val="20"/>
          <w:lang w:val="en-GB"/>
        </w:rPr>
        <w:t>In this study, we investigated all</w:t>
      </w:r>
      <w:r w:rsidRPr="00193D4B">
        <w:rPr>
          <w:rFonts w:ascii="Cambria Math" w:hAnsi="Cambria Math" w:cs="Cambria Math"/>
          <w:sz w:val="20"/>
          <w:szCs w:val="20"/>
          <w:lang w:val="en-GB"/>
        </w:rPr>
        <w:t>‐</w:t>
      </w:r>
      <w:r w:rsidRPr="00193D4B">
        <w:rPr>
          <w:sz w:val="20"/>
          <w:szCs w:val="20"/>
          <w:lang w:val="en-GB"/>
        </w:rPr>
        <w:t xml:space="preserve">cause mortality trends in the UK ONS dataset, stratified by vaccination status. </w:t>
      </w:r>
      <w:r w:rsidR="00E738D7" w:rsidRPr="00193D4B">
        <w:rPr>
          <w:sz w:val="20"/>
          <w:szCs w:val="20"/>
          <w:lang w:val="en-GB"/>
        </w:rPr>
        <w:t xml:space="preserve">The boxplot and Negative Binomial regression analyses collectively reveal a nuanced relationship between vaccination status and all-cause mortality. The boxplots illustrate the variability in rate ratios (RRs) across vaccination statuses and age groups, showing elevated RRs for the first and second dose (≥21 days) and gradual stabilization with subsequent doses. Protective effects become more evident with the third and fourth doses, particularly in middle-aged and older groups. </w:t>
      </w:r>
    </w:p>
    <w:p w14:paraId="468B67CB" w14:textId="77777777" w:rsidR="000F04F5" w:rsidRPr="00193D4B" w:rsidRDefault="00E738D7" w:rsidP="00193D4B">
      <w:pPr>
        <w:ind w:right="-169"/>
        <w:rPr>
          <w:sz w:val="20"/>
          <w:szCs w:val="20"/>
          <w:lang w:val="en-GB"/>
        </w:rPr>
      </w:pPr>
      <w:r w:rsidRPr="00193D4B">
        <w:rPr>
          <w:sz w:val="20"/>
          <w:szCs w:val="20"/>
          <w:lang w:val="en-GB"/>
        </w:rPr>
        <w:t xml:space="preserve">Furthermore, </w:t>
      </w:r>
      <w:r w:rsidR="002C4C2F" w:rsidRPr="00193D4B">
        <w:rPr>
          <w:sz w:val="20"/>
          <w:szCs w:val="20"/>
          <w:lang w:val="en-GB"/>
        </w:rPr>
        <w:t>Figure 9 (Negative Binomial regression results) illustrates that when considering the vaccinated population in aggregate (i.e., combining all doses), all</w:t>
      </w:r>
      <w:r w:rsidR="002C4C2F" w:rsidRPr="00193D4B">
        <w:rPr>
          <w:rFonts w:ascii="Cambria Math" w:hAnsi="Cambria Math" w:cs="Cambria Math"/>
          <w:sz w:val="20"/>
          <w:szCs w:val="20"/>
          <w:lang w:val="en-GB"/>
        </w:rPr>
        <w:t>‐</w:t>
      </w:r>
      <w:r w:rsidR="002C4C2F" w:rsidRPr="00193D4B">
        <w:rPr>
          <w:sz w:val="20"/>
          <w:szCs w:val="20"/>
          <w:lang w:val="en-GB"/>
        </w:rPr>
        <w:t>cause mortality is consistently lower than in the unvaccinated group across every age bracket. This protective effect appears strongest among middle</w:t>
      </w:r>
      <w:r w:rsidR="002C4C2F" w:rsidRPr="00193D4B">
        <w:rPr>
          <w:rFonts w:ascii="Cambria Math" w:hAnsi="Cambria Math" w:cs="Cambria Math"/>
          <w:sz w:val="20"/>
          <w:szCs w:val="20"/>
          <w:lang w:val="en-GB"/>
        </w:rPr>
        <w:t>‐</w:t>
      </w:r>
      <w:r w:rsidR="002C4C2F" w:rsidRPr="00193D4B">
        <w:rPr>
          <w:sz w:val="20"/>
          <w:szCs w:val="20"/>
          <w:lang w:val="en-GB"/>
        </w:rPr>
        <w:t xml:space="preserve">aged adults (40–79 years), likely </w:t>
      </w:r>
    </w:p>
    <w:p w14:paraId="1FE98EF2" w14:textId="4F929C85" w:rsidR="002C4C2F" w:rsidRPr="00193D4B" w:rsidRDefault="002C4C2F" w:rsidP="00193D4B">
      <w:pPr>
        <w:ind w:right="-169"/>
        <w:rPr>
          <w:sz w:val="20"/>
          <w:szCs w:val="20"/>
          <w:lang w:val="en-GB"/>
        </w:rPr>
      </w:pPr>
      <w:r w:rsidRPr="00193D4B">
        <w:rPr>
          <w:sz w:val="20"/>
          <w:szCs w:val="20"/>
          <w:lang w:val="en-GB"/>
        </w:rPr>
        <w:t xml:space="preserve">due to moderate baseline mortality and fewer comorbidities than those in the 90+ years bracket. Although the effect size in the oldest age groups is smaller—often because of multiple chronic conditions </w:t>
      </w:r>
      <w:r w:rsidRPr="00193D4B">
        <w:rPr>
          <w:sz w:val="20"/>
          <w:szCs w:val="20"/>
          <w:lang w:val="en-GB"/>
        </w:rPr>
        <w:lastRenderedPageBreak/>
        <w:t>and frailty—the coefficients remain negative and statistically significant, indicating that vaccination status is firmly and consistently linked with reduced all</w:t>
      </w:r>
      <w:r w:rsidRPr="00193D4B">
        <w:rPr>
          <w:rFonts w:ascii="Cambria Math" w:hAnsi="Cambria Math" w:cs="Cambria Math"/>
          <w:sz w:val="20"/>
          <w:szCs w:val="20"/>
          <w:lang w:val="en-GB"/>
        </w:rPr>
        <w:t>‐</w:t>
      </w:r>
      <w:r w:rsidRPr="00193D4B">
        <w:rPr>
          <w:sz w:val="20"/>
          <w:szCs w:val="20"/>
          <w:lang w:val="en-GB"/>
        </w:rPr>
        <w:t>cause mortality in this dataset.</w:t>
      </w:r>
    </w:p>
    <w:p w14:paraId="5E1DA0B8" w14:textId="77777777" w:rsidR="002C4C2F" w:rsidRPr="00193D4B" w:rsidRDefault="002C4C2F" w:rsidP="00193D4B">
      <w:pPr>
        <w:ind w:right="-169"/>
        <w:rPr>
          <w:sz w:val="20"/>
          <w:szCs w:val="20"/>
          <w:lang w:val="en-GB"/>
        </w:rPr>
      </w:pPr>
      <w:r w:rsidRPr="00193D4B">
        <w:rPr>
          <w:noProof/>
          <w:sz w:val="20"/>
          <w:szCs w:val="20"/>
          <w:lang w:val="en-GB"/>
        </w:rPr>
        <w:drawing>
          <wp:inline distT="114300" distB="114300" distL="114300" distR="114300" wp14:anchorId="11DD6467" wp14:editId="2CB9BF88">
            <wp:extent cx="2743200" cy="1944766"/>
            <wp:effectExtent l="0" t="0" r="0" b="0"/>
            <wp:docPr id="2" name="image8.png" descr="A graph with black dots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8.png" descr="A graph with black dots and white text&#10;&#10;Description automatically generated"/>
                    <pic:cNvPicPr preferRelativeResize="0"/>
                  </pic:nvPicPr>
                  <pic:blipFill>
                    <a:blip r:embed="rId11"/>
                    <a:srcRect/>
                    <a:stretch>
                      <a:fillRect/>
                    </a:stretch>
                  </pic:blipFill>
                  <pic:spPr>
                    <a:xfrm>
                      <a:off x="0" y="0"/>
                      <a:ext cx="2827447" cy="2004492"/>
                    </a:xfrm>
                    <a:prstGeom prst="rect">
                      <a:avLst/>
                    </a:prstGeom>
                    <a:ln/>
                  </pic:spPr>
                </pic:pic>
              </a:graphicData>
            </a:graphic>
          </wp:inline>
        </w:drawing>
      </w:r>
    </w:p>
    <w:p w14:paraId="1D146DC2" w14:textId="77777777" w:rsidR="000F04F5" w:rsidRPr="00193D4B" w:rsidRDefault="002C4C2F" w:rsidP="00C862F8">
      <w:pPr>
        <w:ind w:right="-169"/>
        <w:rPr>
          <w:sz w:val="20"/>
          <w:szCs w:val="20"/>
          <w:lang w:val="en-GB"/>
        </w:rPr>
      </w:pPr>
      <w:r w:rsidRPr="00193D4B">
        <w:rPr>
          <w:sz w:val="20"/>
          <w:szCs w:val="20"/>
          <w:lang w:val="en-GB"/>
        </w:rPr>
        <w:t>Figure 9: Vaccination effect on mortality by age group in negative binomial models</w:t>
      </w:r>
    </w:p>
    <w:p w14:paraId="1CC2487A" w14:textId="55C63541" w:rsidR="000F04F5" w:rsidRPr="00193D4B" w:rsidRDefault="00E500F8" w:rsidP="00C862F8">
      <w:pPr>
        <w:ind w:right="-169"/>
        <w:rPr>
          <w:sz w:val="20"/>
          <w:szCs w:val="20"/>
          <w:lang w:val="en-GB"/>
        </w:rPr>
      </w:pPr>
      <w:r w:rsidRPr="00193D4B">
        <w:rPr>
          <w:sz w:val="20"/>
          <w:szCs w:val="20"/>
          <w:lang w:val="en-GB"/>
        </w:rPr>
        <w:t>Our findings are partially consistent with studies conducted in Italian provinces (</w:t>
      </w:r>
      <w:proofErr w:type="spellStart"/>
      <w:r w:rsidRPr="00193D4B">
        <w:rPr>
          <w:sz w:val="20"/>
          <w:szCs w:val="20"/>
          <w:lang w:val="en-GB"/>
        </w:rPr>
        <w:t>Acuti</w:t>
      </w:r>
      <w:proofErr w:type="spellEnd"/>
      <w:r w:rsidRPr="00193D4B">
        <w:rPr>
          <w:sz w:val="20"/>
          <w:szCs w:val="20"/>
          <w:lang w:val="en-GB"/>
        </w:rPr>
        <w:t xml:space="preserve"> et al., 2022; Rosso</w:t>
      </w:r>
      <w:r w:rsidR="00740841">
        <w:rPr>
          <w:sz w:val="20"/>
          <w:szCs w:val="20"/>
          <w:lang w:val="en-GB"/>
        </w:rPr>
        <w:t xml:space="preserve"> </w:t>
      </w:r>
      <w:r w:rsidRPr="00193D4B">
        <w:rPr>
          <w:sz w:val="20"/>
          <w:szCs w:val="20"/>
          <w:lang w:val="en-GB"/>
        </w:rPr>
        <w:t>et al., 2023), which also identified higher all-cause mortality risks among individuals with one or two doses</w:t>
      </w:r>
      <w:r w:rsidR="00740841">
        <w:rPr>
          <w:sz w:val="20"/>
          <w:szCs w:val="20"/>
          <w:lang w:val="en-GB"/>
        </w:rPr>
        <w:t xml:space="preserve"> </w:t>
      </w:r>
      <w:r w:rsidRPr="00193D4B">
        <w:rPr>
          <w:sz w:val="20"/>
          <w:szCs w:val="20"/>
          <w:lang w:val="en-GB"/>
        </w:rPr>
        <w:t>compared to the</w:t>
      </w:r>
      <w:r w:rsidR="00740841">
        <w:rPr>
          <w:sz w:val="20"/>
          <w:szCs w:val="20"/>
          <w:lang w:val="en-GB"/>
        </w:rPr>
        <w:t xml:space="preserve"> </w:t>
      </w:r>
      <w:r w:rsidRPr="00193D4B">
        <w:rPr>
          <w:sz w:val="20"/>
          <w:szCs w:val="20"/>
          <w:lang w:val="en-GB"/>
        </w:rPr>
        <w:t>unvaccinated. Additionally, those studies reported large</w:t>
      </w:r>
      <w:r w:rsidR="00740841">
        <w:rPr>
          <w:sz w:val="20"/>
          <w:szCs w:val="20"/>
          <w:lang w:val="en-GB"/>
        </w:rPr>
        <w:t xml:space="preserve"> </w:t>
      </w:r>
      <w:r w:rsidRPr="00193D4B">
        <w:rPr>
          <w:sz w:val="20"/>
          <w:szCs w:val="20"/>
          <w:lang w:val="en-GB"/>
        </w:rPr>
        <w:t>protective effects for three-dose recipients, beyond what could be attributed solely to COVID-19 mortality. However, these findings were later attributed to significant biases, notably Immortal Time Bias (ITB) (</w:t>
      </w:r>
      <w:proofErr w:type="spellStart"/>
      <w:r w:rsidRPr="00193D4B">
        <w:rPr>
          <w:sz w:val="20"/>
          <w:szCs w:val="20"/>
          <w:lang w:val="en-GB"/>
        </w:rPr>
        <w:t>Berrino</w:t>
      </w:r>
      <w:proofErr w:type="spellEnd"/>
      <w:r w:rsidRPr="00193D4B">
        <w:rPr>
          <w:sz w:val="20"/>
          <w:szCs w:val="20"/>
          <w:lang w:val="en-GB"/>
        </w:rPr>
        <w:t xml:space="preserve"> et al., 2023), which occurs when the survival period is misclassified, preventing participants from experiencing the event of interest (Vail et al., 2021). Correcting for ITB in those studies rendered the apparent strong protection from third-dose vaccination non-significant. Similarly, Alessandria et al. (2024) reported higher all-cause death hazard ratios for individuals with one or two doses and no significant protection among those with three or more doses in the same dataset, along with a modest but statistically significant reduction in life expectancy among populations receiving two or three doses.</w:t>
      </w:r>
    </w:p>
    <w:p w14:paraId="5568A46C" w14:textId="690DE0B4" w:rsidR="000F04F5" w:rsidRPr="00193D4B" w:rsidRDefault="00E738D7" w:rsidP="00C862F8">
      <w:pPr>
        <w:ind w:right="-169"/>
        <w:rPr>
          <w:sz w:val="20"/>
          <w:szCs w:val="20"/>
          <w:lang w:val="en-GB"/>
        </w:rPr>
      </w:pPr>
      <w:r w:rsidRPr="00193D4B">
        <w:rPr>
          <w:sz w:val="20"/>
          <w:szCs w:val="20"/>
          <w:lang w:val="en-GB"/>
        </w:rPr>
        <w:t>Our own data also indicate that certain age groups</w:t>
      </w:r>
      <w:r w:rsidR="006E2F0B" w:rsidRPr="00193D4B">
        <w:rPr>
          <w:sz w:val="20"/>
          <w:szCs w:val="20"/>
          <w:lang w:val="en-GB"/>
        </w:rPr>
        <w:t xml:space="preserve">   </w:t>
      </w:r>
      <w:r w:rsidR="00C862F8">
        <w:rPr>
          <w:sz w:val="20"/>
          <w:szCs w:val="20"/>
          <w:lang w:val="en-GB"/>
        </w:rPr>
        <w:t>re</w:t>
      </w:r>
      <w:r w:rsidRPr="00193D4B">
        <w:rPr>
          <w:sz w:val="20"/>
          <w:szCs w:val="20"/>
          <w:lang w:val="en-GB"/>
        </w:rPr>
        <w:t xml:space="preserve">ceiving one or two doses showed higher mortality risk variability, while the Negative Binomial regression underscored the aggregate protective effect of vaccination. Balancing these seemingly contradictory results remains challenging, given the limited information on individual health status and other potential factors, we propose several hypotheses in subsequent sections. </w:t>
      </w:r>
    </w:p>
    <w:p w14:paraId="025FF4FC" w14:textId="77777777" w:rsidR="00740841" w:rsidRDefault="00740841" w:rsidP="00C862F8">
      <w:pPr>
        <w:ind w:right="-169"/>
        <w:rPr>
          <w:b/>
          <w:bCs/>
          <w:sz w:val="20"/>
          <w:szCs w:val="20"/>
          <w:lang w:val="en-GB"/>
        </w:rPr>
      </w:pPr>
    </w:p>
    <w:p w14:paraId="53877F58" w14:textId="35B52BD9" w:rsidR="000F04F5" w:rsidRPr="00193D4B" w:rsidRDefault="002C4C2F" w:rsidP="00C862F8">
      <w:pPr>
        <w:ind w:right="-169"/>
        <w:rPr>
          <w:b/>
          <w:bCs/>
          <w:sz w:val="20"/>
          <w:szCs w:val="20"/>
          <w:lang w:val="en-GB"/>
        </w:rPr>
      </w:pPr>
      <w:r w:rsidRPr="00193D4B">
        <w:rPr>
          <w:b/>
          <w:bCs/>
          <w:sz w:val="20"/>
          <w:szCs w:val="20"/>
          <w:lang w:val="en-GB"/>
        </w:rPr>
        <w:t>4.1 Underestimation of the unvaccinated population</w:t>
      </w:r>
    </w:p>
    <w:p w14:paraId="128E3A6E" w14:textId="254FFA2C" w:rsidR="00C862F8" w:rsidRDefault="00E218A2" w:rsidP="00C862F8">
      <w:pPr>
        <w:ind w:right="-169"/>
        <w:rPr>
          <w:sz w:val="20"/>
          <w:szCs w:val="20"/>
          <w:lang w:val="en-GB"/>
        </w:rPr>
      </w:pPr>
      <w:r w:rsidRPr="00193D4B">
        <w:rPr>
          <w:sz w:val="20"/>
          <w:szCs w:val="20"/>
          <w:lang w:val="en-GB"/>
        </w:rPr>
        <w:t xml:space="preserve">One possible explanation for the contradictory patterns—such as instances where the vaccinated group appears to have a higher all-cause mortality </w:t>
      </w:r>
      <w:r w:rsidRPr="00193D4B">
        <w:rPr>
          <w:sz w:val="20"/>
          <w:szCs w:val="20"/>
          <w:lang w:val="en-GB"/>
        </w:rPr>
        <w:t>risk in certain months or age groups—is that the UK Office for National Statistics (ONS) dataset might underestimate the true size of the unvaccinated population. As outlined in Section 3.1, approximately 4.7 million individuals are excluded because they lacked a National Health Service (NHS) number or had other data inconsistencies. Moreover, those without an NHS number or General Practitioner (GP) registration typically cannot receive a COVID-19 vaccine. These exclusions disproportionately affect unvaccinated people; when such individuals die, their deaths are still certified and captured by the ONS with unvaccinated population status, since the death registration process requires vaccination status.</w:t>
      </w:r>
      <w:r w:rsidR="009A4BC1">
        <w:rPr>
          <w:sz w:val="20"/>
          <w:szCs w:val="20"/>
          <w:lang w:val="en-GB"/>
        </w:rPr>
        <w:t xml:space="preserve"> </w:t>
      </w:r>
      <w:r w:rsidRPr="00193D4B">
        <w:rPr>
          <w:sz w:val="20"/>
          <w:szCs w:val="20"/>
          <w:lang w:val="en-GB"/>
        </w:rPr>
        <w:t>Consequently, a systemic bias could arise throughout the study period.</w:t>
      </w:r>
    </w:p>
    <w:p w14:paraId="13A18749" w14:textId="1E193023" w:rsidR="00C862F8" w:rsidRDefault="00E218A2" w:rsidP="00C862F8">
      <w:pPr>
        <w:ind w:right="-169"/>
        <w:rPr>
          <w:sz w:val="20"/>
          <w:szCs w:val="20"/>
          <w:lang w:val="en-GB"/>
        </w:rPr>
      </w:pPr>
      <w:r w:rsidRPr="00193D4B">
        <w:rPr>
          <w:sz w:val="20"/>
          <w:szCs w:val="20"/>
          <w:lang w:val="en-GB"/>
        </w:rPr>
        <w:t>Section 3.</w:t>
      </w:r>
      <w:r w:rsidR="00465481">
        <w:rPr>
          <w:sz w:val="20"/>
          <w:szCs w:val="20"/>
          <w:lang w:val="en-GB"/>
        </w:rPr>
        <w:t>2</w:t>
      </w:r>
      <w:r w:rsidRPr="00193D4B">
        <w:rPr>
          <w:sz w:val="20"/>
          <w:szCs w:val="20"/>
          <w:lang w:val="en-GB"/>
        </w:rPr>
        <w:t xml:space="preserve"> illustrates this potential underestimation. The elevated RRs for one and two doses across all age groups could be significantly influenced by the larger-than-</w:t>
      </w:r>
      <w:r w:rsidR="00740841" w:rsidRPr="00193D4B">
        <w:rPr>
          <w:sz w:val="20"/>
          <w:szCs w:val="20"/>
          <w:lang w:val="en-GB"/>
        </w:rPr>
        <w:t>actual</w:t>
      </w:r>
      <w:r w:rsidRPr="00193D4B">
        <w:rPr>
          <w:sz w:val="20"/>
          <w:szCs w:val="20"/>
          <w:lang w:val="en-GB"/>
        </w:rPr>
        <w:t xml:space="preserve"> unvaccinated population in the denominator. If a considerable number of unvaccinated individuals are excluded from the dataset, the true RR value may be lower than recorded—skewing comparisons and making the “observed” mortality in the unvaccinated group appear higher than it is</w:t>
      </w:r>
    </w:p>
    <w:p w14:paraId="3827E239" w14:textId="3EC41779" w:rsidR="00C862F8" w:rsidRDefault="00E218A2" w:rsidP="00C862F8">
      <w:pPr>
        <w:ind w:right="-169"/>
        <w:rPr>
          <w:sz w:val="20"/>
          <w:szCs w:val="20"/>
          <w:lang w:val="en-GB"/>
        </w:rPr>
      </w:pPr>
      <w:r w:rsidRPr="00193D4B">
        <w:rPr>
          <w:sz w:val="20"/>
          <w:szCs w:val="20"/>
          <w:lang w:val="en-GB"/>
        </w:rPr>
        <w:t xml:space="preserve">in reality. Consequently, vaccinated groups might seem to have worse outcomes in certain months when, in fact, the high RR could reflect an artificially inflated unvaccinated mortality denominator. The discrepancy between the boxplot RRs and the regression results underscores the impact of underestimating the unvaccinated population. The regression analysis </w:t>
      </w:r>
      <w:r w:rsidR="00740841" w:rsidRPr="00193D4B">
        <w:rPr>
          <w:sz w:val="20"/>
          <w:szCs w:val="20"/>
          <w:lang w:val="en-GB"/>
        </w:rPr>
        <w:t>provides</w:t>
      </w:r>
      <w:r w:rsidRPr="00193D4B">
        <w:rPr>
          <w:sz w:val="20"/>
          <w:szCs w:val="20"/>
          <w:lang w:val="en-GB"/>
        </w:rPr>
        <w:t xml:space="preserve"> a more accurate estimate of the protective effect by mitigating some of these biases through its modelling approach. </w:t>
      </w:r>
    </w:p>
    <w:p w14:paraId="38E6B99B" w14:textId="77777777" w:rsidR="00740841" w:rsidRDefault="00740841" w:rsidP="00C862F8">
      <w:pPr>
        <w:ind w:right="-169"/>
        <w:rPr>
          <w:b/>
          <w:bCs/>
          <w:sz w:val="20"/>
          <w:szCs w:val="20"/>
          <w:lang w:val="en-GB"/>
        </w:rPr>
      </w:pPr>
    </w:p>
    <w:p w14:paraId="30942A1B" w14:textId="36461029" w:rsidR="00C862F8" w:rsidRDefault="002C4C2F" w:rsidP="00C862F8">
      <w:pPr>
        <w:ind w:right="-169"/>
        <w:rPr>
          <w:sz w:val="20"/>
          <w:szCs w:val="20"/>
          <w:lang w:val="en-GB"/>
        </w:rPr>
      </w:pPr>
      <w:r w:rsidRPr="00193D4B">
        <w:rPr>
          <w:b/>
          <w:bCs/>
          <w:sz w:val="20"/>
          <w:szCs w:val="20"/>
          <w:lang w:val="en-GB"/>
        </w:rPr>
        <w:t>4.2 The Healthy-vaccine Bias</w:t>
      </w:r>
    </w:p>
    <w:p w14:paraId="54C61129" w14:textId="0AD4D1D1" w:rsidR="00C862F8" w:rsidRDefault="002C4C2F" w:rsidP="00C862F8">
      <w:pPr>
        <w:ind w:right="-169"/>
        <w:rPr>
          <w:sz w:val="20"/>
          <w:szCs w:val="20"/>
          <w:lang w:val="en-GB"/>
        </w:rPr>
      </w:pPr>
      <w:r w:rsidRPr="00193D4B">
        <w:rPr>
          <w:sz w:val="20"/>
          <w:szCs w:val="20"/>
          <w:lang w:val="en-GB"/>
        </w:rPr>
        <w:t>A second key factor suggested by Sections 3.</w:t>
      </w:r>
      <w:r w:rsidR="00465481">
        <w:rPr>
          <w:sz w:val="20"/>
          <w:szCs w:val="20"/>
          <w:lang w:val="en-GB"/>
        </w:rPr>
        <w:t>2</w:t>
      </w:r>
      <w:r w:rsidRPr="00193D4B">
        <w:rPr>
          <w:sz w:val="20"/>
          <w:szCs w:val="20"/>
          <w:lang w:val="en-GB"/>
        </w:rPr>
        <w:t xml:space="preserve"> and </w:t>
      </w:r>
      <w:r w:rsidRPr="00740841">
        <w:rPr>
          <w:bCs/>
          <w:sz w:val="20"/>
          <w:szCs w:val="20"/>
          <w:lang w:val="en-GB"/>
        </w:rPr>
        <w:t>3.</w:t>
      </w:r>
      <w:r w:rsidR="00465481">
        <w:rPr>
          <w:bCs/>
          <w:sz w:val="20"/>
          <w:szCs w:val="20"/>
          <w:lang w:val="en-GB"/>
        </w:rPr>
        <w:t>3</w:t>
      </w:r>
      <w:r w:rsidRPr="00193D4B">
        <w:rPr>
          <w:b/>
          <w:sz w:val="20"/>
          <w:szCs w:val="20"/>
          <w:lang w:val="en-GB"/>
        </w:rPr>
        <w:t xml:space="preserve"> </w:t>
      </w:r>
      <w:r w:rsidRPr="00193D4B">
        <w:rPr>
          <w:sz w:val="20"/>
          <w:szCs w:val="20"/>
          <w:lang w:val="en-GB"/>
        </w:rPr>
        <w:t>is the healthy</w:t>
      </w:r>
      <w:r w:rsidRPr="00193D4B">
        <w:rPr>
          <w:rFonts w:ascii="Cambria Math" w:hAnsi="Cambria Math" w:cs="Cambria Math"/>
          <w:sz w:val="20"/>
          <w:szCs w:val="20"/>
          <w:lang w:val="en-GB"/>
        </w:rPr>
        <w:t>‐</w:t>
      </w:r>
      <w:r w:rsidRPr="00193D4B">
        <w:rPr>
          <w:sz w:val="20"/>
          <w:szCs w:val="20"/>
          <w:lang w:val="en-GB"/>
        </w:rPr>
        <w:t xml:space="preserve">vaccine bias, which individuals who receive vaccines often exhibit healthier </w:t>
      </w:r>
      <w:r w:rsidR="00740841" w:rsidRPr="00193D4B">
        <w:rPr>
          <w:sz w:val="20"/>
          <w:szCs w:val="20"/>
          <w:lang w:val="en-GB"/>
        </w:rPr>
        <w:t>behaviours</w:t>
      </w:r>
      <w:r w:rsidRPr="00193D4B">
        <w:rPr>
          <w:sz w:val="20"/>
          <w:szCs w:val="20"/>
          <w:lang w:val="en-GB"/>
        </w:rPr>
        <w:t xml:space="preserve"> or characteristics than those who do not (Furst et al., 2024). As shown in Section 3.</w:t>
      </w:r>
      <w:r w:rsidR="00465481">
        <w:rPr>
          <w:sz w:val="20"/>
          <w:szCs w:val="20"/>
          <w:lang w:val="en-GB"/>
        </w:rPr>
        <w:t>2</w:t>
      </w:r>
      <w:r w:rsidRPr="00193D4B">
        <w:rPr>
          <w:sz w:val="20"/>
          <w:szCs w:val="20"/>
          <w:lang w:val="en-GB"/>
        </w:rPr>
        <w:t>, people who are 21 days past their second or third dose typically display rate ratios (RR) below 1.0, indicating a protective effect</w:t>
      </w:r>
      <w:r w:rsidR="00E91726" w:rsidRPr="00193D4B">
        <w:rPr>
          <w:sz w:val="20"/>
          <w:szCs w:val="20"/>
          <w:lang w:val="en-GB"/>
        </w:rPr>
        <w:t xml:space="preserve"> of vaccination</w:t>
      </w:r>
      <w:r w:rsidRPr="00193D4B">
        <w:rPr>
          <w:sz w:val="20"/>
          <w:szCs w:val="20"/>
          <w:lang w:val="en-GB"/>
        </w:rPr>
        <w:t>.</w:t>
      </w:r>
      <w:r w:rsidR="00E91726" w:rsidRPr="00193D4B">
        <w:rPr>
          <w:sz w:val="20"/>
          <w:szCs w:val="20"/>
          <w:lang w:val="en-GB"/>
        </w:rPr>
        <w:t xml:space="preserve"> Furthermore</w:t>
      </w:r>
      <w:r w:rsidRPr="00193D4B">
        <w:rPr>
          <w:sz w:val="20"/>
          <w:szCs w:val="20"/>
          <w:lang w:val="en-GB"/>
        </w:rPr>
        <w:t xml:space="preserve">, voluntary adherence to preventive measures (e.g. vaccination) has been shown to reduce mortality by nearly half, and in some cases with reduction of 2.5–3 or more times (Wright et al., 2021; Pinsky et al., 2007). However, in the short term (the first 21 days after dose 1), RRs often hover at or above 1.0, potentially because individuals with serious illnesses defer vaccination, temporarily inflating mortality rates among those who get vaccinated without delay (Furst </w:t>
      </w:r>
      <w:r w:rsidRPr="00193D4B">
        <w:rPr>
          <w:sz w:val="20"/>
          <w:szCs w:val="20"/>
          <w:lang w:val="en-GB"/>
        </w:rPr>
        <w:lastRenderedPageBreak/>
        <w:t>et al., 2024). Over time, once these very frail individuals remain unvaccinated, the protective effect among the relatively healthier vaccinated population may become more apparent.</w:t>
      </w:r>
    </w:p>
    <w:p w14:paraId="61498335" w14:textId="4156BA15" w:rsidR="00C862F8" w:rsidRDefault="002C4C2F" w:rsidP="00C862F8">
      <w:pPr>
        <w:ind w:right="-169"/>
        <w:rPr>
          <w:sz w:val="20"/>
          <w:szCs w:val="20"/>
          <w:lang w:val="en-GB"/>
        </w:rPr>
      </w:pPr>
      <w:r w:rsidRPr="00193D4B">
        <w:rPr>
          <w:sz w:val="20"/>
          <w:szCs w:val="20"/>
          <w:lang w:val="en-GB"/>
        </w:rPr>
        <w:t>Meanwhile, the Negative Binomial analysis reveals consistently negative coefficients for “Vaccinated vs. Unvaccinated” across all age groups, determining a statistically significant reduction in all</w:t>
      </w:r>
      <w:r w:rsidRPr="00193D4B">
        <w:rPr>
          <w:rFonts w:ascii="Cambria Math" w:hAnsi="Cambria Math" w:cs="Cambria Math"/>
          <w:sz w:val="20"/>
          <w:szCs w:val="20"/>
          <w:lang w:val="en-GB"/>
        </w:rPr>
        <w:t>‐</w:t>
      </w:r>
      <w:r w:rsidRPr="00193D4B">
        <w:rPr>
          <w:sz w:val="20"/>
          <w:szCs w:val="20"/>
          <w:lang w:val="en-GB"/>
        </w:rPr>
        <w:t xml:space="preserve">cause mortality. This protective effect may partly </w:t>
      </w:r>
      <w:r w:rsidR="00740841" w:rsidRPr="00193D4B">
        <w:rPr>
          <w:sz w:val="20"/>
          <w:szCs w:val="20"/>
          <w:lang w:val="en-GB"/>
        </w:rPr>
        <w:t>relate</w:t>
      </w:r>
      <w:r w:rsidRPr="00193D4B">
        <w:rPr>
          <w:sz w:val="20"/>
          <w:szCs w:val="20"/>
          <w:lang w:val="en-GB"/>
        </w:rPr>
        <w:t xml:space="preserve"> to healthier </w:t>
      </w:r>
      <w:r w:rsidR="00740841" w:rsidRPr="00193D4B">
        <w:rPr>
          <w:sz w:val="20"/>
          <w:szCs w:val="20"/>
          <w:lang w:val="en-GB"/>
        </w:rPr>
        <w:t>behaviours</w:t>
      </w:r>
      <w:r w:rsidRPr="00193D4B">
        <w:rPr>
          <w:sz w:val="20"/>
          <w:szCs w:val="20"/>
          <w:lang w:val="en-GB"/>
        </w:rPr>
        <w:t>—such as better diets, more exercise, and lower tobacco or alcohol use—among the vaccinated (</w:t>
      </w:r>
      <w:proofErr w:type="spellStart"/>
      <w:r w:rsidRPr="00193D4B">
        <w:rPr>
          <w:sz w:val="20"/>
          <w:szCs w:val="20"/>
          <w:lang w:val="en-GB"/>
        </w:rPr>
        <w:t>Eiser</w:t>
      </w:r>
      <w:proofErr w:type="spellEnd"/>
      <w:r w:rsidRPr="00193D4B">
        <w:rPr>
          <w:sz w:val="20"/>
          <w:szCs w:val="20"/>
          <w:lang w:val="en-GB"/>
        </w:rPr>
        <w:t xml:space="preserve">, 2021), </w:t>
      </w:r>
      <w:r w:rsidR="00E91726" w:rsidRPr="00193D4B">
        <w:rPr>
          <w:sz w:val="20"/>
          <w:szCs w:val="20"/>
          <w:lang w:val="en-GB"/>
        </w:rPr>
        <w:t xml:space="preserve">However, these factors are not captured in detail in the ONS dataset, highlighting the role of </w:t>
      </w:r>
      <w:r w:rsidR="004531EC" w:rsidRPr="00193D4B">
        <w:rPr>
          <w:sz w:val="20"/>
          <w:szCs w:val="20"/>
          <w:lang w:val="en-GB"/>
        </w:rPr>
        <w:t xml:space="preserve">unmeasured health-related lifestyle factors in amplifying the observed benefits of vaccination. </w:t>
      </w:r>
      <w:r w:rsidRPr="00193D4B">
        <w:rPr>
          <w:sz w:val="20"/>
          <w:szCs w:val="20"/>
          <w:lang w:val="en-GB"/>
        </w:rPr>
        <w:t>In addition, Immortal Time Bias could further inflate survival times for certain vaccinated groups, if the period before actual vaccination is misclassified as “vaccinated” time (</w:t>
      </w:r>
      <w:r>
        <w:fldChar w:fldCharType="begin"/>
      </w:r>
      <w:r w:rsidRPr="00F44A43">
        <w:rPr>
          <w:lang w:val="en-HK"/>
        </w:rPr>
        <w:instrText>HYPERLINK "https://pubmed.ncbi.nlm.nih.gov/?term=Hern%C3%A1n+MA&amp;cauthor_id=39494894" \h</w:instrText>
      </w:r>
      <w:r>
        <w:fldChar w:fldCharType="separate"/>
      </w:r>
      <w:r w:rsidRPr="00193D4B">
        <w:rPr>
          <w:sz w:val="20"/>
          <w:szCs w:val="20"/>
          <w:highlight w:val="white"/>
          <w:lang w:val="en-GB"/>
        </w:rPr>
        <w:t>Hernán</w:t>
      </w:r>
      <w:r>
        <w:fldChar w:fldCharType="end"/>
      </w:r>
      <w:r w:rsidRPr="00193D4B">
        <w:rPr>
          <w:sz w:val="20"/>
          <w:szCs w:val="20"/>
          <w:lang w:val="en-GB"/>
        </w:rPr>
        <w:t>, 2025).</w:t>
      </w:r>
    </w:p>
    <w:p w14:paraId="35415DF5" w14:textId="577DF2C7" w:rsidR="00C862F8" w:rsidRDefault="002C4C2F" w:rsidP="00C862F8">
      <w:pPr>
        <w:ind w:right="-169"/>
        <w:rPr>
          <w:sz w:val="20"/>
          <w:szCs w:val="20"/>
          <w:lang w:val="en-GB"/>
        </w:rPr>
      </w:pPr>
      <w:r w:rsidRPr="00193D4B">
        <w:rPr>
          <w:sz w:val="20"/>
          <w:szCs w:val="20"/>
          <w:lang w:val="en-GB"/>
        </w:rPr>
        <w:t xml:space="preserve">A related phenomenon is indication bias. </w:t>
      </w:r>
      <w:r w:rsidR="0083426B" w:rsidRPr="00193D4B">
        <w:rPr>
          <w:sz w:val="20"/>
          <w:szCs w:val="20"/>
          <w:lang w:val="en-GB"/>
        </w:rPr>
        <w:t>Early vaccination campaigns prioritized clinically vulnerable individuals, including older adults with multiple health conditions, who often received doses earlier</w:t>
      </w:r>
      <w:r w:rsidR="009A4BC1">
        <w:rPr>
          <w:sz w:val="20"/>
          <w:szCs w:val="20"/>
          <w:lang w:val="en-GB"/>
        </w:rPr>
        <w:t xml:space="preserve"> (</w:t>
      </w:r>
      <w:proofErr w:type="spellStart"/>
      <w:r w:rsidR="009A4BC1">
        <w:rPr>
          <w:sz w:val="20"/>
          <w:szCs w:val="20"/>
          <w:lang w:val="en-GB"/>
        </w:rPr>
        <w:t>Apampodi</w:t>
      </w:r>
      <w:proofErr w:type="spellEnd"/>
      <w:r w:rsidR="009A4BC1">
        <w:rPr>
          <w:sz w:val="20"/>
          <w:szCs w:val="20"/>
          <w:lang w:val="en-GB"/>
        </w:rPr>
        <w:t xml:space="preserve"> et al., 2024)</w:t>
      </w:r>
      <w:r w:rsidR="0083426B" w:rsidRPr="00193D4B">
        <w:rPr>
          <w:sz w:val="20"/>
          <w:szCs w:val="20"/>
          <w:lang w:val="en-GB"/>
        </w:rPr>
        <w:t>. This prioritization may have temporarily elevated short-term RR values among older recipients, as their pre-existing health risks were disproportionately represented in the early vaccinated cohort. Over time, as healthier older adults joined the unvaccinated pool, RR estimates declined. This trend is particularly evident in Section 3.</w:t>
      </w:r>
      <w:r w:rsidR="00465481">
        <w:rPr>
          <w:sz w:val="20"/>
          <w:szCs w:val="20"/>
          <w:lang w:val="en-GB"/>
        </w:rPr>
        <w:t>2</w:t>
      </w:r>
      <w:r w:rsidR="0083426B" w:rsidRPr="00193D4B">
        <w:rPr>
          <w:sz w:val="20"/>
          <w:szCs w:val="20"/>
          <w:lang w:val="en-GB"/>
        </w:rPr>
        <w:t xml:space="preserve">, where individuals aged 70–79 and 80–89 initially exhibit RRs of </w:t>
      </w:r>
      <w:r w:rsidR="00C23142" w:rsidRPr="00193D4B">
        <w:rPr>
          <w:sz w:val="20"/>
          <w:szCs w:val="20"/>
          <w:lang w:val="en-GB"/>
        </w:rPr>
        <w:t xml:space="preserve">4-5 </w:t>
      </w:r>
      <w:r w:rsidR="0083426B" w:rsidRPr="00193D4B">
        <w:rPr>
          <w:sz w:val="20"/>
          <w:szCs w:val="20"/>
          <w:lang w:val="en-GB"/>
        </w:rPr>
        <w:t xml:space="preserve">after their first dose, which later fall </w:t>
      </w:r>
      <w:r w:rsidR="00C23142" w:rsidRPr="00193D4B">
        <w:rPr>
          <w:sz w:val="20"/>
          <w:szCs w:val="20"/>
          <w:lang w:val="en-GB"/>
        </w:rPr>
        <w:t>below 2</w:t>
      </w:r>
      <w:r w:rsidR="0083426B" w:rsidRPr="00193D4B">
        <w:rPr>
          <w:sz w:val="20"/>
          <w:szCs w:val="20"/>
          <w:lang w:val="en-GB"/>
        </w:rPr>
        <w:t>. Such shifts underscore how cohort composition can yield seemingly contradictory findings about vaccine efficacy; the vaccine may appear less effective initially when</w:t>
      </w:r>
      <w:r w:rsidR="00740841" w:rsidRPr="00193D4B">
        <w:rPr>
          <w:sz w:val="20"/>
          <w:szCs w:val="20"/>
          <w:lang w:val="en-GB"/>
        </w:rPr>
        <w:t xml:space="preserve"> early</w:t>
      </w:r>
      <w:r w:rsidR="0083426B" w:rsidRPr="00193D4B">
        <w:rPr>
          <w:sz w:val="20"/>
          <w:szCs w:val="20"/>
          <w:lang w:val="en-GB"/>
        </w:rPr>
        <w:t xml:space="preserve"> recipients represented a frailer subgroup. As the frail fraction’s influence diminishes, the protective effect of vaccination becomes clearer.</w:t>
      </w:r>
    </w:p>
    <w:p w14:paraId="1D893E97" w14:textId="4B543596" w:rsidR="00C862F8" w:rsidRDefault="0083426B" w:rsidP="00C862F8">
      <w:pPr>
        <w:ind w:right="-169"/>
        <w:rPr>
          <w:sz w:val="20"/>
          <w:szCs w:val="20"/>
          <w:lang w:val="en-GB"/>
        </w:rPr>
      </w:pPr>
      <w:r w:rsidRPr="00193D4B">
        <w:rPr>
          <w:sz w:val="20"/>
          <w:szCs w:val="20"/>
          <w:lang w:val="en-GB"/>
        </w:rPr>
        <w:t>The healthy-vaccine bias also explains variations in the protective effect observed across age groups in the Negative Binomial analysis. Middle-aged adults (40–79 years) derive a more pronounced benefit from vaccination due to their relatively healthier baseline characteristics and fewer comorbidities</w:t>
      </w:r>
      <w:r w:rsidR="009A4BC1">
        <w:rPr>
          <w:sz w:val="20"/>
          <w:szCs w:val="20"/>
          <w:lang w:val="en-GB"/>
        </w:rPr>
        <w:t xml:space="preserve"> (</w:t>
      </w:r>
      <w:proofErr w:type="spellStart"/>
      <w:r w:rsidR="009A4BC1">
        <w:rPr>
          <w:sz w:val="20"/>
          <w:szCs w:val="20"/>
          <w:lang w:val="en-GB"/>
        </w:rPr>
        <w:t>Bonanad</w:t>
      </w:r>
      <w:proofErr w:type="spellEnd"/>
      <w:r w:rsidR="009A4BC1">
        <w:rPr>
          <w:sz w:val="20"/>
          <w:szCs w:val="20"/>
          <w:lang w:val="en-GB"/>
        </w:rPr>
        <w:t xml:space="preserve"> et al., 2020)</w:t>
      </w:r>
      <w:r w:rsidRPr="00193D4B">
        <w:rPr>
          <w:sz w:val="20"/>
          <w:szCs w:val="20"/>
          <w:lang w:val="en-GB"/>
        </w:rPr>
        <w:t xml:space="preserve">. Conversely, the oldest age group (90+ years), characterized by higher frailty and chronic conditions, exhibits </w:t>
      </w:r>
      <w:r w:rsidR="00C23142" w:rsidRPr="00193D4B">
        <w:rPr>
          <w:sz w:val="20"/>
          <w:szCs w:val="20"/>
          <w:lang w:val="en-GB"/>
        </w:rPr>
        <w:t>a weakened</w:t>
      </w:r>
      <w:r w:rsidRPr="00193D4B">
        <w:rPr>
          <w:sz w:val="20"/>
          <w:szCs w:val="20"/>
          <w:lang w:val="en-GB"/>
        </w:rPr>
        <w:t xml:space="preserve"> protective effect. For the 18–39 age group, the protective effect is less apparent, largely because of their already low baseline mortality rates</w:t>
      </w:r>
      <w:r w:rsidR="009A4BC1">
        <w:rPr>
          <w:sz w:val="20"/>
          <w:szCs w:val="20"/>
          <w:lang w:val="en-GB"/>
        </w:rPr>
        <w:t xml:space="preserve"> (Bhopal et al., 2021)</w:t>
      </w:r>
      <w:r w:rsidRPr="00193D4B">
        <w:rPr>
          <w:sz w:val="20"/>
          <w:szCs w:val="20"/>
          <w:lang w:val="en-GB"/>
        </w:rPr>
        <w:t xml:space="preserve">. Even substantial relative reductions in mortality result in smaller absolute differences in this cohort. Additionally, younger adults may engage in </w:t>
      </w:r>
      <w:r w:rsidR="00740841" w:rsidRPr="00193D4B">
        <w:rPr>
          <w:sz w:val="20"/>
          <w:szCs w:val="20"/>
          <w:lang w:val="en-GB"/>
        </w:rPr>
        <w:t>behaviours</w:t>
      </w:r>
      <w:r w:rsidRPr="00193D4B">
        <w:rPr>
          <w:sz w:val="20"/>
          <w:szCs w:val="20"/>
          <w:lang w:val="en-GB"/>
        </w:rPr>
        <w:t xml:space="preserve">, such as higher social interaction or </w:t>
      </w:r>
      <w:r w:rsidRPr="00193D4B">
        <w:rPr>
          <w:sz w:val="20"/>
          <w:szCs w:val="20"/>
          <w:lang w:val="en-GB"/>
        </w:rPr>
        <w:t xml:space="preserve">different occupational exposures, that </w:t>
      </w:r>
      <w:r w:rsidR="00C23142" w:rsidRPr="00193D4B">
        <w:rPr>
          <w:sz w:val="20"/>
          <w:szCs w:val="20"/>
          <w:lang w:val="en-GB"/>
        </w:rPr>
        <w:t>hinder</w:t>
      </w:r>
      <w:r w:rsidRPr="00193D4B">
        <w:rPr>
          <w:sz w:val="20"/>
          <w:szCs w:val="20"/>
          <w:lang w:val="en-GB"/>
        </w:rPr>
        <w:t xml:space="preserve"> the observable impact of vaccination on mortality.</w:t>
      </w:r>
    </w:p>
    <w:p w14:paraId="1CB13E1A" w14:textId="20E97FE8" w:rsidR="00C862F8" w:rsidRDefault="0083426B" w:rsidP="00C862F8">
      <w:pPr>
        <w:ind w:right="-169"/>
        <w:rPr>
          <w:sz w:val="20"/>
          <w:szCs w:val="20"/>
          <w:lang w:val="en-GB"/>
        </w:rPr>
      </w:pPr>
      <w:r w:rsidRPr="00193D4B">
        <w:rPr>
          <w:sz w:val="20"/>
          <w:szCs w:val="20"/>
          <w:lang w:val="en-GB"/>
        </w:rPr>
        <w:t xml:space="preserve">In summary, the healthy-vaccine bias significantly enhances the apparent benefits of vaccination in reducing mortality, particularly among age groups with better baseline health profiles. However, the interplay of unmeasured health </w:t>
      </w:r>
      <w:r w:rsidR="00740841" w:rsidRPr="00193D4B">
        <w:rPr>
          <w:sz w:val="20"/>
          <w:szCs w:val="20"/>
          <w:lang w:val="en-GB"/>
        </w:rPr>
        <w:t>behaviours</w:t>
      </w:r>
      <w:r w:rsidRPr="00193D4B">
        <w:rPr>
          <w:sz w:val="20"/>
          <w:szCs w:val="20"/>
          <w:lang w:val="en-GB"/>
        </w:rPr>
        <w:t xml:space="preserve"> and cohort dynamics complicates efforts to isolate the vaccine’s independent protective effect.</w:t>
      </w:r>
    </w:p>
    <w:p w14:paraId="5DD37D9D" w14:textId="77777777" w:rsidR="00740841" w:rsidRDefault="00740841" w:rsidP="00C862F8">
      <w:pPr>
        <w:ind w:right="-169"/>
        <w:rPr>
          <w:b/>
          <w:bCs/>
          <w:sz w:val="20"/>
          <w:szCs w:val="20"/>
          <w:lang w:val="en-GB"/>
        </w:rPr>
      </w:pPr>
    </w:p>
    <w:p w14:paraId="46B00F4F" w14:textId="066B4F72" w:rsidR="00C862F8" w:rsidRDefault="002C4C2F" w:rsidP="00C862F8">
      <w:pPr>
        <w:ind w:right="-169"/>
        <w:rPr>
          <w:sz w:val="20"/>
          <w:szCs w:val="20"/>
          <w:lang w:val="en-GB"/>
        </w:rPr>
      </w:pPr>
      <w:r w:rsidRPr="00193D4B">
        <w:rPr>
          <w:b/>
          <w:bCs/>
          <w:sz w:val="20"/>
          <w:szCs w:val="20"/>
          <w:lang w:val="en-GB"/>
        </w:rPr>
        <w:t>4.3 The harvesting effect</w:t>
      </w:r>
    </w:p>
    <w:p w14:paraId="21960D08" w14:textId="77777777" w:rsidR="00C862F8" w:rsidRDefault="002C4C2F" w:rsidP="00C862F8">
      <w:pPr>
        <w:ind w:right="-169"/>
        <w:rPr>
          <w:sz w:val="20"/>
          <w:szCs w:val="20"/>
          <w:lang w:val="en-GB"/>
        </w:rPr>
      </w:pPr>
      <w:r w:rsidRPr="00193D4B">
        <w:rPr>
          <w:sz w:val="20"/>
          <w:szCs w:val="20"/>
          <w:lang w:val="en-GB"/>
        </w:rPr>
        <w:t>A further hypothesis is the harvesting effect, sometimes referred to as “mortality displacement.” This concept describes a short</w:t>
      </w:r>
      <w:r w:rsidRPr="00193D4B">
        <w:rPr>
          <w:rFonts w:ascii="Cambria Math" w:hAnsi="Cambria Math" w:cs="Cambria Math"/>
          <w:sz w:val="20"/>
          <w:szCs w:val="20"/>
          <w:lang w:val="en-GB"/>
        </w:rPr>
        <w:t>‐</w:t>
      </w:r>
      <w:r w:rsidRPr="00193D4B">
        <w:rPr>
          <w:sz w:val="20"/>
          <w:szCs w:val="20"/>
          <w:lang w:val="en-GB"/>
        </w:rPr>
        <w:t xml:space="preserve">term </w:t>
      </w:r>
      <w:r w:rsidR="00C23142" w:rsidRPr="00193D4B">
        <w:rPr>
          <w:sz w:val="20"/>
          <w:szCs w:val="20"/>
          <w:lang w:val="en-GB"/>
        </w:rPr>
        <w:t>shift in mortality</w:t>
      </w:r>
      <w:r w:rsidRPr="00193D4B">
        <w:rPr>
          <w:sz w:val="20"/>
          <w:szCs w:val="20"/>
          <w:lang w:val="en-GB"/>
        </w:rPr>
        <w:t xml:space="preserve"> or severe health outcomes, whereby deaths or illnesses occur slightly earlier than they otherwise would, yet the overall long</w:t>
      </w:r>
      <w:r w:rsidRPr="00193D4B">
        <w:rPr>
          <w:rFonts w:ascii="Cambria Math" w:hAnsi="Cambria Math" w:cs="Cambria Math"/>
          <w:sz w:val="20"/>
          <w:szCs w:val="20"/>
          <w:lang w:val="en-GB"/>
        </w:rPr>
        <w:t>‐</w:t>
      </w:r>
      <w:r w:rsidRPr="00193D4B">
        <w:rPr>
          <w:sz w:val="20"/>
          <w:szCs w:val="20"/>
          <w:lang w:val="en-GB"/>
        </w:rPr>
        <w:t>term mortality rate remains relatively unchanged (</w:t>
      </w:r>
      <w:proofErr w:type="spellStart"/>
      <w:r w:rsidRPr="00193D4B">
        <w:rPr>
          <w:sz w:val="20"/>
          <w:szCs w:val="20"/>
          <w:lang w:val="en-GB"/>
        </w:rPr>
        <w:t>Walkowiak</w:t>
      </w:r>
      <w:proofErr w:type="spellEnd"/>
      <w:r w:rsidRPr="00193D4B">
        <w:rPr>
          <w:sz w:val="20"/>
          <w:szCs w:val="20"/>
          <w:lang w:val="en-GB"/>
        </w:rPr>
        <w:t xml:space="preserve"> et al., 2023). In the context of COVID</w:t>
      </w:r>
      <w:r w:rsidRPr="00193D4B">
        <w:rPr>
          <w:rFonts w:ascii="Cambria Math" w:hAnsi="Cambria Math" w:cs="Cambria Math"/>
          <w:sz w:val="20"/>
          <w:szCs w:val="20"/>
          <w:lang w:val="en-GB"/>
        </w:rPr>
        <w:t>‐</w:t>
      </w:r>
      <w:r w:rsidRPr="00193D4B">
        <w:rPr>
          <w:sz w:val="20"/>
          <w:szCs w:val="20"/>
          <w:lang w:val="en-GB"/>
        </w:rPr>
        <w:t>19 vaccination, the first dose often shows a pronounced initial mortality peak—likely because priority was given to the most clinically fragile individuals, many of whom died sooner due to their underlying conditions.</w:t>
      </w:r>
    </w:p>
    <w:p w14:paraId="52FB3439" w14:textId="77777777" w:rsidR="00C862F8" w:rsidRDefault="002C4C2F" w:rsidP="00C862F8">
      <w:pPr>
        <w:ind w:right="-169"/>
        <w:rPr>
          <w:sz w:val="20"/>
          <w:szCs w:val="20"/>
          <w:lang w:val="en-GB"/>
        </w:rPr>
      </w:pPr>
      <w:r w:rsidRPr="00193D4B">
        <w:rPr>
          <w:sz w:val="20"/>
          <w:szCs w:val="20"/>
          <w:lang w:val="en-GB"/>
        </w:rPr>
        <w:t>The early loss of these frail individuals means that those who proceed to receive the second dose are generally healthier. Indeed, because vaccination initially targeted older age groups, by April 2021, many older adults had already completed their first dose and started on their second. This phenomenon can only observe in younger groups (18–39 and 40–49), where we can determine a distinct initial mortality peak associated with the first dose—perhaps already in decline—followed by a smaller peak for the second dose, starting from lower values and reaching a reduced maximum compared to that of the first dose.</w:t>
      </w:r>
    </w:p>
    <w:p w14:paraId="7343E5B4" w14:textId="77777777" w:rsidR="00740841" w:rsidRDefault="002C4C2F" w:rsidP="00740841">
      <w:pPr>
        <w:ind w:right="-169"/>
        <w:rPr>
          <w:sz w:val="20"/>
          <w:szCs w:val="20"/>
          <w:lang w:val="en-GB"/>
        </w:rPr>
      </w:pPr>
      <w:r w:rsidRPr="00193D4B">
        <w:rPr>
          <w:sz w:val="20"/>
          <w:szCs w:val="20"/>
          <w:lang w:val="en-GB"/>
        </w:rPr>
        <w:t>With respect to the third dose, the initial mortality peak is essentially absent across all age cohorts. One possible explanation is that many of the most vulnerable individuals died before reaching the third</w:t>
      </w:r>
      <w:r w:rsidRPr="00193D4B">
        <w:rPr>
          <w:rFonts w:ascii="Cambria Math" w:hAnsi="Cambria Math" w:cs="Cambria Math"/>
          <w:sz w:val="20"/>
          <w:szCs w:val="20"/>
          <w:lang w:val="en-GB"/>
        </w:rPr>
        <w:t>‐</w:t>
      </w:r>
      <w:r w:rsidRPr="00193D4B">
        <w:rPr>
          <w:sz w:val="20"/>
          <w:szCs w:val="20"/>
          <w:lang w:val="en-GB"/>
        </w:rPr>
        <w:t>dose stage, thereby reducing the frailest segment of the population eligible for subsequent doses (</w:t>
      </w:r>
      <w:proofErr w:type="spellStart"/>
      <w:r w:rsidRPr="00193D4B">
        <w:rPr>
          <w:sz w:val="20"/>
          <w:szCs w:val="20"/>
          <w:lang w:val="en-GB"/>
        </w:rPr>
        <w:t>Riou</w:t>
      </w:r>
      <w:proofErr w:type="spellEnd"/>
      <w:r w:rsidRPr="00193D4B">
        <w:rPr>
          <w:sz w:val="20"/>
          <w:szCs w:val="20"/>
          <w:lang w:val="en-GB"/>
        </w:rPr>
        <w:t xml:space="preserve"> et al., 2023). In this way, the harvesting effect may help account for the noticeably </w:t>
      </w:r>
      <w:r w:rsidR="00740841" w:rsidRPr="00193D4B">
        <w:rPr>
          <w:sz w:val="20"/>
          <w:szCs w:val="20"/>
          <w:lang w:val="en-GB"/>
        </w:rPr>
        <w:t>low-rate</w:t>
      </w:r>
      <w:r w:rsidRPr="00193D4B">
        <w:rPr>
          <w:sz w:val="20"/>
          <w:szCs w:val="20"/>
          <w:lang w:val="en-GB"/>
        </w:rPr>
        <w:t xml:space="preserve"> ratios (RR) that appear early on for the third dose, and average protective effect shown in the negative binomial analysis, illustrating how selective survival in a population can shape vaccination</w:t>
      </w:r>
      <w:r w:rsidRPr="00193D4B">
        <w:rPr>
          <w:rFonts w:ascii="Cambria Math" w:hAnsi="Cambria Math" w:cs="Cambria Math"/>
          <w:sz w:val="20"/>
          <w:szCs w:val="20"/>
          <w:lang w:val="en-GB"/>
        </w:rPr>
        <w:t>‐</w:t>
      </w:r>
      <w:r w:rsidRPr="00193D4B">
        <w:rPr>
          <w:sz w:val="20"/>
          <w:szCs w:val="20"/>
          <w:lang w:val="en-GB"/>
        </w:rPr>
        <w:t>mortality patterns over time.</w:t>
      </w:r>
      <w:bookmarkStart w:id="0" w:name="_92gpmj5nf7xt" w:colFirst="0" w:colLast="0"/>
      <w:bookmarkEnd w:id="0"/>
    </w:p>
    <w:p w14:paraId="0EA326B4" w14:textId="77777777" w:rsidR="009A4BC1" w:rsidRDefault="009A4BC1" w:rsidP="00740841">
      <w:pPr>
        <w:ind w:right="-169"/>
        <w:rPr>
          <w:rFonts w:eastAsia="Times New Roman"/>
          <w:b/>
          <w:bCs/>
          <w:color w:val="000000"/>
          <w:sz w:val="24"/>
          <w:szCs w:val="24"/>
          <w:lang w:val="en-HK"/>
        </w:rPr>
      </w:pPr>
    </w:p>
    <w:p w14:paraId="288859D6" w14:textId="77777777" w:rsidR="009A4BC1" w:rsidRDefault="009A4BC1" w:rsidP="00740841">
      <w:pPr>
        <w:ind w:right="-169"/>
        <w:rPr>
          <w:rFonts w:eastAsia="Times New Roman"/>
          <w:b/>
          <w:bCs/>
          <w:color w:val="000000"/>
          <w:sz w:val="24"/>
          <w:szCs w:val="24"/>
          <w:lang w:val="en-HK"/>
        </w:rPr>
      </w:pPr>
    </w:p>
    <w:p w14:paraId="21DE505C" w14:textId="24108343" w:rsidR="00740841" w:rsidRPr="00740841" w:rsidRDefault="00BA3752" w:rsidP="00740841">
      <w:pPr>
        <w:ind w:right="-169"/>
        <w:rPr>
          <w:b/>
          <w:bCs/>
          <w:sz w:val="24"/>
          <w:szCs w:val="24"/>
          <w:lang w:val="en-GB"/>
        </w:rPr>
      </w:pPr>
      <w:r>
        <w:rPr>
          <w:rFonts w:eastAsia="Times New Roman"/>
          <w:b/>
          <w:bCs/>
          <w:color w:val="000000"/>
          <w:sz w:val="24"/>
          <w:szCs w:val="24"/>
          <w:lang w:val="en-HK"/>
        </w:rPr>
        <w:t>5</w:t>
      </w:r>
      <w:r w:rsidR="00740841">
        <w:rPr>
          <w:rFonts w:eastAsia="Times New Roman"/>
          <w:b/>
          <w:bCs/>
          <w:color w:val="000000"/>
          <w:sz w:val="24"/>
          <w:szCs w:val="24"/>
          <w:lang w:val="en-HK"/>
        </w:rPr>
        <w:t xml:space="preserve">. </w:t>
      </w:r>
      <w:r w:rsidR="00740841" w:rsidRPr="00740841">
        <w:rPr>
          <w:rFonts w:eastAsia="Times New Roman"/>
          <w:b/>
          <w:bCs/>
          <w:color w:val="000000"/>
          <w:sz w:val="24"/>
          <w:szCs w:val="24"/>
          <w:lang w:val="en-HK"/>
        </w:rPr>
        <w:t>Limitation</w:t>
      </w:r>
    </w:p>
    <w:p w14:paraId="220B591D" w14:textId="77777777" w:rsidR="00E00B8E" w:rsidRPr="00E00B8E" w:rsidRDefault="00E00B8E" w:rsidP="00E00B8E">
      <w:pPr>
        <w:ind w:right="-169"/>
        <w:rPr>
          <w:rFonts w:eastAsia="Times New Roman"/>
          <w:color w:val="000000"/>
          <w:sz w:val="20"/>
          <w:szCs w:val="20"/>
          <w:lang w:val="en-HK"/>
        </w:rPr>
      </w:pPr>
      <w:r w:rsidRPr="00E00B8E">
        <w:rPr>
          <w:rFonts w:eastAsia="Times New Roman"/>
          <w:color w:val="000000"/>
          <w:sz w:val="20"/>
          <w:szCs w:val="20"/>
          <w:lang w:val="en-HK"/>
        </w:rPr>
        <w:t xml:space="preserve">A significant limitation of this study is the absence of data for the first three months of 2021 in the most recent ONS datasets. This gap makes it impossible to </w:t>
      </w:r>
      <w:r w:rsidRPr="00E00B8E">
        <w:rPr>
          <w:rFonts w:eastAsia="Times New Roman"/>
          <w:color w:val="000000"/>
          <w:sz w:val="20"/>
          <w:szCs w:val="20"/>
          <w:lang w:val="en-HK"/>
        </w:rPr>
        <w:lastRenderedPageBreak/>
        <w:t>establish baseline mortality rates prior to the initiation of the COVID-19 vaccination program. Access to a pre-vaccination reference period would have been invaluable for understanding normal mortality trends and accurately assessing the subsequent impact of vaccination.</w:t>
      </w:r>
    </w:p>
    <w:p w14:paraId="7A7F2371" w14:textId="77777777" w:rsidR="00E00B8E" w:rsidRPr="00E00B8E" w:rsidRDefault="00E00B8E" w:rsidP="00E00B8E">
      <w:pPr>
        <w:ind w:right="-169"/>
        <w:rPr>
          <w:rFonts w:eastAsia="Times New Roman"/>
          <w:color w:val="000000"/>
          <w:sz w:val="20"/>
          <w:szCs w:val="20"/>
          <w:lang w:val="en-HK"/>
        </w:rPr>
      </w:pPr>
      <w:r w:rsidRPr="00E00B8E">
        <w:rPr>
          <w:rFonts w:eastAsia="Times New Roman"/>
          <w:color w:val="000000"/>
          <w:sz w:val="20"/>
          <w:szCs w:val="20"/>
          <w:lang w:val="en-HK"/>
        </w:rPr>
        <w:t>Moreover, the ONS dataset collection concludes in May 2023, which restricts the analysis of longer-term mortality trends. As a result, the study cannot evaluate whether changes in mortality patterns occurred after May 2023 due to shifts in COVID-19 prevalence, the implementation of new health policies, or the effects of subsequent vaccination campaigns. This temporal limitation prevents the capture of evolving mortality trends that may have emerged beyond the dataset's coverage.</w:t>
      </w:r>
    </w:p>
    <w:p w14:paraId="793D72DE" w14:textId="77777777" w:rsidR="00E00B8E" w:rsidRDefault="00E00B8E" w:rsidP="00E00B8E">
      <w:pPr>
        <w:ind w:right="-169"/>
        <w:rPr>
          <w:rFonts w:eastAsia="Times New Roman"/>
          <w:color w:val="000000"/>
          <w:sz w:val="20"/>
          <w:szCs w:val="20"/>
          <w:lang w:val="en-HK"/>
        </w:rPr>
      </w:pPr>
      <w:r w:rsidRPr="00E00B8E">
        <w:rPr>
          <w:rFonts w:eastAsia="Times New Roman"/>
          <w:color w:val="000000"/>
          <w:sz w:val="20"/>
          <w:szCs w:val="20"/>
          <w:lang w:val="en-HK"/>
        </w:rPr>
        <w:t>In summary, the lack of pre-vaccination mortality data and the restricted timeframe of the dataset constrain the study’s ability to provide a comprehensive analysis of mortality patterns, particularly in the context of long-term changes and health policy developments after May 2023.</w:t>
      </w:r>
    </w:p>
    <w:p w14:paraId="724697ED" w14:textId="77777777" w:rsidR="00E00B8E" w:rsidRDefault="00E00B8E" w:rsidP="00E00B8E">
      <w:pPr>
        <w:ind w:right="-169"/>
        <w:rPr>
          <w:b/>
          <w:sz w:val="24"/>
          <w:szCs w:val="24"/>
          <w:lang w:val="en-GB"/>
        </w:rPr>
      </w:pPr>
    </w:p>
    <w:p w14:paraId="7F32F79F" w14:textId="3F3C5111" w:rsidR="00C862F8" w:rsidRDefault="00BA3752" w:rsidP="00E00B8E">
      <w:pPr>
        <w:ind w:right="-169"/>
        <w:rPr>
          <w:b/>
          <w:sz w:val="24"/>
          <w:szCs w:val="24"/>
          <w:lang w:val="en-GB"/>
        </w:rPr>
      </w:pPr>
      <w:r>
        <w:rPr>
          <w:b/>
          <w:sz w:val="24"/>
          <w:szCs w:val="24"/>
          <w:lang w:val="en-GB"/>
        </w:rPr>
        <w:t>6</w:t>
      </w:r>
      <w:r w:rsidR="00740841" w:rsidRPr="00740841">
        <w:rPr>
          <w:b/>
          <w:sz w:val="24"/>
          <w:szCs w:val="24"/>
          <w:lang w:val="en-GB"/>
        </w:rPr>
        <w:t xml:space="preserve">. </w:t>
      </w:r>
      <w:r w:rsidR="002C4C2F" w:rsidRPr="00740841">
        <w:rPr>
          <w:b/>
          <w:sz w:val="24"/>
          <w:szCs w:val="24"/>
          <w:lang w:val="en-GB"/>
        </w:rPr>
        <w:t>Conclusion</w:t>
      </w:r>
    </w:p>
    <w:p w14:paraId="4EA76315" w14:textId="77777777" w:rsidR="00E00B8E" w:rsidRPr="00E00B8E" w:rsidRDefault="00E00B8E" w:rsidP="00E00B8E">
      <w:pPr>
        <w:ind w:right="-169"/>
        <w:rPr>
          <w:sz w:val="20"/>
          <w:szCs w:val="20"/>
          <w:lang w:val="en-HK"/>
        </w:rPr>
      </w:pPr>
      <w:r w:rsidRPr="00E00B8E">
        <w:rPr>
          <w:sz w:val="20"/>
          <w:szCs w:val="20"/>
          <w:lang w:val="en-HK"/>
        </w:rPr>
        <w:t>This study leveraged publicly available data from the UK Office for National Statistics (ONS) to investigate the relationship between COVID-19 vaccination status and all-cause mortality. The analysis revealed complex patterns across vaccination doses and age groups. In the short term, individuals recently vaccinated with the first dose exhibited elevated mortality rates compared to the unvaccinated reference group, particularly among older age cohorts. These initial spikes were likely driven by confounding by indication, where vaccination campaigns prioritized clinically vulnerable individuals, and harvesting effects, where frail individuals with pre-existing conditions succumbed earlier. Over time, as individuals progressed to their second and third doses, these mortality rates decreased substantially, with rate ratios (RRs) often falling below 1.0, indicating a robust protective effect of vaccination.</w:t>
      </w:r>
    </w:p>
    <w:p w14:paraId="052EEA08" w14:textId="77777777" w:rsidR="00E00B8E" w:rsidRPr="00E00B8E" w:rsidRDefault="00E00B8E" w:rsidP="00E00B8E">
      <w:pPr>
        <w:ind w:right="-169"/>
        <w:rPr>
          <w:sz w:val="20"/>
          <w:szCs w:val="20"/>
          <w:lang w:val="en-HK"/>
        </w:rPr>
      </w:pPr>
      <w:r w:rsidRPr="00E00B8E">
        <w:rPr>
          <w:sz w:val="20"/>
          <w:szCs w:val="20"/>
          <w:lang w:val="en-HK"/>
        </w:rPr>
        <w:t>The Negative Binomial regression further validated this trend, showing a statistically significant reduction in all-cause mortality across all age groups for fully vaccinated individuals. Younger cohorts (18–39 years) demonstrated smaller absolute reductions due to their already low baseline mortality, while middle-aged groups (40–79 years) experienced the most pronounced benefits. In contrast, among the oldest cohorts (80+ years), the protective effect was more attenuated but still present, reflecting the higher frailty and prevalence of chronic conditions in this population.</w:t>
      </w:r>
    </w:p>
    <w:p w14:paraId="1905B38D" w14:textId="7C4AFFD8" w:rsidR="002C4C2F" w:rsidRPr="00E00B8E" w:rsidRDefault="00E00B8E" w:rsidP="00E00B8E">
      <w:pPr>
        <w:ind w:right="-169"/>
        <w:rPr>
          <w:sz w:val="20"/>
          <w:szCs w:val="20"/>
          <w:lang w:val="en-HK"/>
        </w:rPr>
      </w:pPr>
      <w:r w:rsidRPr="00E00B8E">
        <w:rPr>
          <w:sz w:val="20"/>
          <w:szCs w:val="20"/>
          <w:lang w:val="en-HK"/>
        </w:rPr>
        <w:t>Interpreting these findings requires acknowledging several confounding factors. The healthy-vaccine bias, where vaccinated individuals tend to have healthier baseline behaviours and characteristics, may enhance the apparent protective effect. Similarly, confounding by indication inflates early mortality rates among the most vulnerable individuals vaccinated first. The harvesting effect also contributes to short-term spikes in mortality by excluding frail individuals from subsequent vaccination phases. Together, these factors illustrate the inherent challenges of assessing vaccine efficacy using real-world observational data and complicate causal interpretations. Overall, this analysis demonstrates the complex interplay between vaccination, cohort dynamics, and mortality patterns. While vaccination is clearly associated with reduced all-cause mortality, understanding its long-term effects requires more granular data, including individual-level comorbidity and behavioural factors, as well as extended observation periods. Future research should aim to address these gaps by incorporating detailed health metrics and examining mortality trends over longer timeframes to better elucidate the enduring impacts of COVID-19 vaccination.</w:t>
      </w:r>
    </w:p>
    <w:p w14:paraId="0AC5F2B4" w14:textId="77777777" w:rsidR="002C4C2F" w:rsidRPr="00193D4B" w:rsidRDefault="002C4C2F" w:rsidP="00193D4B">
      <w:pPr>
        <w:spacing w:before="240" w:after="240"/>
        <w:ind w:right="-169"/>
        <w:rPr>
          <w:sz w:val="20"/>
          <w:szCs w:val="20"/>
          <w:lang w:val="en-GB"/>
        </w:rPr>
      </w:pPr>
    </w:p>
    <w:p w14:paraId="66FCABFE" w14:textId="77777777" w:rsidR="002C4C2F" w:rsidRPr="00193D4B" w:rsidRDefault="002C4C2F" w:rsidP="00193D4B">
      <w:pPr>
        <w:spacing w:before="240" w:after="240"/>
        <w:ind w:right="-169"/>
        <w:rPr>
          <w:sz w:val="20"/>
          <w:szCs w:val="20"/>
          <w:lang w:val="en-GB"/>
        </w:rPr>
      </w:pPr>
      <w:r w:rsidRPr="00193D4B">
        <w:rPr>
          <w:sz w:val="20"/>
          <w:szCs w:val="20"/>
          <w:lang w:val="en-GB"/>
        </w:rPr>
        <w:br w:type="page"/>
      </w:r>
    </w:p>
    <w:p w14:paraId="3D2C09FF" w14:textId="77777777" w:rsidR="002C4C2F" w:rsidRPr="00BA3752" w:rsidRDefault="002C4C2F" w:rsidP="00193D4B">
      <w:pPr>
        <w:ind w:right="-169"/>
        <w:rPr>
          <w:rFonts w:asciiTheme="minorHAnsi" w:hAnsiTheme="minorHAnsi" w:cstheme="minorHAnsi"/>
          <w:b/>
          <w:bCs/>
          <w:sz w:val="28"/>
          <w:szCs w:val="28"/>
          <w:lang w:val="en-GB"/>
        </w:rPr>
      </w:pPr>
      <w:r w:rsidRPr="00BA3752">
        <w:rPr>
          <w:rFonts w:asciiTheme="minorHAnsi" w:hAnsiTheme="minorHAnsi" w:cstheme="minorHAnsi"/>
          <w:b/>
          <w:bCs/>
          <w:sz w:val="28"/>
          <w:szCs w:val="28"/>
          <w:lang w:val="en-GB"/>
        </w:rPr>
        <w:lastRenderedPageBreak/>
        <w:t xml:space="preserve">Reference: </w:t>
      </w:r>
    </w:p>
    <w:p w14:paraId="6538D726"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proofErr w:type="spellStart"/>
      <w:r w:rsidRPr="00193D4B">
        <w:rPr>
          <w:rFonts w:asciiTheme="minorHAnsi" w:hAnsiTheme="minorHAnsi" w:cstheme="minorHAnsi"/>
          <w:color w:val="333333"/>
          <w:sz w:val="20"/>
          <w:szCs w:val="20"/>
          <w:lang w:val="en-GB"/>
        </w:rPr>
        <w:t>Acuti</w:t>
      </w:r>
      <w:proofErr w:type="spellEnd"/>
      <w:r w:rsidRPr="00193D4B">
        <w:rPr>
          <w:rFonts w:asciiTheme="minorHAnsi" w:hAnsiTheme="minorHAnsi" w:cstheme="minorHAnsi"/>
          <w:color w:val="333333"/>
          <w:sz w:val="20"/>
          <w:szCs w:val="20"/>
          <w:lang w:val="en-GB"/>
        </w:rPr>
        <w:t xml:space="preserve"> </w:t>
      </w:r>
      <w:proofErr w:type="spellStart"/>
      <w:r w:rsidRPr="00193D4B">
        <w:rPr>
          <w:rFonts w:asciiTheme="minorHAnsi" w:hAnsiTheme="minorHAnsi" w:cstheme="minorHAnsi"/>
          <w:color w:val="333333"/>
          <w:sz w:val="20"/>
          <w:szCs w:val="20"/>
          <w:lang w:val="en-GB"/>
        </w:rPr>
        <w:t>Martellucci</w:t>
      </w:r>
      <w:proofErr w:type="spellEnd"/>
      <w:r w:rsidRPr="00193D4B">
        <w:rPr>
          <w:rFonts w:asciiTheme="minorHAnsi" w:hAnsiTheme="minorHAnsi" w:cstheme="minorHAnsi"/>
          <w:color w:val="333333"/>
          <w:sz w:val="20"/>
          <w:szCs w:val="20"/>
          <w:lang w:val="en-GB"/>
        </w:rPr>
        <w:t xml:space="preserve">, C., Flacco, M. E., </w:t>
      </w:r>
      <w:proofErr w:type="spellStart"/>
      <w:r w:rsidRPr="00193D4B">
        <w:rPr>
          <w:rFonts w:asciiTheme="minorHAnsi" w:hAnsiTheme="minorHAnsi" w:cstheme="minorHAnsi"/>
          <w:color w:val="333333"/>
          <w:sz w:val="20"/>
          <w:szCs w:val="20"/>
          <w:lang w:val="en-GB"/>
        </w:rPr>
        <w:t>Soldato</w:t>
      </w:r>
      <w:proofErr w:type="spellEnd"/>
      <w:r w:rsidRPr="00193D4B">
        <w:rPr>
          <w:rFonts w:asciiTheme="minorHAnsi" w:hAnsiTheme="minorHAnsi" w:cstheme="minorHAnsi"/>
          <w:color w:val="333333"/>
          <w:sz w:val="20"/>
          <w:szCs w:val="20"/>
          <w:lang w:val="en-GB"/>
        </w:rPr>
        <w:t xml:space="preserve">, G., Di Martino, G., Carota, R., </w:t>
      </w:r>
      <w:proofErr w:type="spellStart"/>
      <w:r w:rsidRPr="00193D4B">
        <w:rPr>
          <w:rFonts w:asciiTheme="minorHAnsi" w:hAnsiTheme="minorHAnsi" w:cstheme="minorHAnsi"/>
          <w:color w:val="333333"/>
          <w:sz w:val="20"/>
          <w:szCs w:val="20"/>
          <w:lang w:val="en-GB"/>
        </w:rPr>
        <w:t>Caponetti</w:t>
      </w:r>
      <w:proofErr w:type="spellEnd"/>
      <w:r w:rsidRPr="00193D4B">
        <w:rPr>
          <w:rFonts w:asciiTheme="minorHAnsi" w:hAnsiTheme="minorHAnsi" w:cstheme="minorHAnsi"/>
          <w:color w:val="333333"/>
          <w:sz w:val="20"/>
          <w:szCs w:val="20"/>
          <w:lang w:val="en-GB"/>
        </w:rPr>
        <w:t xml:space="preserve">, A., &amp; </w:t>
      </w:r>
      <w:proofErr w:type="spellStart"/>
      <w:r w:rsidRPr="00193D4B">
        <w:rPr>
          <w:rFonts w:asciiTheme="minorHAnsi" w:hAnsiTheme="minorHAnsi" w:cstheme="minorHAnsi"/>
          <w:color w:val="333333"/>
          <w:sz w:val="20"/>
          <w:szCs w:val="20"/>
          <w:lang w:val="en-GB"/>
        </w:rPr>
        <w:t>Manzoli</w:t>
      </w:r>
      <w:proofErr w:type="spellEnd"/>
      <w:r w:rsidRPr="00193D4B">
        <w:rPr>
          <w:rFonts w:asciiTheme="minorHAnsi" w:hAnsiTheme="minorHAnsi" w:cstheme="minorHAnsi"/>
          <w:color w:val="333333"/>
          <w:sz w:val="20"/>
          <w:szCs w:val="20"/>
          <w:lang w:val="en-GB"/>
        </w:rPr>
        <w:t xml:space="preserve">, L. (2022). Effectiveness of COVID-19 Vaccines in the General Population of an Italian Region before and during the Omicron Wave. Vaccines, 10(5), 662. </w:t>
      </w:r>
      <w:r>
        <w:fldChar w:fldCharType="begin"/>
      </w:r>
      <w:r w:rsidRPr="00F44A43">
        <w:rPr>
          <w:lang w:val="en-HK"/>
        </w:rPr>
        <w:instrText>HYPERLINK "https://doi.org/10.3390/vaccines10050662"</w:instrText>
      </w:r>
      <w:r>
        <w:fldChar w:fldCharType="separate"/>
      </w:r>
      <w:r w:rsidRPr="00193D4B">
        <w:rPr>
          <w:rStyle w:val="Hyperlink"/>
          <w:rFonts w:asciiTheme="minorHAnsi" w:hAnsiTheme="minorHAnsi" w:cstheme="minorHAnsi"/>
          <w:sz w:val="20"/>
          <w:szCs w:val="20"/>
          <w:lang w:val="en-GB"/>
        </w:rPr>
        <w:t>https://doi.org/10.3390/vaccines10050662</w:t>
      </w:r>
      <w:r>
        <w:fldChar w:fldCharType="end"/>
      </w:r>
    </w:p>
    <w:p w14:paraId="09FAEFC9" w14:textId="68261088" w:rsidR="009A4BC1" w:rsidRPr="009A4BC1" w:rsidRDefault="009A4BC1" w:rsidP="00193D4B">
      <w:pPr>
        <w:pBdr>
          <w:bottom w:val="none" w:sz="0" w:space="11" w:color="auto"/>
        </w:pBdr>
        <w:shd w:val="clear" w:color="auto" w:fill="FFFFFF"/>
        <w:ind w:right="-169"/>
        <w:rPr>
          <w:rFonts w:asciiTheme="minorHAnsi" w:hAnsiTheme="minorHAnsi" w:cstheme="minorHAnsi"/>
          <w:color w:val="212121"/>
          <w:sz w:val="20"/>
          <w:szCs w:val="20"/>
          <w:shd w:val="clear" w:color="auto" w:fill="FFFFFF"/>
          <w:lang w:val="en-HK"/>
        </w:rPr>
      </w:pPr>
      <w:proofErr w:type="spellStart"/>
      <w:r w:rsidRPr="009A4BC1">
        <w:rPr>
          <w:rFonts w:asciiTheme="minorHAnsi" w:hAnsiTheme="minorHAnsi" w:cstheme="minorHAnsi"/>
          <w:color w:val="212121"/>
          <w:sz w:val="20"/>
          <w:szCs w:val="20"/>
          <w:shd w:val="clear" w:color="auto" w:fill="FFFFFF"/>
          <w:lang w:val="en-HK"/>
        </w:rPr>
        <w:t>Agampodi</w:t>
      </w:r>
      <w:proofErr w:type="spellEnd"/>
      <w:r w:rsidRPr="009A4BC1">
        <w:rPr>
          <w:rFonts w:asciiTheme="minorHAnsi" w:hAnsiTheme="minorHAnsi" w:cstheme="minorHAnsi"/>
          <w:color w:val="212121"/>
          <w:sz w:val="20"/>
          <w:szCs w:val="20"/>
          <w:shd w:val="clear" w:color="auto" w:fill="FFFFFF"/>
          <w:lang w:val="en-HK"/>
        </w:rPr>
        <w:t xml:space="preserve">, S., Tadesse, B. T., </w:t>
      </w:r>
      <w:proofErr w:type="spellStart"/>
      <w:r w:rsidRPr="009A4BC1">
        <w:rPr>
          <w:rFonts w:asciiTheme="minorHAnsi" w:hAnsiTheme="minorHAnsi" w:cstheme="minorHAnsi"/>
          <w:color w:val="212121"/>
          <w:sz w:val="20"/>
          <w:szCs w:val="20"/>
          <w:shd w:val="clear" w:color="auto" w:fill="FFFFFF"/>
          <w:lang w:val="en-HK"/>
        </w:rPr>
        <w:t>Sahastrabuddhe</w:t>
      </w:r>
      <w:proofErr w:type="spellEnd"/>
      <w:r w:rsidRPr="009A4BC1">
        <w:rPr>
          <w:rFonts w:asciiTheme="minorHAnsi" w:hAnsiTheme="minorHAnsi" w:cstheme="minorHAnsi"/>
          <w:color w:val="212121"/>
          <w:sz w:val="20"/>
          <w:szCs w:val="20"/>
          <w:shd w:val="clear" w:color="auto" w:fill="FFFFFF"/>
          <w:lang w:val="en-HK"/>
        </w:rPr>
        <w:t xml:space="preserve">, S., </w:t>
      </w:r>
      <w:proofErr w:type="spellStart"/>
      <w:r w:rsidRPr="009A4BC1">
        <w:rPr>
          <w:rFonts w:asciiTheme="minorHAnsi" w:hAnsiTheme="minorHAnsi" w:cstheme="minorHAnsi"/>
          <w:color w:val="212121"/>
          <w:sz w:val="20"/>
          <w:szCs w:val="20"/>
          <w:shd w:val="clear" w:color="auto" w:fill="FFFFFF"/>
          <w:lang w:val="en-HK"/>
        </w:rPr>
        <w:t>Excler</w:t>
      </w:r>
      <w:proofErr w:type="spellEnd"/>
      <w:r w:rsidRPr="009A4BC1">
        <w:rPr>
          <w:rFonts w:asciiTheme="minorHAnsi" w:hAnsiTheme="minorHAnsi" w:cstheme="minorHAnsi"/>
          <w:color w:val="212121"/>
          <w:sz w:val="20"/>
          <w:szCs w:val="20"/>
          <w:shd w:val="clear" w:color="auto" w:fill="FFFFFF"/>
          <w:lang w:val="en-HK"/>
        </w:rPr>
        <w:t>, J. L., &amp; Kim, J. H. (2024). Biases in COVID-19 vaccine effectiveness studies using cohort design. Frontiers in medicine, 11, 1474045. https://doi.org/10.3389/fmed.2024.1474045</w:t>
      </w:r>
    </w:p>
    <w:p w14:paraId="24559FA9" w14:textId="15D791A4"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212121"/>
          <w:sz w:val="20"/>
          <w:szCs w:val="20"/>
          <w:shd w:val="clear" w:color="auto" w:fill="FFFFFF"/>
          <w:lang w:val="en-GB"/>
        </w:rPr>
        <w:t>Altman, D. G., &amp; Bland, J. M. (2011). How to obtain the P value from a confidence interval. </w:t>
      </w:r>
      <w:r w:rsidRPr="00193D4B">
        <w:rPr>
          <w:rFonts w:asciiTheme="minorHAnsi" w:hAnsiTheme="minorHAnsi" w:cstheme="minorHAnsi"/>
          <w:i/>
          <w:iCs/>
          <w:color w:val="212121"/>
          <w:sz w:val="20"/>
          <w:szCs w:val="20"/>
          <w:shd w:val="clear" w:color="auto" w:fill="FFFFFF"/>
          <w:lang w:val="en-GB"/>
        </w:rPr>
        <w:t>BMJ (Clinical research ed.)</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343</w:t>
      </w:r>
      <w:r w:rsidRPr="00193D4B">
        <w:rPr>
          <w:rFonts w:asciiTheme="minorHAnsi" w:hAnsiTheme="minorHAnsi" w:cstheme="minorHAnsi"/>
          <w:color w:val="212121"/>
          <w:sz w:val="20"/>
          <w:szCs w:val="20"/>
          <w:shd w:val="clear" w:color="auto" w:fill="FFFFFF"/>
          <w:lang w:val="en-GB"/>
        </w:rPr>
        <w:t xml:space="preserve">, d2304. </w:t>
      </w:r>
      <w:r>
        <w:fldChar w:fldCharType="begin"/>
      </w:r>
      <w:r w:rsidRPr="00F44A43">
        <w:rPr>
          <w:lang w:val="en-HK"/>
        </w:rPr>
        <w:instrText>HYPERLINK "https://doi.org/10.1136/bmj.d2304"</w:instrText>
      </w:r>
      <w:r>
        <w:fldChar w:fldCharType="separate"/>
      </w:r>
      <w:r w:rsidRPr="00193D4B">
        <w:rPr>
          <w:rStyle w:val="Hyperlink"/>
          <w:rFonts w:asciiTheme="minorHAnsi" w:hAnsiTheme="minorHAnsi" w:cstheme="minorHAnsi"/>
          <w:sz w:val="20"/>
          <w:szCs w:val="20"/>
          <w:shd w:val="clear" w:color="auto" w:fill="FFFFFF"/>
          <w:lang w:val="en-GB"/>
        </w:rPr>
        <w:t>https://doi.org/10.1136/bmj.d2304</w:t>
      </w:r>
      <w:r>
        <w:fldChar w:fldCharType="end"/>
      </w:r>
    </w:p>
    <w:p w14:paraId="736C4C65"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1F1F1F"/>
          <w:sz w:val="20"/>
          <w:szCs w:val="20"/>
          <w:lang w:val="en-GB"/>
        </w:rPr>
        <w:t xml:space="preserve">Baden, L. R., El </w:t>
      </w:r>
      <w:proofErr w:type="spellStart"/>
      <w:r w:rsidRPr="00193D4B">
        <w:rPr>
          <w:rFonts w:asciiTheme="minorHAnsi" w:hAnsiTheme="minorHAnsi" w:cstheme="minorHAnsi"/>
          <w:color w:val="1F1F1F"/>
          <w:sz w:val="20"/>
          <w:szCs w:val="20"/>
          <w:lang w:val="en-GB"/>
        </w:rPr>
        <w:t>Sahly</w:t>
      </w:r>
      <w:proofErr w:type="spellEnd"/>
      <w:r w:rsidRPr="00193D4B">
        <w:rPr>
          <w:rFonts w:asciiTheme="minorHAnsi" w:hAnsiTheme="minorHAnsi" w:cstheme="minorHAnsi"/>
          <w:color w:val="1F1F1F"/>
          <w:sz w:val="20"/>
          <w:szCs w:val="20"/>
          <w:lang w:val="en-GB"/>
        </w:rPr>
        <w:t xml:space="preserve">, H. M., </w:t>
      </w:r>
      <w:proofErr w:type="spellStart"/>
      <w:r w:rsidRPr="00193D4B">
        <w:rPr>
          <w:rFonts w:asciiTheme="minorHAnsi" w:hAnsiTheme="minorHAnsi" w:cstheme="minorHAnsi"/>
          <w:color w:val="1F1F1F"/>
          <w:sz w:val="20"/>
          <w:szCs w:val="20"/>
          <w:lang w:val="en-GB"/>
        </w:rPr>
        <w:t>Essink</w:t>
      </w:r>
      <w:proofErr w:type="spellEnd"/>
      <w:r w:rsidRPr="00193D4B">
        <w:rPr>
          <w:rFonts w:asciiTheme="minorHAnsi" w:hAnsiTheme="minorHAnsi" w:cstheme="minorHAnsi"/>
          <w:color w:val="1F1F1F"/>
          <w:sz w:val="20"/>
          <w:szCs w:val="20"/>
          <w:lang w:val="en-GB"/>
        </w:rPr>
        <w:t xml:space="preserve">, B., </w:t>
      </w:r>
      <w:proofErr w:type="spellStart"/>
      <w:r w:rsidRPr="00193D4B">
        <w:rPr>
          <w:rFonts w:asciiTheme="minorHAnsi" w:hAnsiTheme="minorHAnsi" w:cstheme="minorHAnsi"/>
          <w:color w:val="1F1F1F"/>
          <w:sz w:val="20"/>
          <w:szCs w:val="20"/>
          <w:lang w:val="en-GB"/>
        </w:rPr>
        <w:t>Kotloff</w:t>
      </w:r>
      <w:proofErr w:type="spellEnd"/>
      <w:r w:rsidRPr="00193D4B">
        <w:rPr>
          <w:rFonts w:asciiTheme="minorHAnsi" w:hAnsiTheme="minorHAnsi" w:cstheme="minorHAnsi"/>
          <w:color w:val="1F1F1F"/>
          <w:sz w:val="20"/>
          <w:szCs w:val="20"/>
          <w:lang w:val="en-GB"/>
        </w:rPr>
        <w:t xml:space="preserve">, K., Frey, S., Novak, R., </w:t>
      </w:r>
      <w:proofErr w:type="spellStart"/>
      <w:r w:rsidRPr="00193D4B">
        <w:rPr>
          <w:rFonts w:asciiTheme="minorHAnsi" w:hAnsiTheme="minorHAnsi" w:cstheme="minorHAnsi"/>
          <w:color w:val="1F1F1F"/>
          <w:sz w:val="20"/>
          <w:szCs w:val="20"/>
          <w:lang w:val="en-GB"/>
        </w:rPr>
        <w:t>Diemert</w:t>
      </w:r>
      <w:proofErr w:type="spellEnd"/>
      <w:r w:rsidRPr="00193D4B">
        <w:rPr>
          <w:rFonts w:asciiTheme="minorHAnsi" w:hAnsiTheme="minorHAnsi" w:cstheme="minorHAnsi"/>
          <w:color w:val="1F1F1F"/>
          <w:sz w:val="20"/>
          <w:szCs w:val="20"/>
          <w:lang w:val="en-GB"/>
        </w:rPr>
        <w:t xml:space="preserve">, D., Spector, S. A., </w:t>
      </w:r>
      <w:proofErr w:type="spellStart"/>
      <w:r w:rsidRPr="00193D4B">
        <w:rPr>
          <w:rFonts w:asciiTheme="minorHAnsi" w:hAnsiTheme="minorHAnsi" w:cstheme="minorHAnsi"/>
          <w:color w:val="1F1F1F"/>
          <w:sz w:val="20"/>
          <w:szCs w:val="20"/>
          <w:lang w:val="en-GB"/>
        </w:rPr>
        <w:t>Rouphael</w:t>
      </w:r>
      <w:proofErr w:type="spellEnd"/>
      <w:r w:rsidRPr="00193D4B">
        <w:rPr>
          <w:rFonts w:asciiTheme="minorHAnsi" w:hAnsiTheme="minorHAnsi" w:cstheme="minorHAnsi"/>
          <w:color w:val="1F1F1F"/>
          <w:sz w:val="20"/>
          <w:szCs w:val="20"/>
          <w:lang w:val="en-GB"/>
        </w:rPr>
        <w:t xml:space="preserve">, N., Creech, C. B., McGettigan, J., </w:t>
      </w:r>
      <w:proofErr w:type="spellStart"/>
      <w:r w:rsidRPr="00193D4B">
        <w:rPr>
          <w:rFonts w:asciiTheme="minorHAnsi" w:hAnsiTheme="minorHAnsi" w:cstheme="minorHAnsi"/>
          <w:color w:val="1F1F1F"/>
          <w:sz w:val="20"/>
          <w:szCs w:val="20"/>
          <w:lang w:val="en-GB"/>
        </w:rPr>
        <w:t>Khetan</w:t>
      </w:r>
      <w:proofErr w:type="spellEnd"/>
      <w:r w:rsidRPr="00193D4B">
        <w:rPr>
          <w:rFonts w:asciiTheme="minorHAnsi" w:hAnsiTheme="minorHAnsi" w:cstheme="minorHAnsi"/>
          <w:color w:val="1F1F1F"/>
          <w:sz w:val="20"/>
          <w:szCs w:val="20"/>
          <w:lang w:val="en-GB"/>
        </w:rPr>
        <w:t xml:space="preserve">, S., Segall, N., Solis, J., </w:t>
      </w:r>
      <w:proofErr w:type="spellStart"/>
      <w:r w:rsidRPr="00193D4B">
        <w:rPr>
          <w:rFonts w:asciiTheme="minorHAnsi" w:hAnsiTheme="minorHAnsi" w:cstheme="minorHAnsi"/>
          <w:color w:val="1F1F1F"/>
          <w:sz w:val="20"/>
          <w:szCs w:val="20"/>
          <w:lang w:val="en-GB"/>
        </w:rPr>
        <w:t>Brosz</w:t>
      </w:r>
      <w:proofErr w:type="spellEnd"/>
      <w:r w:rsidRPr="00193D4B">
        <w:rPr>
          <w:rFonts w:asciiTheme="minorHAnsi" w:hAnsiTheme="minorHAnsi" w:cstheme="minorHAnsi"/>
          <w:color w:val="1F1F1F"/>
          <w:sz w:val="20"/>
          <w:szCs w:val="20"/>
          <w:lang w:val="en-GB"/>
        </w:rPr>
        <w:t xml:space="preserve">, A., Fierro, C., Schwartz, H., Neuzil, K., Corey, L., Gilbert, P., … COVE Study Group (2021). Efficacy and Safety of the mRNA-1273 SARS-CoV-2 Vaccine. The New England journal of medicine, 384(5), 403–416. </w:t>
      </w:r>
      <w:r>
        <w:fldChar w:fldCharType="begin"/>
      </w:r>
      <w:r w:rsidRPr="00F44A43">
        <w:rPr>
          <w:lang w:val="en-HK"/>
        </w:rPr>
        <w:instrText>HYPERLINK "https://doi.org/10.1056/NEJMoa2035389"</w:instrText>
      </w:r>
      <w:r>
        <w:fldChar w:fldCharType="separate"/>
      </w:r>
      <w:r w:rsidRPr="00193D4B">
        <w:rPr>
          <w:rStyle w:val="Hyperlink"/>
          <w:rFonts w:asciiTheme="minorHAnsi" w:hAnsiTheme="minorHAnsi" w:cstheme="minorHAnsi"/>
          <w:sz w:val="20"/>
          <w:szCs w:val="20"/>
          <w:lang w:val="en-GB"/>
        </w:rPr>
        <w:t>https://doi.org/10.1056/NEJMoa2035389</w:t>
      </w:r>
      <w:r>
        <w:fldChar w:fldCharType="end"/>
      </w:r>
    </w:p>
    <w:p w14:paraId="22A39CD6" w14:textId="77777777" w:rsidR="006408C8" w:rsidRDefault="006408C8" w:rsidP="00193D4B">
      <w:pPr>
        <w:pBdr>
          <w:bottom w:val="none" w:sz="0" w:space="11" w:color="auto"/>
        </w:pBdr>
        <w:shd w:val="clear" w:color="auto" w:fill="FFFFFF"/>
        <w:ind w:right="-169"/>
        <w:rPr>
          <w:sz w:val="20"/>
          <w:szCs w:val="20"/>
          <w:lang w:val="en-GB"/>
        </w:rPr>
      </w:pPr>
      <w:proofErr w:type="spellStart"/>
      <w:r w:rsidRPr="00193D4B">
        <w:rPr>
          <w:rFonts w:asciiTheme="minorHAnsi" w:hAnsiTheme="minorHAnsi" w:cstheme="minorHAnsi"/>
          <w:color w:val="212121"/>
          <w:sz w:val="20"/>
          <w:szCs w:val="20"/>
          <w:shd w:val="clear" w:color="auto" w:fill="FFFFFF"/>
          <w:lang w:val="en-GB"/>
        </w:rPr>
        <w:t>Berrino</w:t>
      </w:r>
      <w:proofErr w:type="spellEnd"/>
      <w:r w:rsidRPr="00193D4B">
        <w:rPr>
          <w:rFonts w:asciiTheme="minorHAnsi" w:hAnsiTheme="minorHAnsi" w:cstheme="minorHAnsi"/>
          <w:color w:val="212121"/>
          <w:sz w:val="20"/>
          <w:szCs w:val="20"/>
          <w:shd w:val="clear" w:color="auto" w:fill="FFFFFF"/>
          <w:lang w:val="en-GB"/>
        </w:rPr>
        <w:t xml:space="preserve">, F., </w:t>
      </w:r>
      <w:proofErr w:type="spellStart"/>
      <w:r w:rsidRPr="00193D4B">
        <w:rPr>
          <w:rFonts w:asciiTheme="minorHAnsi" w:hAnsiTheme="minorHAnsi" w:cstheme="minorHAnsi"/>
          <w:color w:val="212121"/>
          <w:sz w:val="20"/>
          <w:szCs w:val="20"/>
          <w:shd w:val="clear" w:color="auto" w:fill="FFFFFF"/>
          <w:lang w:val="en-GB"/>
        </w:rPr>
        <w:t>Donzelli</w:t>
      </w:r>
      <w:proofErr w:type="spellEnd"/>
      <w:r w:rsidRPr="00193D4B">
        <w:rPr>
          <w:rFonts w:asciiTheme="minorHAnsi" w:hAnsiTheme="minorHAnsi" w:cstheme="minorHAnsi"/>
          <w:color w:val="212121"/>
          <w:sz w:val="20"/>
          <w:szCs w:val="20"/>
          <w:shd w:val="clear" w:color="auto" w:fill="FFFFFF"/>
          <w:lang w:val="en-GB"/>
        </w:rPr>
        <w:t xml:space="preserve">, A., </w:t>
      </w:r>
      <w:proofErr w:type="spellStart"/>
      <w:r w:rsidRPr="00193D4B">
        <w:rPr>
          <w:rFonts w:asciiTheme="minorHAnsi" w:hAnsiTheme="minorHAnsi" w:cstheme="minorHAnsi"/>
          <w:color w:val="212121"/>
          <w:sz w:val="20"/>
          <w:szCs w:val="20"/>
          <w:shd w:val="clear" w:color="auto" w:fill="FFFFFF"/>
          <w:lang w:val="en-GB"/>
        </w:rPr>
        <w:t>Bellavite</w:t>
      </w:r>
      <w:proofErr w:type="spellEnd"/>
      <w:r w:rsidRPr="00193D4B">
        <w:rPr>
          <w:rFonts w:asciiTheme="minorHAnsi" w:hAnsiTheme="minorHAnsi" w:cstheme="minorHAnsi"/>
          <w:color w:val="212121"/>
          <w:sz w:val="20"/>
          <w:szCs w:val="20"/>
          <w:shd w:val="clear" w:color="auto" w:fill="FFFFFF"/>
          <w:lang w:val="en-GB"/>
        </w:rPr>
        <w:t xml:space="preserve">, P., &amp; Malatesta, G. (2023). COVID-19 vaccination and all-cause and non-COVID-19 mortality. A revaluation of a study carried out in an Italian Province. </w:t>
      </w:r>
      <w:proofErr w:type="spellStart"/>
      <w:r w:rsidRPr="00193D4B">
        <w:rPr>
          <w:rFonts w:asciiTheme="minorHAnsi" w:hAnsiTheme="minorHAnsi" w:cstheme="minorHAnsi"/>
          <w:color w:val="212121"/>
          <w:sz w:val="20"/>
          <w:szCs w:val="20"/>
          <w:shd w:val="clear" w:color="auto" w:fill="FFFFFF"/>
          <w:lang w:val="en-GB"/>
        </w:rPr>
        <w:t>Vaccinazione</w:t>
      </w:r>
      <w:proofErr w:type="spellEnd"/>
      <w:r w:rsidRPr="00193D4B">
        <w:rPr>
          <w:rFonts w:asciiTheme="minorHAnsi" w:hAnsiTheme="minorHAnsi" w:cstheme="minorHAnsi"/>
          <w:color w:val="212121"/>
          <w:sz w:val="20"/>
          <w:szCs w:val="20"/>
          <w:shd w:val="clear" w:color="auto" w:fill="FFFFFF"/>
          <w:lang w:val="en-GB"/>
        </w:rPr>
        <w:t xml:space="preserve"> COVID-19 e </w:t>
      </w:r>
      <w:proofErr w:type="spellStart"/>
      <w:r w:rsidRPr="00193D4B">
        <w:rPr>
          <w:rFonts w:asciiTheme="minorHAnsi" w:hAnsiTheme="minorHAnsi" w:cstheme="minorHAnsi"/>
          <w:color w:val="212121"/>
          <w:sz w:val="20"/>
          <w:szCs w:val="20"/>
          <w:shd w:val="clear" w:color="auto" w:fill="FFFFFF"/>
          <w:lang w:val="en-GB"/>
        </w:rPr>
        <w:t>mortalità</w:t>
      </w:r>
      <w:proofErr w:type="spellEnd"/>
      <w:r w:rsidRPr="00193D4B">
        <w:rPr>
          <w:rFonts w:asciiTheme="minorHAnsi" w:hAnsiTheme="minorHAnsi" w:cstheme="minorHAnsi"/>
          <w:color w:val="212121"/>
          <w:sz w:val="20"/>
          <w:szCs w:val="20"/>
          <w:shd w:val="clear" w:color="auto" w:fill="FFFFFF"/>
          <w:lang w:val="en-GB"/>
        </w:rPr>
        <w:t xml:space="preserve"> per tutte le cause e non COVID-19. </w:t>
      </w:r>
      <w:proofErr w:type="spellStart"/>
      <w:r w:rsidRPr="00193D4B">
        <w:rPr>
          <w:rFonts w:asciiTheme="minorHAnsi" w:hAnsiTheme="minorHAnsi" w:cstheme="minorHAnsi"/>
          <w:color w:val="212121"/>
          <w:sz w:val="20"/>
          <w:szCs w:val="20"/>
          <w:shd w:val="clear" w:color="auto" w:fill="FFFFFF"/>
          <w:lang w:val="en-GB"/>
        </w:rPr>
        <w:t>Rivalutazione</w:t>
      </w:r>
      <w:proofErr w:type="spellEnd"/>
      <w:r w:rsidRPr="00193D4B">
        <w:rPr>
          <w:rFonts w:asciiTheme="minorHAnsi" w:hAnsiTheme="minorHAnsi" w:cstheme="minorHAnsi"/>
          <w:color w:val="212121"/>
          <w:sz w:val="20"/>
          <w:szCs w:val="20"/>
          <w:shd w:val="clear" w:color="auto" w:fill="FFFFFF"/>
          <w:lang w:val="en-GB"/>
        </w:rPr>
        <w:t xml:space="preserve"> di uno studio </w:t>
      </w:r>
      <w:proofErr w:type="spellStart"/>
      <w:r w:rsidRPr="00193D4B">
        <w:rPr>
          <w:rFonts w:asciiTheme="minorHAnsi" w:hAnsiTheme="minorHAnsi" w:cstheme="minorHAnsi"/>
          <w:color w:val="212121"/>
          <w:sz w:val="20"/>
          <w:szCs w:val="20"/>
          <w:shd w:val="clear" w:color="auto" w:fill="FFFFFF"/>
          <w:lang w:val="en-GB"/>
        </w:rPr>
        <w:t>condotto</w:t>
      </w:r>
      <w:proofErr w:type="spellEnd"/>
      <w:r w:rsidRPr="00193D4B">
        <w:rPr>
          <w:rFonts w:asciiTheme="minorHAnsi" w:hAnsiTheme="minorHAnsi" w:cstheme="minorHAnsi"/>
          <w:color w:val="212121"/>
          <w:sz w:val="20"/>
          <w:szCs w:val="20"/>
          <w:shd w:val="clear" w:color="auto" w:fill="FFFFFF"/>
          <w:lang w:val="en-GB"/>
        </w:rPr>
        <w:t xml:space="preserve"> in </w:t>
      </w:r>
      <w:proofErr w:type="spellStart"/>
      <w:r w:rsidRPr="00193D4B">
        <w:rPr>
          <w:rFonts w:asciiTheme="minorHAnsi" w:hAnsiTheme="minorHAnsi" w:cstheme="minorHAnsi"/>
          <w:color w:val="212121"/>
          <w:sz w:val="20"/>
          <w:szCs w:val="20"/>
          <w:shd w:val="clear" w:color="auto" w:fill="FFFFFF"/>
          <w:lang w:val="en-GB"/>
        </w:rPr>
        <w:t>una</w:t>
      </w:r>
      <w:proofErr w:type="spellEnd"/>
      <w:r w:rsidRPr="00193D4B">
        <w:rPr>
          <w:rFonts w:asciiTheme="minorHAnsi" w:hAnsiTheme="minorHAnsi" w:cstheme="minorHAnsi"/>
          <w:color w:val="212121"/>
          <w:sz w:val="20"/>
          <w:szCs w:val="20"/>
          <w:shd w:val="clear" w:color="auto" w:fill="FFFFFF"/>
          <w:lang w:val="en-GB"/>
        </w:rPr>
        <w:t xml:space="preserve"> </w:t>
      </w:r>
      <w:proofErr w:type="spellStart"/>
      <w:r w:rsidRPr="00193D4B">
        <w:rPr>
          <w:rFonts w:asciiTheme="minorHAnsi" w:hAnsiTheme="minorHAnsi" w:cstheme="minorHAnsi"/>
          <w:color w:val="212121"/>
          <w:sz w:val="20"/>
          <w:szCs w:val="20"/>
          <w:shd w:val="clear" w:color="auto" w:fill="FFFFFF"/>
          <w:lang w:val="en-GB"/>
        </w:rPr>
        <w:t>provincia</w:t>
      </w:r>
      <w:proofErr w:type="spellEnd"/>
      <w:r w:rsidRPr="00193D4B">
        <w:rPr>
          <w:rFonts w:asciiTheme="minorHAnsi" w:hAnsiTheme="minorHAnsi" w:cstheme="minorHAnsi"/>
          <w:color w:val="212121"/>
          <w:sz w:val="20"/>
          <w:szCs w:val="20"/>
          <w:shd w:val="clear" w:color="auto" w:fill="FFFFFF"/>
          <w:lang w:val="en-GB"/>
        </w:rPr>
        <w:t xml:space="preserve"> </w:t>
      </w:r>
      <w:proofErr w:type="spellStart"/>
      <w:r w:rsidRPr="00193D4B">
        <w:rPr>
          <w:rFonts w:asciiTheme="minorHAnsi" w:hAnsiTheme="minorHAnsi" w:cstheme="minorHAnsi"/>
          <w:color w:val="212121"/>
          <w:sz w:val="20"/>
          <w:szCs w:val="20"/>
          <w:shd w:val="clear" w:color="auto" w:fill="FFFFFF"/>
          <w:lang w:val="en-GB"/>
        </w:rPr>
        <w:t>italiana</w:t>
      </w:r>
      <w:proofErr w:type="spellEnd"/>
      <w:r w:rsidRPr="00193D4B">
        <w:rPr>
          <w:rFonts w:asciiTheme="minorHAnsi" w:hAnsiTheme="minorHAnsi" w:cstheme="minorHAnsi"/>
          <w:color w:val="212121"/>
          <w:sz w:val="20"/>
          <w:szCs w:val="20"/>
          <w:shd w:val="clear" w:color="auto" w:fill="FFFFFF"/>
          <w:lang w:val="en-GB"/>
        </w:rPr>
        <w:t>. </w:t>
      </w:r>
      <w:proofErr w:type="spellStart"/>
      <w:r w:rsidRPr="00193D4B">
        <w:rPr>
          <w:rFonts w:asciiTheme="minorHAnsi" w:hAnsiTheme="minorHAnsi" w:cstheme="minorHAnsi"/>
          <w:i/>
          <w:iCs/>
          <w:color w:val="212121"/>
          <w:sz w:val="20"/>
          <w:szCs w:val="20"/>
          <w:shd w:val="clear" w:color="auto" w:fill="FFFFFF"/>
          <w:lang w:val="en-GB"/>
        </w:rPr>
        <w:t>Epidemiologia</w:t>
      </w:r>
      <w:proofErr w:type="spellEnd"/>
      <w:r w:rsidRPr="00193D4B">
        <w:rPr>
          <w:rFonts w:asciiTheme="minorHAnsi" w:hAnsiTheme="minorHAnsi" w:cstheme="minorHAnsi"/>
          <w:i/>
          <w:iCs/>
          <w:color w:val="212121"/>
          <w:sz w:val="20"/>
          <w:szCs w:val="20"/>
          <w:shd w:val="clear" w:color="auto" w:fill="FFFFFF"/>
          <w:lang w:val="en-GB"/>
        </w:rPr>
        <w:t xml:space="preserve"> e </w:t>
      </w:r>
      <w:proofErr w:type="spellStart"/>
      <w:r w:rsidRPr="00193D4B">
        <w:rPr>
          <w:rFonts w:asciiTheme="minorHAnsi" w:hAnsiTheme="minorHAnsi" w:cstheme="minorHAnsi"/>
          <w:i/>
          <w:iCs/>
          <w:color w:val="212121"/>
          <w:sz w:val="20"/>
          <w:szCs w:val="20"/>
          <w:shd w:val="clear" w:color="auto" w:fill="FFFFFF"/>
          <w:lang w:val="en-GB"/>
        </w:rPr>
        <w:t>prevenzione</w:t>
      </w:r>
      <w:proofErr w:type="spellEnd"/>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47</w:t>
      </w:r>
      <w:r w:rsidRPr="00193D4B">
        <w:rPr>
          <w:rFonts w:asciiTheme="minorHAnsi" w:hAnsiTheme="minorHAnsi" w:cstheme="minorHAnsi"/>
          <w:color w:val="212121"/>
          <w:sz w:val="20"/>
          <w:szCs w:val="20"/>
          <w:shd w:val="clear" w:color="auto" w:fill="FFFFFF"/>
          <w:lang w:val="en-GB"/>
        </w:rPr>
        <w:t xml:space="preserve">(6), 374–378. </w:t>
      </w:r>
      <w:r>
        <w:fldChar w:fldCharType="begin"/>
      </w:r>
      <w:r w:rsidRPr="00F44A43">
        <w:rPr>
          <w:lang w:val="en-HK"/>
        </w:rPr>
        <w:instrText>HYPERLINK "https://doi.org/10.19191/EP23.6.A643.075"</w:instrText>
      </w:r>
      <w:r>
        <w:fldChar w:fldCharType="separate"/>
      </w:r>
      <w:r w:rsidRPr="00193D4B">
        <w:rPr>
          <w:rStyle w:val="Hyperlink"/>
          <w:rFonts w:asciiTheme="minorHAnsi" w:hAnsiTheme="minorHAnsi" w:cstheme="minorHAnsi"/>
          <w:sz w:val="20"/>
          <w:szCs w:val="20"/>
          <w:shd w:val="clear" w:color="auto" w:fill="FFFFFF"/>
          <w:lang w:val="en-GB"/>
        </w:rPr>
        <w:t>https://doi.org/10.19191/EP23.6.A643.075</w:t>
      </w:r>
      <w:r>
        <w:fldChar w:fldCharType="end"/>
      </w:r>
    </w:p>
    <w:p w14:paraId="3F364880" w14:textId="31063439" w:rsidR="009A4BC1" w:rsidRDefault="009A4BC1"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9A4BC1">
        <w:rPr>
          <w:rFonts w:asciiTheme="minorHAnsi" w:hAnsiTheme="minorHAnsi" w:cstheme="minorHAnsi"/>
          <w:color w:val="333333"/>
          <w:sz w:val="20"/>
          <w:szCs w:val="20"/>
          <w:lang w:val="en-GB"/>
        </w:rPr>
        <w:t xml:space="preserve">Bhopal, S. S., </w:t>
      </w:r>
      <w:proofErr w:type="spellStart"/>
      <w:r w:rsidRPr="009A4BC1">
        <w:rPr>
          <w:rFonts w:asciiTheme="minorHAnsi" w:hAnsiTheme="minorHAnsi" w:cstheme="minorHAnsi"/>
          <w:color w:val="333333"/>
          <w:sz w:val="20"/>
          <w:szCs w:val="20"/>
          <w:lang w:val="en-GB"/>
        </w:rPr>
        <w:t>Bagaria</w:t>
      </w:r>
      <w:proofErr w:type="spellEnd"/>
      <w:r w:rsidRPr="009A4BC1">
        <w:rPr>
          <w:rFonts w:asciiTheme="minorHAnsi" w:hAnsiTheme="minorHAnsi" w:cstheme="minorHAnsi"/>
          <w:color w:val="333333"/>
          <w:sz w:val="20"/>
          <w:szCs w:val="20"/>
          <w:lang w:val="en-GB"/>
        </w:rPr>
        <w:t xml:space="preserve">, J., </w:t>
      </w:r>
      <w:proofErr w:type="spellStart"/>
      <w:r w:rsidRPr="009A4BC1">
        <w:rPr>
          <w:rFonts w:asciiTheme="minorHAnsi" w:hAnsiTheme="minorHAnsi" w:cstheme="minorHAnsi"/>
          <w:color w:val="333333"/>
          <w:sz w:val="20"/>
          <w:szCs w:val="20"/>
          <w:lang w:val="en-GB"/>
        </w:rPr>
        <w:t>Olabi</w:t>
      </w:r>
      <w:proofErr w:type="spellEnd"/>
      <w:r w:rsidRPr="009A4BC1">
        <w:rPr>
          <w:rFonts w:asciiTheme="minorHAnsi" w:hAnsiTheme="minorHAnsi" w:cstheme="minorHAnsi"/>
          <w:color w:val="333333"/>
          <w:sz w:val="20"/>
          <w:szCs w:val="20"/>
          <w:lang w:val="en-GB"/>
        </w:rPr>
        <w:t xml:space="preserve">, B., &amp; Bhopal, R. (2021). Children and young people remain at low risk of COVID-19 mortality. The Lancet. Child &amp; adolescent health, 5(5), e12–e13. </w:t>
      </w:r>
      <w:r>
        <w:fldChar w:fldCharType="begin"/>
      </w:r>
      <w:r w:rsidRPr="00F44A43">
        <w:rPr>
          <w:lang w:val="en-HK"/>
        </w:rPr>
        <w:instrText>HYPERLINK "https://doi.org/10.1016/S2352-4642(21)00066-3"</w:instrText>
      </w:r>
      <w:r>
        <w:fldChar w:fldCharType="separate"/>
      </w:r>
      <w:r w:rsidRPr="00F6426B">
        <w:rPr>
          <w:rStyle w:val="Hyperlink"/>
          <w:rFonts w:asciiTheme="minorHAnsi" w:hAnsiTheme="minorHAnsi" w:cstheme="minorHAnsi"/>
          <w:sz w:val="20"/>
          <w:szCs w:val="20"/>
          <w:lang w:val="en-GB"/>
        </w:rPr>
        <w:t>https://doi.org/10.1016/S2352-4642(21)00066-3</w:t>
      </w:r>
      <w:r>
        <w:fldChar w:fldCharType="end"/>
      </w:r>
    </w:p>
    <w:p w14:paraId="0697CDEB" w14:textId="600C54D8" w:rsidR="009A4BC1" w:rsidRPr="00193D4B" w:rsidRDefault="009A4BC1" w:rsidP="00193D4B">
      <w:pPr>
        <w:pBdr>
          <w:bottom w:val="none" w:sz="0" w:space="11" w:color="auto"/>
        </w:pBdr>
        <w:shd w:val="clear" w:color="auto" w:fill="FFFFFF"/>
        <w:ind w:right="-169"/>
        <w:rPr>
          <w:rFonts w:asciiTheme="minorHAnsi" w:hAnsiTheme="minorHAnsi" w:cstheme="minorHAnsi"/>
          <w:color w:val="333333"/>
          <w:sz w:val="20"/>
          <w:szCs w:val="20"/>
          <w:lang w:val="en-GB"/>
        </w:rPr>
      </w:pPr>
      <w:proofErr w:type="spellStart"/>
      <w:r w:rsidRPr="009A4BC1">
        <w:rPr>
          <w:rFonts w:asciiTheme="minorHAnsi" w:hAnsiTheme="minorHAnsi" w:cstheme="minorHAnsi"/>
          <w:color w:val="333333"/>
          <w:sz w:val="20"/>
          <w:szCs w:val="20"/>
          <w:lang w:val="en-GB"/>
        </w:rPr>
        <w:t>Bonanad</w:t>
      </w:r>
      <w:proofErr w:type="spellEnd"/>
      <w:r w:rsidRPr="009A4BC1">
        <w:rPr>
          <w:rFonts w:asciiTheme="minorHAnsi" w:hAnsiTheme="minorHAnsi" w:cstheme="minorHAnsi"/>
          <w:color w:val="333333"/>
          <w:sz w:val="20"/>
          <w:szCs w:val="20"/>
          <w:lang w:val="en-GB"/>
        </w:rPr>
        <w:t>, C., García-Blas, S., Tarazona-</w:t>
      </w:r>
      <w:proofErr w:type="spellStart"/>
      <w:r w:rsidRPr="009A4BC1">
        <w:rPr>
          <w:rFonts w:asciiTheme="minorHAnsi" w:hAnsiTheme="minorHAnsi" w:cstheme="minorHAnsi"/>
          <w:color w:val="333333"/>
          <w:sz w:val="20"/>
          <w:szCs w:val="20"/>
          <w:lang w:val="en-GB"/>
        </w:rPr>
        <w:t>Santabalbina</w:t>
      </w:r>
      <w:proofErr w:type="spellEnd"/>
      <w:r w:rsidRPr="009A4BC1">
        <w:rPr>
          <w:rFonts w:asciiTheme="minorHAnsi" w:hAnsiTheme="minorHAnsi" w:cstheme="minorHAnsi"/>
          <w:color w:val="333333"/>
          <w:sz w:val="20"/>
          <w:szCs w:val="20"/>
          <w:lang w:val="en-GB"/>
        </w:rPr>
        <w:t xml:space="preserve">, F., </w:t>
      </w:r>
      <w:proofErr w:type="spellStart"/>
      <w:r w:rsidRPr="009A4BC1">
        <w:rPr>
          <w:rFonts w:asciiTheme="minorHAnsi" w:hAnsiTheme="minorHAnsi" w:cstheme="minorHAnsi"/>
          <w:color w:val="333333"/>
          <w:sz w:val="20"/>
          <w:szCs w:val="20"/>
          <w:lang w:val="en-GB"/>
        </w:rPr>
        <w:t>Sanchis</w:t>
      </w:r>
      <w:proofErr w:type="spellEnd"/>
      <w:r w:rsidRPr="009A4BC1">
        <w:rPr>
          <w:rFonts w:asciiTheme="minorHAnsi" w:hAnsiTheme="minorHAnsi" w:cstheme="minorHAnsi"/>
          <w:color w:val="333333"/>
          <w:sz w:val="20"/>
          <w:szCs w:val="20"/>
          <w:lang w:val="en-GB"/>
        </w:rPr>
        <w:t xml:space="preserve">, J., </w:t>
      </w:r>
      <w:proofErr w:type="spellStart"/>
      <w:r w:rsidRPr="009A4BC1">
        <w:rPr>
          <w:rFonts w:asciiTheme="minorHAnsi" w:hAnsiTheme="minorHAnsi" w:cstheme="minorHAnsi"/>
          <w:color w:val="333333"/>
          <w:sz w:val="20"/>
          <w:szCs w:val="20"/>
          <w:lang w:val="en-GB"/>
        </w:rPr>
        <w:t>Bertomeu</w:t>
      </w:r>
      <w:proofErr w:type="spellEnd"/>
      <w:r w:rsidRPr="009A4BC1">
        <w:rPr>
          <w:rFonts w:asciiTheme="minorHAnsi" w:hAnsiTheme="minorHAnsi" w:cstheme="minorHAnsi"/>
          <w:color w:val="333333"/>
          <w:sz w:val="20"/>
          <w:szCs w:val="20"/>
          <w:lang w:val="en-GB"/>
        </w:rPr>
        <w:t xml:space="preserve">-González, V., </w:t>
      </w:r>
      <w:proofErr w:type="spellStart"/>
      <w:r w:rsidRPr="009A4BC1">
        <w:rPr>
          <w:rFonts w:asciiTheme="minorHAnsi" w:hAnsiTheme="minorHAnsi" w:cstheme="minorHAnsi"/>
          <w:color w:val="333333"/>
          <w:sz w:val="20"/>
          <w:szCs w:val="20"/>
          <w:lang w:val="en-GB"/>
        </w:rPr>
        <w:t>Fácila</w:t>
      </w:r>
      <w:proofErr w:type="spellEnd"/>
      <w:r w:rsidRPr="009A4BC1">
        <w:rPr>
          <w:rFonts w:asciiTheme="minorHAnsi" w:hAnsiTheme="minorHAnsi" w:cstheme="minorHAnsi"/>
          <w:color w:val="333333"/>
          <w:sz w:val="20"/>
          <w:szCs w:val="20"/>
          <w:lang w:val="en-GB"/>
        </w:rPr>
        <w:t xml:space="preserve">, L., Ariza, A., </w:t>
      </w:r>
      <w:proofErr w:type="spellStart"/>
      <w:r w:rsidRPr="009A4BC1">
        <w:rPr>
          <w:rFonts w:asciiTheme="minorHAnsi" w:hAnsiTheme="minorHAnsi" w:cstheme="minorHAnsi"/>
          <w:color w:val="333333"/>
          <w:sz w:val="20"/>
          <w:szCs w:val="20"/>
          <w:lang w:val="en-GB"/>
        </w:rPr>
        <w:t>Núñez</w:t>
      </w:r>
      <w:proofErr w:type="spellEnd"/>
      <w:r w:rsidRPr="009A4BC1">
        <w:rPr>
          <w:rFonts w:asciiTheme="minorHAnsi" w:hAnsiTheme="minorHAnsi" w:cstheme="minorHAnsi"/>
          <w:color w:val="333333"/>
          <w:sz w:val="20"/>
          <w:szCs w:val="20"/>
          <w:lang w:val="en-GB"/>
        </w:rPr>
        <w:t>, J., &amp; Cordero, A. (2020). The Effect of Age on Mortality in Patients With COVID-19: A Meta-Analysis With 611,583 Subjects. Journal of the American Medical Directors Association, 21(7), 915–918. https://doi.org/10.1016/j.jamda.2020.05.045</w:t>
      </w:r>
    </w:p>
    <w:p w14:paraId="22295EAD" w14:textId="43CEE056"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proofErr w:type="spellStart"/>
      <w:r w:rsidRPr="00193D4B">
        <w:rPr>
          <w:rFonts w:asciiTheme="minorHAnsi" w:hAnsiTheme="minorHAnsi" w:cstheme="minorHAnsi"/>
          <w:sz w:val="20"/>
          <w:szCs w:val="20"/>
          <w:lang w:val="en-GB"/>
        </w:rPr>
        <w:t>Eiser</w:t>
      </w:r>
      <w:proofErr w:type="spellEnd"/>
      <w:r w:rsidRPr="00193D4B">
        <w:rPr>
          <w:rFonts w:asciiTheme="minorHAnsi" w:hAnsiTheme="minorHAnsi" w:cstheme="minorHAnsi"/>
          <w:sz w:val="20"/>
          <w:szCs w:val="20"/>
          <w:lang w:val="en-GB"/>
        </w:rPr>
        <w:t xml:space="preserve"> A. R. (2021). Could Dietary Factors Reduce COVID-19 Mortality Rates? Moderating the Inflammatory State. Journal of alternative and complementary medicine (New York, N.Y.), 27(2), 176–178. </w:t>
      </w:r>
      <w:r>
        <w:fldChar w:fldCharType="begin"/>
      </w:r>
      <w:r w:rsidRPr="00F44A43">
        <w:rPr>
          <w:lang w:val="en-HK"/>
        </w:rPr>
        <w:instrText>HYPERLINK "https://doi.org/10.1089/acm.2020.0441"</w:instrText>
      </w:r>
      <w:r>
        <w:fldChar w:fldCharType="separate"/>
      </w:r>
      <w:r w:rsidRPr="00193D4B">
        <w:rPr>
          <w:rStyle w:val="Hyperlink"/>
          <w:rFonts w:asciiTheme="minorHAnsi" w:hAnsiTheme="minorHAnsi" w:cstheme="minorHAnsi"/>
          <w:sz w:val="20"/>
          <w:szCs w:val="20"/>
          <w:lang w:val="en-GB"/>
        </w:rPr>
        <w:t>https://doi.org/10.1089/acm.2020.0441</w:t>
      </w:r>
      <w:r>
        <w:fldChar w:fldCharType="end"/>
      </w:r>
    </w:p>
    <w:p w14:paraId="096DCE94" w14:textId="53B2C13E"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proofErr w:type="spellStart"/>
      <w:r w:rsidRPr="00193D4B">
        <w:rPr>
          <w:rFonts w:asciiTheme="minorHAnsi" w:hAnsiTheme="minorHAnsi" w:cstheme="minorHAnsi"/>
          <w:color w:val="212121"/>
          <w:sz w:val="20"/>
          <w:szCs w:val="20"/>
          <w:shd w:val="clear" w:color="auto" w:fill="FFFFFF"/>
          <w:lang w:val="en-GB"/>
        </w:rPr>
        <w:t>Fürst</w:t>
      </w:r>
      <w:proofErr w:type="spellEnd"/>
      <w:r w:rsidRPr="00193D4B">
        <w:rPr>
          <w:rFonts w:asciiTheme="minorHAnsi" w:hAnsiTheme="minorHAnsi" w:cstheme="minorHAnsi"/>
          <w:color w:val="212121"/>
          <w:sz w:val="20"/>
          <w:szCs w:val="20"/>
          <w:shd w:val="clear" w:color="auto" w:fill="FFFFFF"/>
          <w:lang w:val="en-GB"/>
        </w:rPr>
        <w:t xml:space="preserve">, T., </w:t>
      </w:r>
      <w:proofErr w:type="spellStart"/>
      <w:r w:rsidRPr="00193D4B">
        <w:rPr>
          <w:rFonts w:asciiTheme="minorHAnsi" w:hAnsiTheme="minorHAnsi" w:cstheme="minorHAnsi"/>
          <w:color w:val="212121"/>
          <w:sz w:val="20"/>
          <w:szCs w:val="20"/>
          <w:shd w:val="clear" w:color="auto" w:fill="FFFFFF"/>
          <w:lang w:val="en-GB"/>
        </w:rPr>
        <w:t>Bazalová</w:t>
      </w:r>
      <w:proofErr w:type="spellEnd"/>
      <w:r w:rsidRPr="00193D4B">
        <w:rPr>
          <w:rFonts w:asciiTheme="minorHAnsi" w:hAnsiTheme="minorHAnsi" w:cstheme="minorHAnsi"/>
          <w:color w:val="212121"/>
          <w:sz w:val="20"/>
          <w:szCs w:val="20"/>
          <w:shd w:val="clear" w:color="auto" w:fill="FFFFFF"/>
          <w:lang w:val="en-GB"/>
        </w:rPr>
        <w:t xml:space="preserve">, A., </w:t>
      </w:r>
      <w:proofErr w:type="spellStart"/>
      <w:r w:rsidRPr="00193D4B">
        <w:rPr>
          <w:rFonts w:asciiTheme="minorHAnsi" w:hAnsiTheme="minorHAnsi" w:cstheme="minorHAnsi"/>
          <w:color w:val="212121"/>
          <w:sz w:val="20"/>
          <w:szCs w:val="20"/>
          <w:shd w:val="clear" w:color="auto" w:fill="FFFFFF"/>
          <w:lang w:val="en-GB"/>
        </w:rPr>
        <w:t>Fryčák</w:t>
      </w:r>
      <w:proofErr w:type="spellEnd"/>
      <w:r w:rsidRPr="00193D4B">
        <w:rPr>
          <w:rFonts w:asciiTheme="minorHAnsi" w:hAnsiTheme="minorHAnsi" w:cstheme="minorHAnsi"/>
          <w:color w:val="212121"/>
          <w:sz w:val="20"/>
          <w:szCs w:val="20"/>
          <w:shd w:val="clear" w:color="auto" w:fill="FFFFFF"/>
          <w:lang w:val="en-GB"/>
        </w:rPr>
        <w:t xml:space="preserve">, T., &amp; </w:t>
      </w:r>
      <w:proofErr w:type="spellStart"/>
      <w:r w:rsidRPr="00193D4B">
        <w:rPr>
          <w:rFonts w:asciiTheme="minorHAnsi" w:hAnsiTheme="minorHAnsi" w:cstheme="minorHAnsi"/>
          <w:color w:val="212121"/>
          <w:sz w:val="20"/>
          <w:szCs w:val="20"/>
          <w:shd w:val="clear" w:color="auto" w:fill="FFFFFF"/>
          <w:lang w:val="en-GB"/>
        </w:rPr>
        <w:t>Janošek</w:t>
      </w:r>
      <w:proofErr w:type="spellEnd"/>
      <w:r w:rsidRPr="00193D4B">
        <w:rPr>
          <w:rFonts w:asciiTheme="minorHAnsi" w:hAnsiTheme="minorHAnsi" w:cstheme="minorHAnsi"/>
          <w:color w:val="212121"/>
          <w:sz w:val="20"/>
          <w:szCs w:val="20"/>
          <w:shd w:val="clear" w:color="auto" w:fill="FFFFFF"/>
          <w:lang w:val="en-GB"/>
        </w:rPr>
        <w:t xml:space="preserve">, J. (2024). Does the healthy vaccinee bias rule them all? Association of COVID-19 vaccination status and all-cause mortality from an analysis of data from 2.2 million individual health </w:t>
      </w:r>
      <w:r w:rsidRPr="00193D4B">
        <w:rPr>
          <w:rFonts w:asciiTheme="minorHAnsi" w:hAnsiTheme="minorHAnsi" w:cstheme="minorHAnsi"/>
          <w:color w:val="212121"/>
          <w:sz w:val="20"/>
          <w:szCs w:val="20"/>
          <w:shd w:val="clear" w:color="auto" w:fill="FFFFFF"/>
          <w:lang w:val="en-GB"/>
        </w:rPr>
        <w:t>records. </w:t>
      </w:r>
      <w:r w:rsidRPr="00193D4B">
        <w:rPr>
          <w:rFonts w:asciiTheme="minorHAnsi" w:hAnsiTheme="minorHAnsi" w:cstheme="minorHAnsi"/>
          <w:i/>
          <w:iCs/>
          <w:color w:val="212121"/>
          <w:sz w:val="20"/>
          <w:szCs w:val="20"/>
          <w:shd w:val="clear" w:color="auto" w:fill="FFFFFF"/>
          <w:lang w:val="en-GB"/>
        </w:rPr>
        <w:t xml:space="preserve">International journal of infectious </w:t>
      </w:r>
      <w:proofErr w:type="gramStart"/>
      <w:r w:rsidRPr="00193D4B">
        <w:rPr>
          <w:rFonts w:asciiTheme="minorHAnsi" w:hAnsiTheme="minorHAnsi" w:cstheme="minorHAnsi"/>
          <w:i/>
          <w:iCs/>
          <w:color w:val="212121"/>
          <w:sz w:val="20"/>
          <w:szCs w:val="20"/>
          <w:shd w:val="clear" w:color="auto" w:fill="FFFFFF"/>
          <w:lang w:val="en-GB"/>
        </w:rPr>
        <w:t>diseases :</w:t>
      </w:r>
      <w:proofErr w:type="gramEnd"/>
      <w:r w:rsidRPr="00193D4B">
        <w:rPr>
          <w:rFonts w:asciiTheme="minorHAnsi" w:hAnsiTheme="minorHAnsi" w:cstheme="minorHAnsi"/>
          <w:i/>
          <w:iCs/>
          <w:color w:val="212121"/>
          <w:sz w:val="20"/>
          <w:szCs w:val="20"/>
          <w:shd w:val="clear" w:color="auto" w:fill="FFFFFF"/>
          <w:lang w:val="en-GB"/>
        </w:rPr>
        <w:t xml:space="preserve"> IJID : official publication of the International Society for Infectious Diseases</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142</w:t>
      </w:r>
      <w:r w:rsidRPr="00193D4B">
        <w:rPr>
          <w:rFonts w:asciiTheme="minorHAnsi" w:hAnsiTheme="minorHAnsi" w:cstheme="minorHAnsi"/>
          <w:color w:val="212121"/>
          <w:sz w:val="20"/>
          <w:szCs w:val="20"/>
          <w:shd w:val="clear" w:color="auto" w:fill="FFFFFF"/>
          <w:lang w:val="en-GB"/>
        </w:rPr>
        <w:t xml:space="preserve">, 106976. </w:t>
      </w:r>
      <w:hyperlink r:id="rId12" w:history="1">
        <w:r w:rsidRPr="00193D4B">
          <w:rPr>
            <w:rStyle w:val="Hyperlink"/>
            <w:rFonts w:asciiTheme="minorHAnsi" w:hAnsiTheme="minorHAnsi" w:cstheme="minorHAnsi"/>
            <w:sz w:val="20"/>
            <w:szCs w:val="20"/>
            <w:shd w:val="clear" w:color="auto" w:fill="FFFFFF"/>
            <w:lang w:val="en-GB"/>
          </w:rPr>
          <w:t>https://doi.org/10.1016/j.ijid.2024.02.019</w:t>
        </w:r>
      </w:hyperlink>
    </w:p>
    <w:p w14:paraId="4B297097"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212121"/>
          <w:sz w:val="20"/>
          <w:szCs w:val="20"/>
          <w:shd w:val="clear" w:color="auto" w:fill="FFFFFF"/>
          <w:lang w:val="en-GB"/>
        </w:rPr>
        <w:t>Hussain Z. (2022). England and Wales have seen rise in excess deaths in 2022. </w:t>
      </w:r>
      <w:r w:rsidRPr="00193D4B">
        <w:rPr>
          <w:rFonts w:asciiTheme="minorHAnsi" w:hAnsiTheme="minorHAnsi" w:cstheme="minorHAnsi"/>
          <w:i/>
          <w:iCs/>
          <w:color w:val="212121"/>
          <w:sz w:val="20"/>
          <w:szCs w:val="20"/>
          <w:shd w:val="clear" w:color="auto" w:fill="FFFFFF"/>
          <w:lang w:val="en-GB"/>
        </w:rPr>
        <w:t>BMJ (Clinical research ed.)</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378</w:t>
      </w:r>
      <w:r w:rsidRPr="00193D4B">
        <w:rPr>
          <w:rFonts w:asciiTheme="minorHAnsi" w:hAnsiTheme="minorHAnsi" w:cstheme="minorHAnsi"/>
          <w:color w:val="212121"/>
          <w:sz w:val="20"/>
          <w:szCs w:val="20"/>
          <w:shd w:val="clear" w:color="auto" w:fill="FFFFFF"/>
          <w:lang w:val="en-GB"/>
        </w:rPr>
        <w:t xml:space="preserve">, o2283. </w:t>
      </w:r>
      <w:hyperlink r:id="rId13" w:history="1">
        <w:r w:rsidRPr="00193D4B">
          <w:rPr>
            <w:rStyle w:val="Hyperlink"/>
            <w:rFonts w:asciiTheme="minorHAnsi" w:hAnsiTheme="minorHAnsi" w:cstheme="minorHAnsi"/>
            <w:sz w:val="20"/>
            <w:szCs w:val="20"/>
            <w:shd w:val="clear" w:color="auto" w:fill="FFFFFF"/>
            <w:lang w:val="en-GB"/>
          </w:rPr>
          <w:t>https://doi.org/10.1136/b</w:t>
        </w:r>
      </w:hyperlink>
    </w:p>
    <w:p w14:paraId="3D43EB27"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333333"/>
          <w:sz w:val="20"/>
          <w:szCs w:val="20"/>
          <w:lang w:val="en-GB"/>
        </w:rPr>
        <w:t xml:space="preserve">Norman, G. &amp; </w:t>
      </w:r>
      <w:proofErr w:type="spellStart"/>
      <w:r w:rsidRPr="00193D4B">
        <w:rPr>
          <w:rFonts w:asciiTheme="minorHAnsi" w:hAnsiTheme="minorHAnsi" w:cstheme="minorHAnsi"/>
          <w:color w:val="333333"/>
          <w:sz w:val="20"/>
          <w:szCs w:val="20"/>
          <w:lang w:val="en-GB"/>
        </w:rPr>
        <w:t>Streiner</w:t>
      </w:r>
      <w:proofErr w:type="spellEnd"/>
      <w:r w:rsidRPr="00193D4B">
        <w:rPr>
          <w:rFonts w:asciiTheme="minorHAnsi" w:hAnsiTheme="minorHAnsi" w:cstheme="minorHAnsi"/>
          <w:color w:val="333333"/>
          <w:sz w:val="20"/>
          <w:szCs w:val="20"/>
          <w:lang w:val="en-GB"/>
        </w:rPr>
        <w:t>, D. (2015). Biostatistics: The Bare Essentials</w:t>
      </w:r>
      <w:proofErr w:type="gramStart"/>
      <w:r w:rsidRPr="00193D4B">
        <w:rPr>
          <w:rFonts w:asciiTheme="minorHAnsi" w:hAnsiTheme="minorHAnsi" w:cstheme="minorHAnsi"/>
          <w:color w:val="333333"/>
          <w:sz w:val="20"/>
          <w:szCs w:val="20"/>
          <w:lang w:val="en-GB"/>
        </w:rPr>
        <w:t>, :</w:t>
      </w:r>
      <w:proofErr w:type="gramEnd"/>
      <w:r w:rsidRPr="00193D4B">
        <w:rPr>
          <w:rFonts w:asciiTheme="minorHAnsi" w:hAnsiTheme="minorHAnsi" w:cstheme="minorHAnsi"/>
          <w:color w:val="333333"/>
          <w:sz w:val="20"/>
          <w:szCs w:val="20"/>
          <w:lang w:val="en-GB"/>
        </w:rPr>
        <w:t xml:space="preserve"> PMPH-USA.</w:t>
      </w:r>
    </w:p>
    <w:p w14:paraId="2A606BF8"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000000"/>
          <w:sz w:val="20"/>
          <w:szCs w:val="20"/>
          <w:lang w:val="en-GB"/>
        </w:rPr>
        <w:t>Office for National Statistics (2023). </w:t>
      </w:r>
      <w:r w:rsidRPr="00193D4B">
        <w:rPr>
          <w:rStyle w:val="Emphasis"/>
          <w:rFonts w:asciiTheme="minorHAnsi" w:hAnsiTheme="minorHAnsi" w:cstheme="minorHAnsi"/>
          <w:color w:val="000000"/>
          <w:sz w:val="20"/>
          <w:szCs w:val="20"/>
          <w:lang w:val="en-GB"/>
        </w:rPr>
        <w:t>Dataset Deaths by vaccination status, England</w:t>
      </w:r>
      <w:r w:rsidRPr="00193D4B">
        <w:rPr>
          <w:rFonts w:asciiTheme="minorHAnsi" w:hAnsiTheme="minorHAnsi" w:cstheme="minorHAnsi"/>
          <w:color w:val="000000"/>
          <w:sz w:val="20"/>
          <w:szCs w:val="20"/>
          <w:lang w:val="en-GB"/>
        </w:rPr>
        <w:t xml:space="preserve">. </w:t>
      </w:r>
      <w:r>
        <w:fldChar w:fldCharType="begin"/>
      </w:r>
      <w:r w:rsidRPr="00F44A43">
        <w:rPr>
          <w:lang w:val="en-HK"/>
        </w:rPr>
        <w:instrText>HYPERLINK "https://www.ons.gov.uk/peoplepopulationandcommunity/birthsdeathsandmarriages/deaths/datasets/deathsbyvaccinationstatusengland"</w:instrText>
      </w:r>
      <w:r>
        <w:fldChar w:fldCharType="separate"/>
      </w:r>
      <w:r w:rsidRPr="00193D4B">
        <w:rPr>
          <w:rStyle w:val="Hyperlink"/>
          <w:rFonts w:asciiTheme="minorHAnsi" w:hAnsiTheme="minorHAnsi" w:cstheme="minorHAnsi"/>
          <w:sz w:val="20"/>
          <w:szCs w:val="20"/>
          <w:lang w:val="en-GB"/>
        </w:rPr>
        <w:t>https://www.ons.gov.uk/peoplepopulationandcommunity/birthsdeathsandmarriages/deaths/datasets/deathsbyvaccinationstatusengland</w:t>
      </w:r>
      <w:r>
        <w:fldChar w:fldCharType="end"/>
      </w:r>
    </w:p>
    <w:p w14:paraId="7EEC6329"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333333"/>
          <w:sz w:val="20"/>
          <w:szCs w:val="20"/>
          <w:lang w:val="en-GB"/>
        </w:rPr>
        <w:t xml:space="preserve">Office for National Statistics (2023). Deaths registered weekly in England and Wales, provisional: week ending 26 May 2023. </w:t>
      </w:r>
      <w:r>
        <w:fldChar w:fldCharType="begin"/>
      </w:r>
      <w:r w:rsidRPr="00F44A43">
        <w:rPr>
          <w:lang w:val="en-HK"/>
        </w:rPr>
        <w:instrText>HYPERLINK "https://www.ons.gov.uk/releases/deathsregisteredweeklyinenglandandwalesprovisionalweekending26may2023"</w:instrText>
      </w:r>
      <w:r>
        <w:fldChar w:fldCharType="separate"/>
      </w:r>
      <w:r w:rsidRPr="00193D4B">
        <w:rPr>
          <w:rStyle w:val="Hyperlink"/>
          <w:rFonts w:asciiTheme="minorHAnsi" w:hAnsiTheme="minorHAnsi" w:cstheme="minorHAnsi"/>
          <w:sz w:val="20"/>
          <w:szCs w:val="20"/>
          <w:lang w:val="en-GB"/>
        </w:rPr>
        <w:t>https://www.ons.gov.uk/releases/deathsregisteredweeklyinenglandandwalesprovisionalweekending26may2023</w:t>
      </w:r>
      <w:r>
        <w:fldChar w:fldCharType="end"/>
      </w:r>
    </w:p>
    <w:p w14:paraId="4CFEE8BE"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000000"/>
          <w:sz w:val="20"/>
          <w:szCs w:val="20"/>
          <w:lang w:val="en-GB"/>
        </w:rPr>
        <w:t>Office for Statistics (2022). </w:t>
      </w:r>
      <w:r w:rsidRPr="00193D4B">
        <w:rPr>
          <w:rStyle w:val="Emphasis"/>
          <w:rFonts w:asciiTheme="minorHAnsi" w:hAnsiTheme="minorHAnsi" w:cstheme="minorHAnsi"/>
          <w:color w:val="000000"/>
          <w:sz w:val="20"/>
          <w:szCs w:val="20"/>
          <w:lang w:val="en-GB"/>
        </w:rPr>
        <w:t xml:space="preserve">Population and household estimates, England and Wales: Census 2021, unrounded </w:t>
      </w:r>
      <w:proofErr w:type="gramStart"/>
      <w:r w:rsidRPr="00193D4B">
        <w:rPr>
          <w:rStyle w:val="Emphasis"/>
          <w:rFonts w:asciiTheme="minorHAnsi" w:hAnsiTheme="minorHAnsi" w:cstheme="minorHAnsi"/>
          <w:color w:val="000000"/>
          <w:sz w:val="20"/>
          <w:szCs w:val="20"/>
          <w:lang w:val="en-GB"/>
        </w:rPr>
        <w:t>data </w:t>
      </w:r>
      <w:r w:rsidRPr="00193D4B">
        <w:rPr>
          <w:rFonts w:asciiTheme="minorHAnsi" w:hAnsiTheme="minorHAnsi" w:cstheme="minorHAnsi"/>
          <w:color w:val="000000"/>
          <w:sz w:val="20"/>
          <w:szCs w:val="20"/>
          <w:lang w:val="en-GB"/>
        </w:rPr>
        <w:t>.</w:t>
      </w:r>
      <w:proofErr w:type="gramEnd"/>
      <w:r w:rsidRPr="00193D4B">
        <w:rPr>
          <w:rFonts w:asciiTheme="minorHAnsi" w:hAnsiTheme="minorHAnsi" w:cstheme="minorHAnsi"/>
          <w:color w:val="000000"/>
          <w:sz w:val="20"/>
          <w:szCs w:val="20"/>
          <w:lang w:val="en-GB"/>
        </w:rPr>
        <w:t xml:space="preserve"> </w:t>
      </w:r>
      <w:hyperlink r:id="rId14" w:history="1">
        <w:r w:rsidRPr="00193D4B">
          <w:rPr>
            <w:rStyle w:val="Hyperlink"/>
            <w:rFonts w:asciiTheme="minorHAnsi" w:hAnsiTheme="minorHAnsi" w:cstheme="minorHAnsi"/>
            <w:sz w:val="20"/>
            <w:szCs w:val="20"/>
            <w:lang w:val="en-GB"/>
          </w:rPr>
          <w:t>https://www.ons.gov.uk/peoplepopulationandcommunity/populationandmigration/populationestimates/bulletins/populationandhouseholdestimatesenglandandwales/census2021unroundeddata</w:t>
        </w:r>
      </w:hyperlink>
    </w:p>
    <w:p w14:paraId="1FC49C85"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333333"/>
          <w:sz w:val="20"/>
          <w:szCs w:val="20"/>
          <w:lang w:val="en-GB"/>
        </w:rPr>
        <w:t xml:space="preserve">Our World in Data (2024). Coronavirus (COVID-19) Vaccinations. </w:t>
      </w:r>
      <w:r>
        <w:fldChar w:fldCharType="begin"/>
      </w:r>
      <w:r w:rsidRPr="00F44A43">
        <w:rPr>
          <w:lang w:val="en-HK"/>
        </w:rPr>
        <w:instrText>HYPERLINK "https://ourworldindata.org/covid-vaccinations"</w:instrText>
      </w:r>
      <w:r>
        <w:fldChar w:fldCharType="separate"/>
      </w:r>
      <w:r w:rsidRPr="00193D4B">
        <w:rPr>
          <w:rStyle w:val="Hyperlink"/>
          <w:rFonts w:asciiTheme="minorHAnsi" w:hAnsiTheme="minorHAnsi" w:cstheme="minorHAnsi"/>
          <w:sz w:val="20"/>
          <w:szCs w:val="20"/>
          <w:lang w:val="en-GB"/>
        </w:rPr>
        <w:t>https://ourworldindata.org/covid-vaccinations</w:t>
      </w:r>
      <w:r>
        <w:fldChar w:fldCharType="end"/>
      </w:r>
    </w:p>
    <w:p w14:paraId="3744B6DB" w14:textId="77777777"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r w:rsidRPr="00193D4B">
        <w:rPr>
          <w:rFonts w:asciiTheme="minorHAnsi" w:hAnsiTheme="minorHAnsi" w:cstheme="minorHAnsi"/>
          <w:color w:val="333333"/>
          <w:sz w:val="20"/>
          <w:szCs w:val="20"/>
          <w:lang w:val="en-GB"/>
        </w:rPr>
        <w:t xml:space="preserve">Pinsky, P. F., Miller, A., Kramer, B. S., Church, T., Reding, D., Prorok, P., </w:t>
      </w:r>
      <w:proofErr w:type="spellStart"/>
      <w:r w:rsidRPr="00193D4B">
        <w:rPr>
          <w:rFonts w:asciiTheme="minorHAnsi" w:hAnsiTheme="minorHAnsi" w:cstheme="minorHAnsi"/>
          <w:color w:val="333333"/>
          <w:sz w:val="20"/>
          <w:szCs w:val="20"/>
          <w:lang w:val="en-GB"/>
        </w:rPr>
        <w:t>Gelmann</w:t>
      </w:r>
      <w:proofErr w:type="spellEnd"/>
      <w:r w:rsidRPr="00193D4B">
        <w:rPr>
          <w:rFonts w:asciiTheme="minorHAnsi" w:hAnsiTheme="minorHAnsi" w:cstheme="minorHAnsi"/>
          <w:color w:val="333333"/>
          <w:sz w:val="20"/>
          <w:szCs w:val="20"/>
          <w:lang w:val="en-GB"/>
        </w:rPr>
        <w:t xml:space="preserve">, E., Schoen, R. E., Buys, S., Hayes, R. B., &amp; Berg, C. D. (2007). Evidence of a healthy volunteer effect in the prostate, lung, colorectal, and ovarian cancer screening trial. American journal of epidemiology, 165(8), 874–881. </w:t>
      </w:r>
      <w:r>
        <w:fldChar w:fldCharType="begin"/>
      </w:r>
      <w:r w:rsidRPr="00F44A43">
        <w:rPr>
          <w:lang w:val="en-HK"/>
        </w:rPr>
        <w:instrText>HYPERLINK "https://doi.org/10.1093/aje/kwk075"</w:instrText>
      </w:r>
      <w:r>
        <w:fldChar w:fldCharType="separate"/>
      </w:r>
      <w:r w:rsidRPr="00193D4B">
        <w:rPr>
          <w:rStyle w:val="Hyperlink"/>
          <w:rFonts w:asciiTheme="minorHAnsi" w:hAnsiTheme="minorHAnsi" w:cstheme="minorHAnsi"/>
          <w:sz w:val="20"/>
          <w:szCs w:val="20"/>
          <w:lang w:val="en-GB"/>
        </w:rPr>
        <w:t>https://doi.org/10.1093/aje/kwk075</w:t>
      </w:r>
      <w:r>
        <w:fldChar w:fldCharType="end"/>
      </w:r>
    </w:p>
    <w:p w14:paraId="09EDC440" w14:textId="4EEB6313" w:rsidR="006408C8" w:rsidRPr="00193D4B" w:rsidRDefault="006408C8" w:rsidP="00193D4B">
      <w:pPr>
        <w:pBdr>
          <w:bottom w:val="none" w:sz="0" w:space="11" w:color="auto"/>
        </w:pBdr>
        <w:shd w:val="clear" w:color="auto" w:fill="FFFFFF"/>
        <w:ind w:right="-169"/>
        <w:rPr>
          <w:rFonts w:asciiTheme="minorHAnsi" w:hAnsiTheme="minorHAnsi" w:cstheme="minorHAnsi"/>
          <w:color w:val="333333"/>
          <w:sz w:val="20"/>
          <w:szCs w:val="20"/>
          <w:lang w:val="en-GB"/>
        </w:rPr>
      </w:pPr>
      <w:proofErr w:type="spellStart"/>
      <w:r w:rsidRPr="00193D4B">
        <w:rPr>
          <w:rFonts w:asciiTheme="minorHAnsi" w:hAnsiTheme="minorHAnsi" w:cstheme="minorHAnsi"/>
          <w:color w:val="212121"/>
          <w:sz w:val="20"/>
          <w:szCs w:val="20"/>
          <w:shd w:val="clear" w:color="auto" w:fill="FFFFFF"/>
          <w:lang w:val="en-GB"/>
        </w:rPr>
        <w:t>Riou</w:t>
      </w:r>
      <w:proofErr w:type="spellEnd"/>
      <w:r w:rsidRPr="00193D4B">
        <w:rPr>
          <w:rFonts w:asciiTheme="minorHAnsi" w:hAnsiTheme="minorHAnsi" w:cstheme="minorHAnsi"/>
          <w:color w:val="212121"/>
          <w:sz w:val="20"/>
          <w:szCs w:val="20"/>
          <w:shd w:val="clear" w:color="auto" w:fill="FFFFFF"/>
          <w:lang w:val="en-GB"/>
        </w:rPr>
        <w:t xml:space="preserve">, J., Hauser, A., Fesser, A., Althaus, C. L., Egger, M., &amp; </w:t>
      </w:r>
      <w:proofErr w:type="spellStart"/>
      <w:r w:rsidRPr="00193D4B">
        <w:rPr>
          <w:rFonts w:asciiTheme="minorHAnsi" w:hAnsiTheme="minorHAnsi" w:cstheme="minorHAnsi"/>
          <w:color w:val="212121"/>
          <w:sz w:val="20"/>
          <w:szCs w:val="20"/>
          <w:shd w:val="clear" w:color="auto" w:fill="FFFFFF"/>
          <w:lang w:val="en-GB"/>
        </w:rPr>
        <w:t>Konstantinoudis</w:t>
      </w:r>
      <w:proofErr w:type="spellEnd"/>
      <w:r w:rsidRPr="00193D4B">
        <w:rPr>
          <w:rFonts w:asciiTheme="minorHAnsi" w:hAnsiTheme="minorHAnsi" w:cstheme="minorHAnsi"/>
          <w:color w:val="212121"/>
          <w:sz w:val="20"/>
          <w:szCs w:val="20"/>
          <w:shd w:val="clear" w:color="auto" w:fill="FFFFFF"/>
          <w:lang w:val="en-GB"/>
        </w:rPr>
        <w:t>, G. (2023). Direct and indirect effects of the COVID-19 pandemic on mortality in Switzerland. </w:t>
      </w:r>
      <w:r w:rsidRPr="00193D4B">
        <w:rPr>
          <w:rFonts w:asciiTheme="minorHAnsi" w:hAnsiTheme="minorHAnsi" w:cstheme="minorHAnsi"/>
          <w:i/>
          <w:iCs/>
          <w:color w:val="212121"/>
          <w:sz w:val="20"/>
          <w:szCs w:val="20"/>
          <w:shd w:val="clear" w:color="auto" w:fill="FFFFFF"/>
          <w:lang w:val="en-GB"/>
        </w:rPr>
        <w:t>Nature communications</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14</w:t>
      </w:r>
      <w:r w:rsidRPr="00193D4B">
        <w:rPr>
          <w:rFonts w:asciiTheme="minorHAnsi" w:hAnsiTheme="minorHAnsi" w:cstheme="minorHAnsi"/>
          <w:color w:val="212121"/>
          <w:sz w:val="20"/>
          <w:szCs w:val="20"/>
          <w:shd w:val="clear" w:color="auto" w:fill="FFFFFF"/>
          <w:lang w:val="en-GB"/>
        </w:rPr>
        <w:t>(1), 90. https://doi.org/10.1038/s41467-022-35770-9</w:t>
      </w:r>
    </w:p>
    <w:p w14:paraId="17283BC2" w14:textId="77777777" w:rsidR="00BA3752" w:rsidRDefault="006408C8" w:rsidP="00BA3752">
      <w:pPr>
        <w:pBdr>
          <w:bottom w:val="none" w:sz="0" w:space="11" w:color="auto"/>
        </w:pBdr>
        <w:shd w:val="clear" w:color="auto" w:fill="FFFFFF"/>
        <w:ind w:right="-169"/>
        <w:rPr>
          <w:rFonts w:asciiTheme="minorHAnsi" w:hAnsiTheme="minorHAnsi" w:cstheme="minorHAnsi"/>
          <w:sz w:val="20"/>
          <w:szCs w:val="20"/>
          <w:lang w:val="en-GB"/>
        </w:rPr>
      </w:pPr>
      <w:r w:rsidRPr="00193D4B">
        <w:rPr>
          <w:rFonts w:asciiTheme="minorHAnsi" w:hAnsiTheme="minorHAnsi" w:cstheme="minorHAnsi"/>
          <w:color w:val="333333"/>
          <w:sz w:val="20"/>
          <w:szCs w:val="20"/>
          <w:lang w:val="en-GB"/>
        </w:rPr>
        <w:t xml:space="preserve">Rosso, A., Flacco, M. E., </w:t>
      </w:r>
      <w:proofErr w:type="spellStart"/>
      <w:r w:rsidRPr="00193D4B">
        <w:rPr>
          <w:rFonts w:asciiTheme="minorHAnsi" w:hAnsiTheme="minorHAnsi" w:cstheme="minorHAnsi"/>
          <w:color w:val="333333"/>
          <w:sz w:val="20"/>
          <w:szCs w:val="20"/>
          <w:lang w:val="en-GB"/>
        </w:rPr>
        <w:t>Soldato</w:t>
      </w:r>
      <w:proofErr w:type="spellEnd"/>
      <w:r w:rsidRPr="00193D4B">
        <w:rPr>
          <w:rFonts w:asciiTheme="minorHAnsi" w:hAnsiTheme="minorHAnsi" w:cstheme="minorHAnsi"/>
          <w:color w:val="333333"/>
          <w:sz w:val="20"/>
          <w:szCs w:val="20"/>
          <w:lang w:val="en-GB"/>
        </w:rPr>
        <w:t xml:space="preserve">, G., Di Martino, G., </w:t>
      </w:r>
      <w:proofErr w:type="spellStart"/>
      <w:r w:rsidRPr="00193D4B">
        <w:rPr>
          <w:rFonts w:asciiTheme="minorHAnsi" w:hAnsiTheme="minorHAnsi" w:cstheme="minorHAnsi"/>
          <w:color w:val="333333"/>
          <w:sz w:val="20"/>
          <w:szCs w:val="20"/>
          <w:lang w:val="en-GB"/>
        </w:rPr>
        <w:t>Acuti</w:t>
      </w:r>
      <w:proofErr w:type="spellEnd"/>
      <w:r w:rsidRPr="00193D4B">
        <w:rPr>
          <w:rFonts w:asciiTheme="minorHAnsi" w:hAnsiTheme="minorHAnsi" w:cstheme="minorHAnsi"/>
          <w:color w:val="333333"/>
          <w:sz w:val="20"/>
          <w:szCs w:val="20"/>
          <w:lang w:val="en-GB"/>
        </w:rPr>
        <w:t xml:space="preserve"> </w:t>
      </w:r>
      <w:proofErr w:type="spellStart"/>
      <w:r w:rsidRPr="00193D4B">
        <w:rPr>
          <w:rFonts w:asciiTheme="minorHAnsi" w:hAnsiTheme="minorHAnsi" w:cstheme="minorHAnsi"/>
          <w:color w:val="333333"/>
          <w:sz w:val="20"/>
          <w:szCs w:val="20"/>
          <w:lang w:val="en-GB"/>
        </w:rPr>
        <w:t>Martellucci</w:t>
      </w:r>
      <w:proofErr w:type="spellEnd"/>
      <w:r w:rsidRPr="00193D4B">
        <w:rPr>
          <w:rFonts w:asciiTheme="minorHAnsi" w:hAnsiTheme="minorHAnsi" w:cstheme="minorHAnsi"/>
          <w:color w:val="333333"/>
          <w:sz w:val="20"/>
          <w:szCs w:val="20"/>
          <w:lang w:val="en-GB"/>
        </w:rPr>
        <w:t xml:space="preserve">, C., Carota, R., De </w:t>
      </w:r>
      <w:proofErr w:type="spellStart"/>
      <w:r w:rsidRPr="00193D4B">
        <w:rPr>
          <w:rFonts w:asciiTheme="minorHAnsi" w:hAnsiTheme="minorHAnsi" w:cstheme="minorHAnsi"/>
          <w:color w:val="333333"/>
          <w:sz w:val="20"/>
          <w:szCs w:val="20"/>
          <w:lang w:val="en-GB"/>
        </w:rPr>
        <w:t>Benedictis</w:t>
      </w:r>
      <w:proofErr w:type="spellEnd"/>
      <w:r w:rsidRPr="00193D4B">
        <w:rPr>
          <w:rFonts w:asciiTheme="minorHAnsi" w:hAnsiTheme="minorHAnsi" w:cstheme="minorHAnsi"/>
          <w:color w:val="333333"/>
          <w:sz w:val="20"/>
          <w:szCs w:val="20"/>
          <w:lang w:val="en-GB"/>
        </w:rPr>
        <w:t xml:space="preserve">, M., Di Marco, G., Di </w:t>
      </w:r>
      <w:proofErr w:type="spellStart"/>
      <w:r w:rsidRPr="00193D4B">
        <w:rPr>
          <w:rFonts w:asciiTheme="minorHAnsi" w:hAnsiTheme="minorHAnsi" w:cstheme="minorHAnsi"/>
          <w:color w:val="333333"/>
          <w:sz w:val="20"/>
          <w:szCs w:val="20"/>
          <w:lang w:val="en-GB"/>
        </w:rPr>
        <w:t>Luzio</w:t>
      </w:r>
      <w:proofErr w:type="spellEnd"/>
      <w:r w:rsidRPr="00193D4B">
        <w:rPr>
          <w:rFonts w:asciiTheme="minorHAnsi" w:hAnsiTheme="minorHAnsi" w:cstheme="minorHAnsi"/>
          <w:color w:val="333333"/>
          <w:sz w:val="20"/>
          <w:szCs w:val="20"/>
          <w:lang w:val="en-GB"/>
        </w:rPr>
        <w:t xml:space="preserve">, R., Fiore, M., </w:t>
      </w:r>
      <w:proofErr w:type="spellStart"/>
      <w:r w:rsidRPr="00193D4B">
        <w:rPr>
          <w:rFonts w:asciiTheme="minorHAnsi" w:hAnsiTheme="minorHAnsi" w:cstheme="minorHAnsi"/>
          <w:color w:val="333333"/>
          <w:sz w:val="20"/>
          <w:szCs w:val="20"/>
          <w:lang w:val="en-GB"/>
        </w:rPr>
        <w:t>Caponetti</w:t>
      </w:r>
      <w:proofErr w:type="spellEnd"/>
      <w:r w:rsidRPr="00193D4B">
        <w:rPr>
          <w:rFonts w:asciiTheme="minorHAnsi" w:hAnsiTheme="minorHAnsi" w:cstheme="minorHAnsi"/>
          <w:color w:val="333333"/>
          <w:sz w:val="20"/>
          <w:szCs w:val="20"/>
          <w:lang w:val="en-GB"/>
        </w:rPr>
        <w:t xml:space="preserve">, A., &amp; </w:t>
      </w:r>
      <w:proofErr w:type="spellStart"/>
      <w:r w:rsidRPr="00193D4B">
        <w:rPr>
          <w:rFonts w:asciiTheme="minorHAnsi" w:hAnsiTheme="minorHAnsi" w:cstheme="minorHAnsi"/>
          <w:color w:val="333333"/>
          <w:sz w:val="20"/>
          <w:szCs w:val="20"/>
          <w:lang w:val="en-GB"/>
        </w:rPr>
        <w:t>Manzoli</w:t>
      </w:r>
      <w:proofErr w:type="spellEnd"/>
      <w:r w:rsidRPr="00193D4B">
        <w:rPr>
          <w:rFonts w:asciiTheme="minorHAnsi" w:hAnsiTheme="minorHAnsi" w:cstheme="minorHAnsi"/>
          <w:color w:val="333333"/>
          <w:sz w:val="20"/>
          <w:szCs w:val="20"/>
          <w:lang w:val="en-GB"/>
        </w:rPr>
        <w:t xml:space="preserve">, L. (2023). COVID-19 Vaccination Effectiveness in the General Population of an Italian Province: Two Years of Follow-Up. Vaccines, 11(8), 1325. </w:t>
      </w:r>
      <w:r>
        <w:fldChar w:fldCharType="begin"/>
      </w:r>
      <w:r w:rsidRPr="00F44A43">
        <w:rPr>
          <w:lang w:val="en-HK"/>
        </w:rPr>
        <w:instrText>HYPERLINK "https://doi.org/10.3390/vaccines11081325"</w:instrText>
      </w:r>
      <w:r>
        <w:fldChar w:fldCharType="separate"/>
      </w:r>
      <w:r w:rsidRPr="00193D4B">
        <w:rPr>
          <w:rStyle w:val="Hyperlink"/>
          <w:rFonts w:asciiTheme="minorHAnsi" w:hAnsiTheme="minorHAnsi" w:cstheme="minorHAnsi"/>
          <w:sz w:val="20"/>
          <w:szCs w:val="20"/>
          <w:lang w:val="en-GB"/>
        </w:rPr>
        <w:t>https://doi.org/10.3390/vaccines11081325</w:t>
      </w:r>
      <w:r>
        <w:fldChar w:fldCharType="end"/>
      </w:r>
    </w:p>
    <w:p w14:paraId="21BBFFD5" w14:textId="77777777" w:rsidR="00BA3752" w:rsidRDefault="006408C8" w:rsidP="00BA3752">
      <w:pPr>
        <w:pBdr>
          <w:bottom w:val="none" w:sz="0" w:space="11" w:color="auto"/>
        </w:pBdr>
        <w:shd w:val="clear" w:color="auto" w:fill="FFFFFF"/>
        <w:ind w:right="-169"/>
        <w:rPr>
          <w:rFonts w:asciiTheme="minorHAnsi" w:hAnsiTheme="minorHAnsi" w:cstheme="minorHAnsi"/>
          <w:sz w:val="20"/>
          <w:szCs w:val="20"/>
          <w:lang w:val="en-GB"/>
        </w:rPr>
      </w:pPr>
      <w:proofErr w:type="spellStart"/>
      <w:r w:rsidRPr="00193D4B">
        <w:rPr>
          <w:rFonts w:asciiTheme="minorHAnsi" w:hAnsiTheme="minorHAnsi" w:cstheme="minorHAnsi"/>
          <w:color w:val="333333"/>
          <w:sz w:val="20"/>
          <w:szCs w:val="20"/>
          <w:lang w:val="en-GB"/>
        </w:rPr>
        <w:t>Schöley</w:t>
      </w:r>
      <w:proofErr w:type="spellEnd"/>
      <w:r w:rsidRPr="00193D4B">
        <w:rPr>
          <w:rFonts w:asciiTheme="minorHAnsi" w:hAnsiTheme="minorHAnsi" w:cstheme="minorHAnsi"/>
          <w:color w:val="333333"/>
          <w:sz w:val="20"/>
          <w:szCs w:val="20"/>
          <w:lang w:val="en-GB"/>
        </w:rPr>
        <w:t xml:space="preserve">, J., Aburto, J. M., </w:t>
      </w:r>
      <w:proofErr w:type="spellStart"/>
      <w:r w:rsidRPr="00193D4B">
        <w:rPr>
          <w:rFonts w:asciiTheme="minorHAnsi" w:hAnsiTheme="minorHAnsi" w:cstheme="minorHAnsi"/>
          <w:color w:val="333333"/>
          <w:sz w:val="20"/>
          <w:szCs w:val="20"/>
          <w:lang w:val="en-GB"/>
        </w:rPr>
        <w:t>Kashnitsky</w:t>
      </w:r>
      <w:proofErr w:type="spellEnd"/>
      <w:r w:rsidRPr="00193D4B">
        <w:rPr>
          <w:rFonts w:asciiTheme="minorHAnsi" w:hAnsiTheme="minorHAnsi" w:cstheme="minorHAnsi"/>
          <w:color w:val="333333"/>
          <w:sz w:val="20"/>
          <w:szCs w:val="20"/>
          <w:lang w:val="en-GB"/>
        </w:rPr>
        <w:t xml:space="preserve">, I., </w:t>
      </w:r>
      <w:proofErr w:type="spellStart"/>
      <w:r w:rsidRPr="00193D4B">
        <w:rPr>
          <w:rFonts w:asciiTheme="minorHAnsi" w:hAnsiTheme="minorHAnsi" w:cstheme="minorHAnsi"/>
          <w:color w:val="333333"/>
          <w:sz w:val="20"/>
          <w:szCs w:val="20"/>
          <w:lang w:val="en-GB"/>
        </w:rPr>
        <w:t>Kniffka</w:t>
      </w:r>
      <w:proofErr w:type="spellEnd"/>
      <w:r w:rsidRPr="00193D4B">
        <w:rPr>
          <w:rFonts w:asciiTheme="minorHAnsi" w:hAnsiTheme="minorHAnsi" w:cstheme="minorHAnsi"/>
          <w:color w:val="333333"/>
          <w:sz w:val="20"/>
          <w:szCs w:val="20"/>
          <w:lang w:val="en-GB"/>
        </w:rPr>
        <w:t xml:space="preserve">, M. S., Zhang, L., </w:t>
      </w:r>
      <w:proofErr w:type="spellStart"/>
      <w:r w:rsidRPr="00193D4B">
        <w:rPr>
          <w:rFonts w:asciiTheme="minorHAnsi" w:hAnsiTheme="minorHAnsi" w:cstheme="minorHAnsi"/>
          <w:color w:val="333333"/>
          <w:sz w:val="20"/>
          <w:szCs w:val="20"/>
          <w:lang w:val="en-GB"/>
        </w:rPr>
        <w:t>Jaadla</w:t>
      </w:r>
      <w:proofErr w:type="spellEnd"/>
      <w:r w:rsidRPr="00193D4B">
        <w:rPr>
          <w:rFonts w:asciiTheme="minorHAnsi" w:hAnsiTheme="minorHAnsi" w:cstheme="minorHAnsi"/>
          <w:color w:val="333333"/>
          <w:sz w:val="20"/>
          <w:szCs w:val="20"/>
          <w:lang w:val="en-GB"/>
        </w:rPr>
        <w:t xml:space="preserve">, H., Dowd, J. B., &amp; Kashyap, R. (2022). Life expectancy changes since COVID-19. Nature human behaviour, 6(12), 1649–1659. </w:t>
      </w:r>
      <w:r>
        <w:fldChar w:fldCharType="begin"/>
      </w:r>
      <w:r w:rsidRPr="00F44A43">
        <w:rPr>
          <w:lang w:val="en-HK"/>
        </w:rPr>
        <w:instrText>HYPERLINK "https://doi.org/10.1038/s41562-022-01450-3"</w:instrText>
      </w:r>
      <w:r>
        <w:fldChar w:fldCharType="separate"/>
      </w:r>
      <w:r w:rsidRPr="00193D4B">
        <w:rPr>
          <w:rStyle w:val="Hyperlink"/>
          <w:rFonts w:asciiTheme="minorHAnsi" w:hAnsiTheme="minorHAnsi" w:cstheme="minorHAnsi"/>
          <w:sz w:val="20"/>
          <w:szCs w:val="20"/>
          <w:lang w:val="en-GB"/>
        </w:rPr>
        <w:t>https://doi.org/10.1038/s41562-022-01450-3</w:t>
      </w:r>
      <w:r>
        <w:fldChar w:fldCharType="end"/>
      </w:r>
    </w:p>
    <w:p w14:paraId="29B82C1A" w14:textId="77777777" w:rsidR="00BA3752" w:rsidRDefault="006408C8" w:rsidP="00BA3752">
      <w:pPr>
        <w:pBdr>
          <w:bottom w:val="none" w:sz="0" w:space="11" w:color="auto"/>
        </w:pBdr>
        <w:shd w:val="clear" w:color="auto" w:fill="FFFFFF"/>
        <w:ind w:right="-169"/>
        <w:rPr>
          <w:rFonts w:asciiTheme="minorHAnsi" w:hAnsiTheme="minorHAnsi" w:cstheme="minorHAnsi"/>
          <w:sz w:val="20"/>
          <w:szCs w:val="20"/>
          <w:lang w:val="en-GB"/>
        </w:rPr>
      </w:pPr>
      <w:r w:rsidRPr="00193D4B">
        <w:rPr>
          <w:rFonts w:asciiTheme="minorHAnsi" w:hAnsiTheme="minorHAnsi" w:cstheme="minorHAnsi"/>
          <w:color w:val="1F1F1F"/>
          <w:sz w:val="20"/>
          <w:szCs w:val="20"/>
          <w:lang w:val="en-GB"/>
        </w:rPr>
        <w:lastRenderedPageBreak/>
        <w:t xml:space="preserve">Skowronski, D. M., &amp; De Serres, G. (2021). Safety and Efficacy of the BNT162b2 mRNA Covid-19 Vaccine. The New England journal of medicine, 384(16), 1576–1577. </w:t>
      </w:r>
      <w:hyperlink r:id="rId15" w:history="1">
        <w:r w:rsidRPr="00193D4B">
          <w:rPr>
            <w:rStyle w:val="Hyperlink"/>
            <w:rFonts w:asciiTheme="minorHAnsi" w:hAnsiTheme="minorHAnsi" w:cstheme="minorHAnsi"/>
            <w:sz w:val="20"/>
            <w:szCs w:val="20"/>
            <w:lang w:val="en-GB"/>
          </w:rPr>
          <w:t>https://doi.org/10.1056/NEJMc2036242</w:t>
        </w:r>
      </w:hyperlink>
    </w:p>
    <w:p w14:paraId="5BF93176" w14:textId="77777777" w:rsidR="00BA3752" w:rsidRDefault="006408C8" w:rsidP="00BA3752">
      <w:pPr>
        <w:pBdr>
          <w:bottom w:val="none" w:sz="0" w:space="11" w:color="auto"/>
        </w:pBdr>
        <w:shd w:val="clear" w:color="auto" w:fill="FFFFFF"/>
        <w:ind w:right="-169"/>
        <w:rPr>
          <w:rFonts w:asciiTheme="minorHAnsi" w:hAnsiTheme="minorHAnsi" w:cstheme="minorHAnsi"/>
          <w:sz w:val="20"/>
          <w:szCs w:val="20"/>
          <w:lang w:val="en-GB"/>
        </w:rPr>
      </w:pPr>
      <w:proofErr w:type="spellStart"/>
      <w:r w:rsidRPr="00193D4B">
        <w:rPr>
          <w:rFonts w:asciiTheme="minorHAnsi" w:hAnsiTheme="minorHAnsi" w:cstheme="minorHAnsi"/>
          <w:color w:val="000000"/>
          <w:sz w:val="20"/>
          <w:szCs w:val="20"/>
          <w:lang w:val="en-GB"/>
        </w:rPr>
        <w:t>Soliani</w:t>
      </w:r>
      <w:proofErr w:type="spellEnd"/>
      <w:r w:rsidRPr="00193D4B">
        <w:rPr>
          <w:rFonts w:asciiTheme="minorHAnsi" w:hAnsiTheme="minorHAnsi" w:cstheme="minorHAnsi"/>
          <w:color w:val="000000"/>
          <w:sz w:val="20"/>
          <w:szCs w:val="20"/>
          <w:lang w:val="en-GB"/>
        </w:rPr>
        <w:t xml:space="preserve"> L. (2008). </w:t>
      </w:r>
      <w:proofErr w:type="spellStart"/>
      <w:r w:rsidRPr="00193D4B">
        <w:rPr>
          <w:rStyle w:val="Emphasis"/>
          <w:rFonts w:asciiTheme="minorHAnsi" w:hAnsiTheme="minorHAnsi" w:cstheme="minorHAnsi"/>
          <w:color w:val="000000"/>
          <w:sz w:val="20"/>
          <w:szCs w:val="20"/>
          <w:lang w:val="en-GB"/>
        </w:rPr>
        <w:t>Statistica</w:t>
      </w:r>
      <w:proofErr w:type="spellEnd"/>
      <w:r w:rsidRPr="00193D4B">
        <w:rPr>
          <w:rStyle w:val="Emphasis"/>
          <w:rFonts w:asciiTheme="minorHAnsi" w:hAnsiTheme="minorHAnsi" w:cstheme="minorHAnsi"/>
          <w:color w:val="000000"/>
          <w:sz w:val="20"/>
          <w:szCs w:val="20"/>
          <w:lang w:val="en-GB"/>
        </w:rPr>
        <w:t xml:space="preserve"> </w:t>
      </w:r>
      <w:proofErr w:type="spellStart"/>
      <w:r w:rsidRPr="00193D4B">
        <w:rPr>
          <w:rStyle w:val="Emphasis"/>
          <w:rFonts w:asciiTheme="minorHAnsi" w:hAnsiTheme="minorHAnsi" w:cstheme="minorHAnsi"/>
          <w:color w:val="000000"/>
          <w:sz w:val="20"/>
          <w:szCs w:val="20"/>
          <w:lang w:val="en-GB"/>
        </w:rPr>
        <w:t>Applicata</w:t>
      </w:r>
      <w:proofErr w:type="spellEnd"/>
      <w:proofErr w:type="gramStart"/>
      <w:r w:rsidRPr="00193D4B">
        <w:rPr>
          <w:rStyle w:val="Emphasis"/>
          <w:rFonts w:asciiTheme="minorHAnsi" w:hAnsiTheme="minorHAnsi" w:cstheme="minorHAnsi"/>
          <w:color w:val="000000"/>
          <w:sz w:val="20"/>
          <w:szCs w:val="20"/>
          <w:lang w:val="en-GB"/>
        </w:rPr>
        <w:t>.</w:t>
      </w:r>
      <w:r w:rsidRPr="00193D4B">
        <w:rPr>
          <w:rFonts w:asciiTheme="minorHAnsi" w:hAnsiTheme="minorHAnsi" w:cstheme="minorHAnsi"/>
          <w:color w:val="000000"/>
          <w:sz w:val="20"/>
          <w:szCs w:val="20"/>
          <w:lang w:val="en-GB"/>
        </w:rPr>
        <w:t> :</w:t>
      </w:r>
      <w:proofErr w:type="gramEnd"/>
      <w:r w:rsidRPr="00193D4B">
        <w:rPr>
          <w:rFonts w:asciiTheme="minorHAnsi" w:hAnsiTheme="minorHAnsi" w:cstheme="minorHAnsi"/>
          <w:color w:val="000000"/>
          <w:sz w:val="20"/>
          <w:szCs w:val="20"/>
          <w:lang w:val="en-GB"/>
        </w:rPr>
        <w:t xml:space="preserve"> </w:t>
      </w:r>
      <w:proofErr w:type="spellStart"/>
      <w:r w:rsidRPr="00193D4B">
        <w:rPr>
          <w:rFonts w:asciiTheme="minorHAnsi" w:hAnsiTheme="minorHAnsi" w:cstheme="minorHAnsi"/>
          <w:color w:val="000000"/>
          <w:sz w:val="20"/>
          <w:szCs w:val="20"/>
          <w:lang w:val="en-GB"/>
        </w:rPr>
        <w:t>Uni.Nova</w:t>
      </w:r>
      <w:proofErr w:type="spellEnd"/>
      <w:r w:rsidRPr="00193D4B">
        <w:rPr>
          <w:rFonts w:asciiTheme="minorHAnsi" w:hAnsiTheme="minorHAnsi" w:cstheme="minorHAnsi"/>
          <w:color w:val="000000"/>
          <w:sz w:val="20"/>
          <w:szCs w:val="20"/>
          <w:lang w:val="en-GB"/>
        </w:rPr>
        <w:t>.</w:t>
      </w:r>
    </w:p>
    <w:p w14:paraId="63B89E3C" w14:textId="77777777" w:rsidR="00BA3752" w:rsidRDefault="006408C8" w:rsidP="00BA3752">
      <w:pPr>
        <w:pBdr>
          <w:bottom w:val="none" w:sz="0" w:space="11" w:color="auto"/>
        </w:pBdr>
        <w:shd w:val="clear" w:color="auto" w:fill="FFFFFF"/>
        <w:ind w:right="-169"/>
        <w:rPr>
          <w:rFonts w:asciiTheme="minorHAnsi" w:hAnsiTheme="minorHAnsi" w:cstheme="minorHAnsi"/>
          <w:sz w:val="20"/>
          <w:szCs w:val="20"/>
          <w:lang w:val="en-GB"/>
        </w:rPr>
      </w:pPr>
      <w:r w:rsidRPr="00193D4B">
        <w:rPr>
          <w:rFonts w:asciiTheme="minorHAnsi" w:hAnsiTheme="minorHAnsi" w:cstheme="minorHAnsi"/>
          <w:color w:val="212121"/>
          <w:sz w:val="20"/>
          <w:szCs w:val="20"/>
          <w:shd w:val="clear" w:color="auto" w:fill="FFFFFF"/>
          <w:lang w:val="en-GB"/>
        </w:rPr>
        <w:t xml:space="preserve">Vail, E. A., </w:t>
      </w:r>
      <w:proofErr w:type="spellStart"/>
      <w:r w:rsidRPr="00193D4B">
        <w:rPr>
          <w:rFonts w:asciiTheme="minorHAnsi" w:hAnsiTheme="minorHAnsi" w:cstheme="minorHAnsi"/>
          <w:color w:val="212121"/>
          <w:sz w:val="20"/>
          <w:szCs w:val="20"/>
          <w:shd w:val="clear" w:color="auto" w:fill="FFFFFF"/>
          <w:lang w:val="en-GB"/>
        </w:rPr>
        <w:t>Gershengorn</w:t>
      </w:r>
      <w:proofErr w:type="spellEnd"/>
      <w:r w:rsidRPr="00193D4B">
        <w:rPr>
          <w:rFonts w:asciiTheme="minorHAnsi" w:hAnsiTheme="minorHAnsi" w:cstheme="minorHAnsi"/>
          <w:color w:val="212121"/>
          <w:sz w:val="20"/>
          <w:szCs w:val="20"/>
          <w:shd w:val="clear" w:color="auto" w:fill="FFFFFF"/>
          <w:lang w:val="en-GB"/>
        </w:rPr>
        <w:t xml:space="preserve">, H. B., Wunsch, H., &amp; </w:t>
      </w:r>
      <w:proofErr w:type="spellStart"/>
      <w:r w:rsidRPr="00193D4B">
        <w:rPr>
          <w:rFonts w:asciiTheme="minorHAnsi" w:hAnsiTheme="minorHAnsi" w:cstheme="minorHAnsi"/>
          <w:color w:val="212121"/>
          <w:sz w:val="20"/>
          <w:szCs w:val="20"/>
          <w:shd w:val="clear" w:color="auto" w:fill="FFFFFF"/>
          <w:lang w:val="en-GB"/>
        </w:rPr>
        <w:t>Walkey</w:t>
      </w:r>
      <w:proofErr w:type="spellEnd"/>
      <w:r w:rsidRPr="00193D4B">
        <w:rPr>
          <w:rFonts w:asciiTheme="minorHAnsi" w:hAnsiTheme="minorHAnsi" w:cstheme="minorHAnsi"/>
          <w:color w:val="212121"/>
          <w:sz w:val="20"/>
          <w:szCs w:val="20"/>
          <w:shd w:val="clear" w:color="auto" w:fill="FFFFFF"/>
          <w:lang w:val="en-GB"/>
        </w:rPr>
        <w:t>, A. J. (2021). Attention to Immortal Time Bias in Critical Care Research. </w:t>
      </w:r>
      <w:r w:rsidRPr="00193D4B">
        <w:rPr>
          <w:rFonts w:asciiTheme="minorHAnsi" w:hAnsiTheme="minorHAnsi" w:cstheme="minorHAnsi"/>
          <w:i/>
          <w:iCs/>
          <w:color w:val="212121"/>
          <w:sz w:val="20"/>
          <w:szCs w:val="20"/>
          <w:shd w:val="clear" w:color="auto" w:fill="FFFFFF"/>
          <w:lang w:val="en-GB"/>
        </w:rPr>
        <w:t>American journal of respiratory and critical care medicine</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203</w:t>
      </w:r>
      <w:r w:rsidRPr="00193D4B">
        <w:rPr>
          <w:rFonts w:asciiTheme="minorHAnsi" w:hAnsiTheme="minorHAnsi" w:cstheme="minorHAnsi"/>
          <w:color w:val="212121"/>
          <w:sz w:val="20"/>
          <w:szCs w:val="20"/>
          <w:shd w:val="clear" w:color="auto" w:fill="FFFFFF"/>
          <w:lang w:val="en-GB"/>
        </w:rPr>
        <w:t xml:space="preserve">(10), 1222–1229. </w:t>
      </w:r>
      <w:r>
        <w:fldChar w:fldCharType="begin"/>
      </w:r>
      <w:r w:rsidRPr="00F44A43">
        <w:rPr>
          <w:lang w:val="en-HK"/>
        </w:rPr>
        <w:instrText>HYPERLINK "https://doi.org/10.1164/rccm.202008-3238CP"</w:instrText>
      </w:r>
      <w:r>
        <w:fldChar w:fldCharType="separate"/>
      </w:r>
      <w:r w:rsidRPr="00193D4B">
        <w:rPr>
          <w:rStyle w:val="Hyperlink"/>
          <w:rFonts w:asciiTheme="minorHAnsi" w:hAnsiTheme="minorHAnsi" w:cstheme="minorHAnsi"/>
          <w:sz w:val="20"/>
          <w:szCs w:val="20"/>
          <w:shd w:val="clear" w:color="auto" w:fill="FFFFFF"/>
          <w:lang w:val="en-GB"/>
        </w:rPr>
        <w:t>https://doi.org/10.1164/rccm.202008-3238CP</w:t>
      </w:r>
      <w:r>
        <w:fldChar w:fldCharType="end"/>
      </w:r>
    </w:p>
    <w:p w14:paraId="1687DF2C" w14:textId="3BB9D8A2" w:rsidR="006408C8" w:rsidRPr="00BA3752" w:rsidRDefault="006408C8" w:rsidP="00BA3752">
      <w:pPr>
        <w:pBdr>
          <w:bottom w:val="none" w:sz="0" w:space="11" w:color="auto"/>
        </w:pBdr>
        <w:shd w:val="clear" w:color="auto" w:fill="FFFFFF"/>
        <w:ind w:right="-169"/>
        <w:rPr>
          <w:rFonts w:asciiTheme="minorHAnsi" w:hAnsiTheme="minorHAnsi" w:cstheme="minorHAnsi"/>
          <w:sz w:val="20"/>
          <w:szCs w:val="20"/>
          <w:highlight w:val="white"/>
          <w:lang w:val="en-GB"/>
        </w:rPr>
      </w:pPr>
      <w:proofErr w:type="spellStart"/>
      <w:r w:rsidRPr="00193D4B">
        <w:rPr>
          <w:rFonts w:asciiTheme="minorHAnsi" w:hAnsiTheme="minorHAnsi" w:cstheme="minorHAnsi"/>
          <w:sz w:val="20"/>
          <w:szCs w:val="20"/>
          <w:lang w:val="en-GB"/>
        </w:rPr>
        <w:t>Walkowiak</w:t>
      </w:r>
      <w:proofErr w:type="spellEnd"/>
      <w:r w:rsidRPr="00193D4B">
        <w:rPr>
          <w:rFonts w:asciiTheme="minorHAnsi" w:hAnsiTheme="minorHAnsi" w:cstheme="minorHAnsi"/>
          <w:sz w:val="20"/>
          <w:szCs w:val="20"/>
          <w:lang w:val="en-GB"/>
        </w:rPr>
        <w:t xml:space="preserve">, M. P., </w:t>
      </w:r>
      <w:proofErr w:type="spellStart"/>
      <w:r w:rsidRPr="00193D4B">
        <w:rPr>
          <w:rFonts w:asciiTheme="minorHAnsi" w:hAnsiTheme="minorHAnsi" w:cstheme="minorHAnsi"/>
          <w:sz w:val="20"/>
          <w:szCs w:val="20"/>
          <w:lang w:val="en-GB"/>
        </w:rPr>
        <w:t>Domaradzki</w:t>
      </w:r>
      <w:proofErr w:type="spellEnd"/>
      <w:r w:rsidRPr="00193D4B">
        <w:rPr>
          <w:rFonts w:asciiTheme="minorHAnsi" w:hAnsiTheme="minorHAnsi" w:cstheme="minorHAnsi"/>
          <w:sz w:val="20"/>
          <w:szCs w:val="20"/>
          <w:lang w:val="en-GB"/>
        </w:rPr>
        <w:t xml:space="preserve">, J., &amp; </w:t>
      </w:r>
      <w:proofErr w:type="spellStart"/>
      <w:r w:rsidRPr="00193D4B">
        <w:rPr>
          <w:rFonts w:asciiTheme="minorHAnsi" w:hAnsiTheme="minorHAnsi" w:cstheme="minorHAnsi"/>
          <w:sz w:val="20"/>
          <w:szCs w:val="20"/>
          <w:lang w:val="en-GB"/>
        </w:rPr>
        <w:t>Walkowiak</w:t>
      </w:r>
      <w:proofErr w:type="spellEnd"/>
      <w:r w:rsidRPr="00193D4B">
        <w:rPr>
          <w:rFonts w:asciiTheme="minorHAnsi" w:hAnsiTheme="minorHAnsi" w:cstheme="minorHAnsi"/>
          <w:sz w:val="20"/>
          <w:szCs w:val="20"/>
          <w:lang w:val="en-GB"/>
        </w:rPr>
        <w:t xml:space="preserve">, D. (2023). Unmasking the COVID-19 pandemic prevention gains: excess mortality reversal in 2022. Public health, 223, 193–201. </w:t>
      </w:r>
      <w:r>
        <w:fldChar w:fldCharType="begin"/>
      </w:r>
      <w:r w:rsidRPr="00F44A43">
        <w:rPr>
          <w:lang w:val="en-HK"/>
        </w:rPr>
        <w:instrText>HYPERLINK "https://doi.org/10.1016/j.puhe.2023.08.004"</w:instrText>
      </w:r>
      <w:r>
        <w:fldChar w:fldCharType="separate"/>
      </w:r>
      <w:r w:rsidRPr="00193D4B">
        <w:rPr>
          <w:rStyle w:val="Hyperlink"/>
          <w:rFonts w:asciiTheme="minorHAnsi" w:hAnsiTheme="minorHAnsi" w:cstheme="minorHAnsi"/>
          <w:sz w:val="20"/>
          <w:szCs w:val="20"/>
          <w:lang w:val="en-GB"/>
        </w:rPr>
        <w:t>https://doi.org/10.1016/j.puhe.2023.08.004</w:t>
      </w:r>
      <w:r>
        <w:fldChar w:fldCharType="end"/>
      </w:r>
    </w:p>
    <w:p w14:paraId="758958F2" w14:textId="77777777" w:rsidR="006408C8" w:rsidRPr="00193D4B" w:rsidRDefault="006408C8" w:rsidP="00193D4B">
      <w:pPr>
        <w:ind w:right="-169"/>
        <w:rPr>
          <w:rFonts w:asciiTheme="minorHAnsi" w:hAnsiTheme="minorHAnsi" w:cstheme="minorHAnsi"/>
          <w:color w:val="000000"/>
          <w:sz w:val="20"/>
          <w:szCs w:val="20"/>
          <w:lang w:val="en-GB"/>
        </w:rPr>
      </w:pPr>
      <w:r w:rsidRPr="00193D4B">
        <w:rPr>
          <w:rFonts w:asciiTheme="minorHAnsi" w:hAnsiTheme="minorHAnsi" w:cstheme="minorHAnsi"/>
          <w:color w:val="000000"/>
          <w:sz w:val="20"/>
          <w:szCs w:val="20"/>
          <w:lang w:val="en-GB"/>
        </w:rPr>
        <w:t>World Health Organization (2022). </w:t>
      </w:r>
      <w:r w:rsidRPr="00193D4B">
        <w:rPr>
          <w:rStyle w:val="Emphasis"/>
          <w:rFonts w:asciiTheme="minorHAnsi" w:hAnsiTheme="minorHAnsi" w:cstheme="minorHAnsi"/>
          <w:color w:val="000000"/>
          <w:sz w:val="20"/>
          <w:szCs w:val="20"/>
          <w:lang w:val="en-GB"/>
        </w:rPr>
        <w:t>WHO COVID-19 dashboard</w:t>
      </w:r>
      <w:r w:rsidRPr="00193D4B">
        <w:rPr>
          <w:rFonts w:asciiTheme="minorHAnsi" w:hAnsiTheme="minorHAnsi" w:cstheme="minorHAnsi"/>
          <w:color w:val="000000"/>
          <w:sz w:val="20"/>
          <w:szCs w:val="20"/>
          <w:lang w:val="en-GB"/>
        </w:rPr>
        <w:t xml:space="preserve">. </w:t>
      </w:r>
      <w:r>
        <w:fldChar w:fldCharType="begin"/>
      </w:r>
      <w:r w:rsidRPr="00F44A43">
        <w:rPr>
          <w:lang w:val="en-HK"/>
        </w:rPr>
        <w:instrText>HYPERLINK "https://data.who.int/dashboards/covid19/cases?n=c"</w:instrText>
      </w:r>
      <w:r>
        <w:fldChar w:fldCharType="separate"/>
      </w:r>
      <w:r w:rsidRPr="00193D4B">
        <w:rPr>
          <w:rStyle w:val="Hyperlink"/>
          <w:rFonts w:asciiTheme="minorHAnsi" w:hAnsiTheme="minorHAnsi" w:cstheme="minorHAnsi"/>
          <w:sz w:val="20"/>
          <w:szCs w:val="20"/>
          <w:lang w:val="en-GB"/>
        </w:rPr>
        <w:t>https://data.who.int/dashboards/covid19/cases?n=c</w:t>
      </w:r>
      <w:r>
        <w:fldChar w:fldCharType="end"/>
      </w:r>
    </w:p>
    <w:p w14:paraId="3126446F" w14:textId="77777777" w:rsidR="006408C8" w:rsidRPr="00193D4B" w:rsidRDefault="006408C8" w:rsidP="00193D4B">
      <w:pPr>
        <w:ind w:right="-169"/>
        <w:rPr>
          <w:rFonts w:asciiTheme="minorHAnsi" w:hAnsiTheme="minorHAnsi" w:cstheme="minorHAnsi"/>
          <w:color w:val="333333"/>
          <w:sz w:val="20"/>
          <w:szCs w:val="20"/>
          <w:highlight w:val="white"/>
          <w:lang w:val="en-GB"/>
        </w:rPr>
      </w:pPr>
      <w:r w:rsidRPr="00193D4B">
        <w:rPr>
          <w:rFonts w:asciiTheme="minorHAnsi" w:hAnsiTheme="minorHAnsi" w:cstheme="minorHAnsi"/>
          <w:sz w:val="20"/>
          <w:szCs w:val="20"/>
          <w:lang w:val="en-GB"/>
        </w:rPr>
        <w:t>Wright, L., Steptoe, A., &amp; Fancourt, D. (2021). Predictors of self-reported adherence to COVID-19 guidelines. A longitudinal observational study of 51,600 UK adults. The Lancet regional health. Europe, 4, 100061. https://doi.org/10.1016/j.lanepe.2021.100061</w:t>
      </w:r>
    </w:p>
    <w:p w14:paraId="241C2E38" w14:textId="16FD0770" w:rsidR="006408C8" w:rsidRPr="00193D4B" w:rsidRDefault="006408C8" w:rsidP="00193D4B">
      <w:pPr>
        <w:ind w:right="-169"/>
        <w:rPr>
          <w:rFonts w:asciiTheme="minorHAnsi" w:hAnsiTheme="minorHAnsi" w:cstheme="minorHAnsi"/>
          <w:color w:val="212121"/>
          <w:sz w:val="20"/>
          <w:szCs w:val="20"/>
          <w:shd w:val="clear" w:color="auto" w:fill="FFFFFF"/>
          <w:lang w:val="en-GB"/>
        </w:rPr>
      </w:pPr>
      <w:r w:rsidRPr="00193D4B">
        <w:rPr>
          <w:rFonts w:asciiTheme="minorHAnsi" w:hAnsiTheme="minorHAnsi" w:cstheme="minorHAnsi"/>
          <w:color w:val="212121"/>
          <w:sz w:val="20"/>
          <w:szCs w:val="20"/>
          <w:shd w:val="clear" w:color="auto" w:fill="FFFFFF"/>
          <w:lang w:val="en-GB"/>
        </w:rPr>
        <w:t>Yao, Y., Hu, B., &amp; Liu, X. (2023). Life expectancy trends in China in the post-COVID-19 era. </w:t>
      </w:r>
      <w:r w:rsidRPr="00193D4B">
        <w:rPr>
          <w:rFonts w:asciiTheme="minorHAnsi" w:hAnsiTheme="minorHAnsi" w:cstheme="minorHAnsi"/>
          <w:i/>
          <w:iCs/>
          <w:color w:val="212121"/>
          <w:sz w:val="20"/>
          <w:szCs w:val="20"/>
          <w:shd w:val="clear" w:color="auto" w:fill="FFFFFF"/>
          <w:lang w:val="en-GB"/>
        </w:rPr>
        <w:t>The Lancet. Public health</w:t>
      </w:r>
      <w:r w:rsidRPr="00193D4B">
        <w:rPr>
          <w:rFonts w:asciiTheme="minorHAnsi" w:hAnsiTheme="minorHAnsi" w:cstheme="minorHAnsi"/>
          <w:color w:val="212121"/>
          <w:sz w:val="20"/>
          <w:szCs w:val="20"/>
          <w:shd w:val="clear" w:color="auto" w:fill="FFFFFF"/>
          <w:lang w:val="en-GB"/>
        </w:rPr>
        <w:t>, </w:t>
      </w:r>
      <w:r w:rsidRPr="00193D4B">
        <w:rPr>
          <w:rFonts w:asciiTheme="minorHAnsi" w:hAnsiTheme="minorHAnsi" w:cstheme="minorHAnsi"/>
          <w:i/>
          <w:iCs/>
          <w:color w:val="212121"/>
          <w:sz w:val="20"/>
          <w:szCs w:val="20"/>
          <w:shd w:val="clear" w:color="auto" w:fill="FFFFFF"/>
          <w:lang w:val="en-GB"/>
        </w:rPr>
        <w:t>8</w:t>
      </w:r>
      <w:r w:rsidRPr="00193D4B">
        <w:rPr>
          <w:rFonts w:asciiTheme="minorHAnsi" w:hAnsiTheme="minorHAnsi" w:cstheme="minorHAnsi"/>
          <w:color w:val="212121"/>
          <w:sz w:val="20"/>
          <w:szCs w:val="20"/>
          <w:shd w:val="clear" w:color="auto" w:fill="FFFFFF"/>
          <w:lang w:val="en-GB"/>
        </w:rPr>
        <w:t xml:space="preserve">(12), e906–e907. </w:t>
      </w:r>
      <w:r w:rsidR="00E9129B">
        <w:fldChar w:fldCharType="begin"/>
      </w:r>
      <w:r w:rsidR="00E9129B" w:rsidRPr="00F44A43">
        <w:rPr>
          <w:lang w:val="en-HK"/>
        </w:rPr>
        <w:instrText>HYPERLINK "https://doi.org/10.1016/S2468-2667(23)00074-9"</w:instrText>
      </w:r>
      <w:r w:rsidR="00E9129B">
        <w:fldChar w:fldCharType="separate"/>
      </w:r>
      <w:r w:rsidR="00E9129B" w:rsidRPr="00193D4B">
        <w:rPr>
          <w:rStyle w:val="Hyperlink"/>
          <w:rFonts w:asciiTheme="minorHAnsi" w:hAnsiTheme="minorHAnsi" w:cstheme="minorHAnsi"/>
          <w:sz w:val="20"/>
          <w:szCs w:val="20"/>
          <w:shd w:val="clear" w:color="auto" w:fill="FFFFFF"/>
          <w:lang w:val="en-GB"/>
        </w:rPr>
        <w:t>https://doi.org/10.1016/S2468-2667(23)00074-9</w:t>
      </w:r>
      <w:r w:rsidR="00E9129B">
        <w:fldChar w:fldCharType="end"/>
      </w:r>
    </w:p>
    <w:p w14:paraId="3C221332" w14:textId="10B3ECB4" w:rsidR="00E9129B" w:rsidRPr="00193D4B" w:rsidRDefault="00E9129B" w:rsidP="00193D4B">
      <w:pPr>
        <w:spacing w:line="240" w:lineRule="auto"/>
        <w:ind w:right="-169"/>
        <w:rPr>
          <w:rFonts w:asciiTheme="minorHAnsi" w:hAnsiTheme="minorHAnsi" w:cstheme="minorHAnsi"/>
          <w:color w:val="212121"/>
          <w:sz w:val="20"/>
          <w:szCs w:val="20"/>
          <w:shd w:val="clear" w:color="auto" w:fill="FFFFFF"/>
          <w:lang w:val="en-GB"/>
        </w:rPr>
      </w:pPr>
      <w:r w:rsidRPr="00193D4B">
        <w:rPr>
          <w:rFonts w:asciiTheme="minorHAnsi" w:hAnsiTheme="minorHAnsi" w:cstheme="minorHAnsi"/>
          <w:color w:val="212121"/>
          <w:sz w:val="20"/>
          <w:szCs w:val="20"/>
          <w:shd w:val="clear" w:color="auto" w:fill="FFFFFF"/>
          <w:lang w:val="en-GB"/>
        </w:rPr>
        <w:br w:type="page"/>
      </w:r>
    </w:p>
    <w:p w14:paraId="33104AA0" w14:textId="77777777" w:rsidR="00BA3752" w:rsidRDefault="00BA3752" w:rsidP="00193D4B">
      <w:pPr>
        <w:ind w:right="-169"/>
        <w:rPr>
          <w:rFonts w:asciiTheme="minorHAnsi" w:hAnsiTheme="minorHAnsi" w:cstheme="minorHAnsi"/>
          <w:b/>
          <w:bCs/>
          <w:color w:val="212121"/>
          <w:sz w:val="28"/>
          <w:szCs w:val="28"/>
          <w:shd w:val="clear" w:color="auto" w:fill="FFFFFF"/>
          <w:lang w:val="en-GB"/>
        </w:rPr>
        <w:sectPr w:rsidR="00BA3752" w:rsidSect="00740841">
          <w:type w:val="continuous"/>
          <w:pgSz w:w="11909" w:h="16834"/>
          <w:pgMar w:top="1134" w:right="1134" w:bottom="1134" w:left="1134" w:header="720" w:footer="720" w:gutter="0"/>
          <w:pgNumType w:start="1"/>
          <w:cols w:num="2" w:space="409"/>
        </w:sectPr>
      </w:pPr>
    </w:p>
    <w:p w14:paraId="7F877F88" w14:textId="0CDA379D" w:rsidR="00BA3752" w:rsidRDefault="00E00B8E" w:rsidP="00193D4B">
      <w:pPr>
        <w:ind w:right="-169"/>
        <w:rPr>
          <w:rFonts w:asciiTheme="minorHAnsi" w:hAnsiTheme="minorHAnsi" w:cstheme="minorHAnsi"/>
          <w:b/>
          <w:bCs/>
          <w:color w:val="212121"/>
          <w:sz w:val="28"/>
          <w:szCs w:val="28"/>
          <w:shd w:val="clear" w:color="auto" w:fill="FFFFFF"/>
          <w:lang w:val="en-GB"/>
        </w:rPr>
      </w:pPr>
      <w:r w:rsidRPr="00BA3752">
        <w:rPr>
          <w:rFonts w:asciiTheme="minorHAnsi" w:hAnsiTheme="minorHAnsi" w:cstheme="minorHAnsi"/>
          <w:b/>
          <w:bCs/>
          <w:color w:val="212121"/>
          <w:sz w:val="28"/>
          <w:szCs w:val="28"/>
          <w:shd w:val="clear" w:color="auto" w:fill="FFFFFF"/>
          <w:lang w:val="en-GB"/>
        </w:rPr>
        <w:lastRenderedPageBreak/>
        <w:t>Supplementary Materials</w:t>
      </w:r>
      <w:r w:rsidR="00E9129B" w:rsidRPr="00BA3752">
        <w:rPr>
          <w:rFonts w:asciiTheme="minorHAnsi" w:hAnsiTheme="minorHAnsi" w:cstheme="minorHAnsi"/>
          <w:b/>
          <w:bCs/>
          <w:color w:val="212121"/>
          <w:sz w:val="28"/>
          <w:szCs w:val="28"/>
          <w:shd w:val="clear" w:color="auto" w:fill="FFFFFF"/>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BA3752" w:rsidRPr="00F44A43" w14:paraId="42028FA2" w14:textId="77777777" w:rsidTr="00BA3752">
        <w:tc>
          <w:tcPr>
            <w:tcW w:w="4815" w:type="dxa"/>
          </w:tcPr>
          <w:p w14:paraId="00201D03"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"https://lh7-rt.googleusercontent.com/docsz/AD_4nXfjz02ruesDZ1HJqEDgkMBkaclYmmAtQI_25J0WkfLWvxfPD77ycbXejQjJ7IkJY2DGiNCzQK9jmeItuKpiDqrXmEQWVw1XyYCsq2ry5-ObOC9jJvHd7_xAdE4oNCE3pltgSEieSQ?key=3_SSclzdZ4CTcEYpH7rMD05o"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19975D76" wp14:editId="5EE931A3">
                  <wp:extent cx="2739390" cy="1916430"/>
                  <wp:effectExtent l="0" t="0" r="3810" b="1270"/>
                  <wp:docPr id="1535570692"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5607" name="Picture 1" descr="A graph with a bar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4793" cy="1927206"/>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0F7E3A3A" w14:textId="1DBBEC12"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S1: Box Plot of RRs by Dose Category (18-39 Age Group)</w:t>
            </w:r>
          </w:p>
        </w:tc>
        <w:tc>
          <w:tcPr>
            <w:tcW w:w="4816" w:type="dxa"/>
          </w:tcPr>
          <w:p w14:paraId="05A4AA16"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"https://lh7-rt.googleusercontent.com/docsz/AD_4nXel2c2Q04u_02r1Ssyrst4L6TyhRPmT8b7A3lRsoN279PIooi4vFY8zp2UO3sex5Gl8aqQo0CYcgAKU0v0fFysRprXvZC-70ArZ9aXxlECPWeNpSzaB3znBjho78lep3mAVuR8HEQ?key=3_SSclzdZ4CTcEYpH7rMD05o"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6BD0D2D8" wp14:editId="45358B86">
                  <wp:extent cx="2740025" cy="1916430"/>
                  <wp:effectExtent l="0" t="0" r="3175" b="1270"/>
                  <wp:docPr id="659790163" name="Picture 2" descr="A graph with white squares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1103" name="Picture 2" descr="A graph with white squares and black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025" cy="1916430"/>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788C8621" w14:textId="6A64A663"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2</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40-49</w:t>
            </w:r>
            <w:r w:rsidRPr="00BA3752">
              <w:rPr>
                <w:color w:val="000000"/>
                <w:sz w:val="16"/>
                <w:szCs w:val="16"/>
                <w:bdr w:val="none" w:sz="0" w:space="0" w:color="auto" w:frame="1"/>
                <w:lang w:val="en-GB"/>
              </w:rPr>
              <w:t xml:space="preserve"> Age Group)</w:t>
            </w:r>
          </w:p>
        </w:tc>
      </w:tr>
      <w:tr w:rsidR="00BA3752" w:rsidRPr="00F44A43" w14:paraId="28E267BF" w14:textId="77777777" w:rsidTr="00BA3752">
        <w:tc>
          <w:tcPr>
            <w:tcW w:w="4815" w:type="dxa"/>
          </w:tcPr>
          <w:p w14:paraId="63B13831"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"https://lh7-rt.googleusercontent.com/docsz/AD_4nXcliCVc7vUWoJoFwU_R63WQDqgkfG8N-1Bno2TejOetwpGxe2FOncGfmbFOpXehxtB2Pbl2A9bQu-Rj60QauOi28l10OQV2uLwUIcaRi9Lg3DdMIUoW9FnczauT0LdpxdmdpkpQmA?key=3_SSclzdZ4CTcEYpH7rMD05o"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2036AEDA" wp14:editId="6CDEA4A1">
                  <wp:extent cx="2739390" cy="1916430"/>
                  <wp:effectExtent l="0" t="0" r="3810" b="1270"/>
                  <wp:docPr id="265496519" name="Picture 3" descr="A graph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64058" name="Picture 3" descr="A graph with a black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9390" cy="1916430"/>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774D060D" w14:textId="6EECD884"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3</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 xml:space="preserve">50-59 </w:t>
            </w:r>
            <w:r w:rsidRPr="00BA3752">
              <w:rPr>
                <w:color w:val="000000"/>
                <w:sz w:val="16"/>
                <w:szCs w:val="16"/>
                <w:bdr w:val="none" w:sz="0" w:space="0" w:color="auto" w:frame="1"/>
                <w:lang w:val="en-GB"/>
              </w:rPr>
              <w:t>Age Group)</w:t>
            </w:r>
          </w:p>
        </w:tc>
        <w:tc>
          <w:tcPr>
            <w:tcW w:w="4816" w:type="dxa"/>
          </w:tcPr>
          <w:p w14:paraId="0BDF25FE"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"https://lh7-rt.googleusercontent.com/docsz/AD_4nXeCN5fJ7EnxfTC5g4ZscEI-Lzc9eqmQNoZ3vMZ2AtHnazMoDcQDmF5dn8IjVtvqP5WkqNbjteH7VZ1ZaEVK6Icph2zpPiQNKPs072PtP0bB2k_2pI05FcsUTgq_N4383e1HMoLW?key=3_SSclzdZ4CTcEYpH7rMD05o"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629C054F" wp14:editId="1684970C">
                  <wp:extent cx="2740025" cy="1916430"/>
                  <wp:effectExtent l="0" t="0" r="3175" b="1270"/>
                  <wp:docPr id="342077936" name="Picture 4" descr="A graph with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0832" name="Picture 4" descr="A graph with square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0025" cy="1916430"/>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60EE1682" w14:textId="0F3B20C4"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4</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60-69</w:t>
            </w:r>
            <w:r w:rsidRPr="00BA3752">
              <w:rPr>
                <w:color w:val="000000"/>
                <w:sz w:val="16"/>
                <w:szCs w:val="16"/>
                <w:bdr w:val="none" w:sz="0" w:space="0" w:color="auto" w:frame="1"/>
                <w:lang w:val="en-GB"/>
              </w:rPr>
              <w:t>Age Group)</w:t>
            </w:r>
          </w:p>
        </w:tc>
      </w:tr>
      <w:tr w:rsidR="00BA3752" w:rsidRPr="00F44A43" w14:paraId="44C79AE5" w14:textId="77777777" w:rsidTr="00BA3752">
        <w:tc>
          <w:tcPr>
            <w:tcW w:w="4815" w:type="dxa"/>
          </w:tcPr>
          <w:p w14:paraId="05017825"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"https://lh7-rt.googleusercontent.com/docsz/AD_4nXdqbdOi_E0yJhOFKazT32inUvTsy8rUCt4fEIqLE2-2h3uc3xIK_gHaedYPyeb1xwRawK7jRW4sA8OLGsge9CoF2U-7P46zH3f1e6VBKYc0cd_0ljsoIsMKrCZAjj1YSgRyzcw4QQ?key=3_SSclzdZ4CTcEYpH7rMD05o"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62733346" wp14:editId="7882F44B">
                  <wp:extent cx="2739390" cy="1916430"/>
                  <wp:effectExtent l="0" t="0" r="3810" b="1270"/>
                  <wp:docPr id="1026682612" name="Picture 5" descr="A graph with white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44299" name="Picture 5" descr="A graph with white squares and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9390" cy="1916430"/>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10B2E128" w14:textId="0D4FFB0F"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5</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 xml:space="preserve">70-79 </w:t>
            </w:r>
            <w:r w:rsidRPr="00BA3752">
              <w:rPr>
                <w:color w:val="000000"/>
                <w:sz w:val="16"/>
                <w:szCs w:val="16"/>
                <w:bdr w:val="none" w:sz="0" w:space="0" w:color="auto" w:frame="1"/>
                <w:lang w:val="en-GB"/>
              </w:rPr>
              <w:t>Age Group)</w:t>
            </w:r>
          </w:p>
        </w:tc>
        <w:tc>
          <w:tcPr>
            <w:tcW w:w="4816" w:type="dxa"/>
          </w:tcPr>
          <w:p w14:paraId="6065C745"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"https://lh7-rt.googleusercontent.com/docsz/AD_4nXejtV_7lJjhftIol4ZGWhaOkEOQdCFdMW52WYdIgjffXvgmSZ9pzlA_15KyFvc_2Js4H2TG14S7-eKGvDRIIa8wWXMuAbcQdBuYcPlCkPf2-L1afmWTgmD9VW1xi-wfWLWHH0LKrw?key=3_SSclzdZ4CTcEYpH7rMD05o"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14E07A66" wp14:editId="02C44B76">
                  <wp:extent cx="2740025" cy="1916430"/>
                  <wp:effectExtent l="0" t="0" r="3175" b="1270"/>
                  <wp:docPr id="1142812643" name="Picture 6" descr="A graph with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8404" name="Picture 6" descr="A graph with squares and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0025" cy="1916430"/>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39747C0C" w14:textId="505F3122" w:rsidR="00BA3752"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6</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 xml:space="preserve">80-89 </w:t>
            </w:r>
            <w:r w:rsidRPr="00BA3752">
              <w:rPr>
                <w:color w:val="000000"/>
                <w:sz w:val="16"/>
                <w:szCs w:val="16"/>
                <w:bdr w:val="none" w:sz="0" w:space="0" w:color="auto" w:frame="1"/>
                <w:lang w:val="en-GB"/>
              </w:rPr>
              <w:t>Age Group)</w:t>
            </w:r>
          </w:p>
        </w:tc>
      </w:tr>
      <w:tr w:rsidR="00BA3752" w:rsidRPr="00F44A43" w14:paraId="739F1F88" w14:textId="77777777" w:rsidTr="00BA3752">
        <w:tc>
          <w:tcPr>
            <w:tcW w:w="4815" w:type="dxa"/>
          </w:tcPr>
          <w:p w14:paraId="649059AE" w14:textId="77777777" w:rsidR="00BA3752" w:rsidRDefault="00BA3752" w:rsidP="00193D4B">
            <w:pPr>
              <w:ind w:right="-169"/>
              <w:rPr>
                <w:color w:val="000000"/>
                <w:sz w:val="20"/>
                <w:szCs w:val="20"/>
                <w:bdr w:val="none" w:sz="0" w:space="0" w:color="auto" w:frame="1"/>
                <w:lang w:val="en-GB"/>
              </w:rPr>
            </w:pPr>
            <w:r w:rsidRPr="00193D4B">
              <w:rPr>
                <w:color w:val="000000"/>
                <w:sz w:val="20"/>
                <w:szCs w:val="20"/>
                <w:bdr w:val="none" w:sz="0" w:space="0" w:color="auto" w:frame="1"/>
                <w:lang w:val="en-GB"/>
              </w:rPr>
              <w:fldChar w:fldCharType="begin"/>
            </w:r>
            <w:r w:rsidRPr="00193D4B">
              <w:rPr>
                <w:color w:val="000000"/>
                <w:sz w:val="20"/>
                <w:szCs w:val="20"/>
                <w:bdr w:val="none" w:sz="0" w:space="0" w:color="auto" w:frame="1"/>
                <w:lang w:val="en-GB"/>
              </w:rPr>
              <w:instrText xml:space="preserve"> INCLUDEPICTURE "https://lh7-rt.googleusercontent.com/docsz/AD_4nXesb9_UVZup8dGBgqncv_kb1ucIsWf4E3_Wv14cov0cQpw2Hnl1VxbLM8NBXrk1DE-DqcNgjJH_pHm17aq6wU7vYFAt0tOde__osu7m4bezXE77BIKjlvliEVBWAlt7m5yP-Qvqkg?key=3_SSclzdZ4CTcEYpH7rMD05o" \* MERGEFORMATINET </w:instrText>
            </w:r>
            <w:r w:rsidRPr="00193D4B">
              <w:rPr>
                <w:color w:val="000000"/>
                <w:sz w:val="20"/>
                <w:szCs w:val="20"/>
                <w:bdr w:val="none" w:sz="0" w:space="0" w:color="auto" w:frame="1"/>
                <w:lang w:val="en-GB"/>
              </w:rPr>
              <w:fldChar w:fldCharType="separate"/>
            </w:r>
            <w:r w:rsidRPr="00193D4B">
              <w:rPr>
                <w:noProof/>
                <w:color w:val="000000"/>
                <w:sz w:val="20"/>
                <w:szCs w:val="20"/>
                <w:bdr w:val="none" w:sz="0" w:space="0" w:color="auto" w:frame="1"/>
                <w:lang w:val="en-GB"/>
              </w:rPr>
              <w:drawing>
                <wp:inline distT="0" distB="0" distL="0" distR="0" wp14:anchorId="5BA69B71" wp14:editId="21A62B00">
                  <wp:extent cx="2768179" cy="1936377"/>
                  <wp:effectExtent l="0" t="0" r="635" b="0"/>
                  <wp:docPr id="1440573153" name="Picture 7" descr="A graph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43224" name="Picture 7" descr="A graph with a black backgroun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0996" cy="1973323"/>
                          </a:xfrm>
                          <a:prstGeom prst="rect">
                            <a:avLst/>
                          </a:prstGeom>
                          <a:noFill/>
                          <a:ln>
                            <a:noFill/>
                          </a:ln>
                        </pic:spPr>
                      </pic:pic>
                    </a:graphicData>
                  </a:graphic>
                </wp:inline>
              </w:drawing>
            </w:r>
            <w:r w:rsidRPr="00193D4B">
              <w:rPr>
                <w:color w:val="000000"/>
                <w:sz w:val="20"/>
                <w:szCs w:val="20"/>
                <w:bdr w:val="none" w:sz="0" w:space="0" w:color="auto" w:frame="1"/>
                <w:lang w:val="en-GB"/>
              </w:rPr>
              <w:fldChar w:fldCharType="end"/>
            </w:r>
          </w:p>
          <w:p w14:paraId="388E286C" w14:textId="46FBE240" w:rsidR="009A4BC1" w:rsidRPr="00BA3752" w:rsidRDefault="00BA3752" w:rsidP="00193D4B">
            <w:pPr>
              <w:ind w:right="-169"/>
              <w:rPr>
                <w:color w:val="000000"/>
                <w:sz w:val="16"/>
                <w:szCs w:val="16"/>
                <w:bdr w:val="none" w:sz="0" w:space="0" w:color="auto" w:frame="1"/>
                <w:lang w:val="en-GB"/>
              </w:rPr>
            </w:pPr>
            <w:r w:rsidRPr="00BA3752">
              <w:rPr>
                <w:color w:val="000000"/>
                <w:sz w:val="16"/>
                <w:szCs w:val="16"/>
                <w:bdr w:val="none" w:sz="0" w:space="0" w:color="auto" w:frame="1"/>
                <w:lang w:val="en-GB"/>
              </w:rPr>
              <w:t>Figure S</w:t>
            </w:r>
            <w:r>
              <w:rPr>
                <w:color w:val="000000"/>
                <w:sz w:val="16"/>
                <w:szCs w:val="16"/>
                <w:bdr w:val="none" w:sz="0" w:space="0" w:color="auto" w:frame="1"/>
                <w:lang w:val="en-GB"/>
              </w:rPr>
              <w:t>7</w:t>
            </w:r>
            <w:r w:rsidRPr="00BA3752">
              <w:rPr>
                <w:color w:val="000000"/>
                <w:sz w:val="16"/>
                <w:szCs w:val="16"/>
                <w:bdr w:val="none" w:sz="0" w:space="0" w:color="auto" w:frame="1"/>
                <w:lang w:val="en-GB"/>
              </w:rPr>
              <w:t>: Box Plot of RRs by Dose Category (</w:t>
            </w:r>
            <w:r>
              <w:rPr>
                <w:color w:val="000000"/>
                <w:sz w:val="16"/>
                <w:szCs w:val="16"/>
                <w:bdr w:val="none" w:sz="0" w:space="0" w:color="auto" w:frame="1"/>
                <w:lang w:val="en-GB"/>
              </w:rPr>
              <w:t>90+</w:t>
            </w:r>
            <w:r w:rsidRPr="00BA3752">
              <w:rPr>
                <w:color w:val="000000"/>
                <w:sz w:val="16"/>
                <w:szCs w:val="16"/>
                <w:bdr w:val="none" w:sz="0" w:space="0" w:color="auto" w:frame="1"/>
                <w:lang w:val="en-GB"/>
              </w:rPr>
              <w:t xml:space="preserve"> Age Group)</w:t>
            </w:r>
          </w:p>
        </w:tc>
        <w:tc>
          <w:tcPr>
            <w:tcW w:w="4816" w:type="dxa"/>
          </w:tcPr>
          <w:p w14:paraId="40B179EC" w14:textId="77777777" w:rsidR="00BA3752" w:rsidRDefault="00BA3752" w:rsidP="00193D4B">
            <w:pPr>
              <w:ind w:right="-169"/>
              <w:rPr>
                <w:rFonts w:asciiTheme="minorHAnsi" w:hAnsiTheme="minorHAnsi" w:cstheme="minorHAnsi"/>
                <w:b/>
                <w:bCs/>
                <w:color w:val="212121"/>
                <w:sz w:val="28"/>
                <w:szCs w:val="28"/>
                <w:shd w:val="clear" w:color="auto" w:fill="FFFFFF"/>
                <w:lang w:val="en-GB"/>
              </w:rPr>
            </w:pPr>
          </w:p>
        </w:tc>
      </w:tr>
    </w:tbl>
    <w:p w14:paraId="130BB25F" w14:textId="6A8A4329" w:rsidR="00BA3752" w:rsidRDefault="00BA3752" w:rsidP="00193D4B">
      <w:pPr>
        <w:ind w:right="-169"/>
        <w:rPr>
          <w:rFonts w:asciiTheme="minorHAnsi" w:hAnsiTheme="minorHAnsi" w:cstheme="minorHAnsi"/>
          <w:b/>
          <w:bCs/>
          <w:color w:val="212121"/>
          <w:sz w:val="28"/>
          <w:szCs w:val="28"/>
          <w:shd w:val="clear" w:color="auto" w:fill="FFFFFF"/>
          <w:lang w:val="en-GB"/>
        </w:rPr>
        <w:sectPr w:rsidR="00BA3752" w:rsidSect="00BA3752">
          <w:type w:val="continuous"/>
          <w:pgSz w:w="11909" w:h="16834"/>
          <w:pgMar w:top="1134" w:right="1134" w:bottom="1134" w:left="1134" w:header="720" w:footer="720" w:gutter="0"/>
          <w:pgNumType w:start="1"/>
          <w:cols w:space="409"/>
        </w:sectPr>
      </w:pPr>
    </w:p>
    <w:p w14:paraId="544177E6" w14:textId="71583533" w:rsidR="00BA3752" w:rsidRDefault="00BA3752" w:rsidP="00193D4B">
      <w:pPr>
        <w:ind w:right="-169"/>
        <w:rPr>
          <w:rFonts w:asciiTheme="minorHAnsi" w:hAnsiTheme="minorHAnsi" w:cstheme="minorHAnsi"/>
          <w:b/>
          <w:bCs/>
          <w:color w:val="212121"/>
          <w:sz w:val="28"/>
          <w:szCs w:val="28"/>
          <w:shd w:val="clear" w:color="auto" w:fill="FFFFFF"/>
          <w:lang w:val="x-none"/>
        </w:rPr>
      </w:pPr>
    </w:p>
    <w:p w14:paraId="2EA73B9A" w14:textId="77777777" w:rsidR="004551AD" w:rsidRDefault="004551AD" w:rsidP="00193D4B">
      <w:pPr>
        <w:ind w:right="-169"/>
        <w:rPr>
          <w:rFonts w:asciiTheme="minorHAnsi" w:hAnsiTheme="minorHAnsi" w:cstheme="minorHAnsi"/>
          <w:b/>
          <w:bCs/>
          <w:color w:val="212121"/>
          <w:sz w:val="28"/>
          <w:szCs w:val="28"/>
          <w:shd w:val="clear" w:color="auto" w:fill="FFFFFF"/>
          <w:lang w:val="x-none"/>
        </w:rPr>
      </w:pPr>
    </w:p>
    <w:p w14:paraId="5B9737F8" w14:textId="2A4D5B9A" w:rsidR="004551AD" w:rsidRDefault="004551AD" w:rsidP="00193D4B">
      <w:pPr>
        <w:ind w:right="-169"/>
        <w:rPr>
          <w:rFonts w:asciiTheme="minorHAnsi" w:hAnsiTheme="minorHAnsi" w:cstheme="minorHAnsi"/>
          <w:b/>
          <w:bCs/>
          <w:color w:val="212121"/>
          <w:sz w:val="28"/>
          <w:szCs w:val="28"/>
          <w:shd w:val="clear" w:color="auto" w:fill="FFFFFF"/>
          <w:lang w:val="x-none"/>
        </w:rPr>
      </w:pPr>
    </w:p>
    <w:p w14:paraId="4BE260E4" w14:textId="77777777" w:rsidR="004551AD" w:rsidRDefault="004551AD" w:rsidP="00193D4B">
      <w:pPr>
        <w:ind w:right="-169"/>
        <w:rPr>
          <w:rFonts w:asciiTheme="minorHAnsi" w:hAnsiTheme="minorHAnsi" w:cstheme="minorHAnsi"/>
          <w:b/>
          <w:bCs/>
          <w:color w:val="212121"/>
          <w:sz w:val="28"/>
          <w:szCs w:val="28"/>
          <w:shd w:val="clear" w:color="auto" w:fill="FFFFFF"/>
          <w:lang w:val="x-none"/>
        </w:rPr>
        <w:sectPr w:rsidR="004551AD" w:rsidSect="00740841">
          <w:type w:val="continuous"/>
          <w:pgSz w:w="11909" w:h="16834"/>
          <w:pgMar w:top="1134" w:right="1134" w:bottom="1134" w:left="1134" w:header="720" w:footer="720" w:gutter="0"/>
          <w:pgNumType w:start="1"/>
          <w:cols w:num="2" w:space="409"/>
        </w:sectPr>
      </w:pPr>
    </w:p>
    <w:p w14:paraId="4E600430" w14:textId="583C5B8A" w:rsidR="004551AD" w:rsidRDefault="004551AD" w:rsidP="00193D4B">
      <w:pPr>
        <w:ind w:right="-169"/>
        <w:rPr>
          <w:rFonts w:asciiTheme="minorHAnsi" w:hAnsiTheme="minorHAnsi" w:cstheme="minorHAnsi"/>
          <w:b/>
          <w:bCs/>
          <w:color w:val="212121"/>
          <w:sz w:val="28"/>
          <w:szCs w:val="28"/>
          <w:shd w:val="clear" w:color="auto" w:fill="FFFFFF"/>
          <w:lang w:val="x-none"/>
        </w:rPr>
      </w:pPr>
      <w:r>
        <w:rPr>
          <w:rFonts w:asciiTheme="minorHAnsi" w:hAnsiTheme="minorHAnsi" w:cstheme="minorHAnsi"/>
          <w:b/>
          <w:bCs/>
          <w:color w:val="212121"/>
          <w:sz w:val="28"/>
          <w:szCs w:val="28"/>
          <w:shd w:val="clear" w:color="auto" w:fill="FFFFFF"/>
          <w:lang w:val="x-none"/>
        </w:rPr>
        <w:t xml:space="preserve">Data Availability Statement </w:t>
      </w:r>
    </w:p>
    <w:p w14:paraId="307D4C45" w14:textId="0631CE64" w:rsidR="004551AD" w:rsidRPr="00AD2814" w:rsidRDefault="004551AD" w:rsidP="00193D4B">
      <w:pPr>
        <w:ind w:right="-169"/>
        <w:rPr>
          <w:rFonts w:asciiTheme="minorHAnsi" w:hAnsiTheme="minorHAnsi" w:cstheme="minorHAnsi"/>
          <w:color w:val="212121"/>
          <w:sz w:val="24"/>
          <w:szCs w:val="24"/>
          <w:shd w:val="clear" w:color="auto" w:fill="FFFFFF"/>
          <w:lang w:val="x-none"/>
        </w:rPr>
      </w:pPr>
      <w:r w:rsidRPr="00AD2814">
        <w:rPr>
          <w:rFonts w:asciiTheme="minorHAnsi" w:hAnsiTheme="minorHAnsi" w:cstheme="minorHAnsi"/>
          <w:color w:val="212121"/>
          <w:sz w:val="24"/>
          <w:szCs w:val="24"/>
          <w:shd w:val="clear" w:color="auto" w:fill="FFFFFF"/>
          <w:lang w:val="x-none"/>
        </w:rPr>
        <w:t>The data presented in this study are openly available on the UK ONS web page entitled ”</w:t>
      </w:r>
      <w:r w:rsidRPr="00AD2814">
        <w:rPr>
          <w:sz w:val="24"/>
          <w:szCs w:val="24"/>
          <w:lang w:val="en-HK"/>
        </w:rPr>
        <w:t xml:space="preserve"> </w:t>
      </w:r>
      <w:r w:rsidRPr="00AD2814">
        <w:rPr>
          <w:rFonts w:asciiTheme="minorHAnsi" w:hAnsiTheme="minorHAnsi" w:cstheme="minorHAnsi"/>
          <w:color w:val="212121"/>
          <w:sz w:val="24"/>
          <w:szCs w:val="24"/>
          <w:shd w:val="clear" w:color="auto" w:fill="FFFFFF"/>
          <w:lang w:val="x-none"/>
        </w:rPr>
        <w:t>Deaths by vaccination status, England”, available online:</w:t>
      </w:r>
      <w:r w:rsidRPr="00AD2814">
        <w:rPr>
          <w:sz w:val="24"/>
          <w:szCs w:val="24"/>
          <w:lang w:val="en-HK"/>
        </w:rPr>
        <w:t xml:space="preserve"> </w:t>
      </w:r>
      <w:r>
        <w:fldChar w:fldCharType="begin"/>
      </w:r>
      <w:r w:rsidRPr="00F44A43">
        <w:rPr>
          <w:lang w:val="en-HK"/>
        </w:rPr>
        <w:instrText>HYPERLINK "https://www.ons.gov.uk/peoplepopulationandcommunity/birthsdeathsandmarriages/deaths/datasets/deathsbyvaccinationstatusengland"</w:instrText>
      </w:r>
      <w:r>
        <w:fldChar w:fldCharType="separate"/>
      </w:r>
      <w:r w:rsidRPr="00AD2814">
        <w:rPr>
          <w:rStyle w:val="Hyperlink"/>
          <w:rFonts w:asciiTheme="minorHAnsi" w:hAnsiTheme="minorHAnsi" w:cstheme="minorHAnsi"/>
          <w:sz w:val="24"/>
          <w:szCs w:val="24"/>
          <w:shd w:val="clear" w:color="auto" w:fill="FFFFFF"/>
          <w:lang w:val="x-none"/>
        </w:rPr>
        <w:t>https://www.ons.gov.uk/peoplepopulationandcommunity/birthsdeathsandmarriages/deaths/datasets/deathsbyvaccinationstatusengland</w:t>
      </w:r>
      <w:r>
        <w:fldChar w:fldCharType="end"/>
      </w:r>
      <w:r w:rsidRPr="00AD2814">
        <w:rPr>
          <w:rFonts w:asciiTheme="minorHAnsi" w:hAnsiTheme="minorHAnsi" w:cstheme="minorHAnsi"/>
          <w:color w:val="212121"/>
          <w:sz w:val="24"/>
          <w:szCs w:val="24"/>
          <w:shd w:val="clear" w:color="auto" w:fill="FFFFFF"/>
          <w:lang w:val="x-none"/>
        </w:rPr>
        <w:t xml:space="preserve"> </w:t>
      </w:r>
    </w:p>
    <w:p w14:paraId="62AA556C" w14:textId="6A7D8965" w:rsidR="004551AD" w:rsidRPr="00AD2814" w:rsidRDefault="004551AD" w:rsidP="00193D4B">
      <w:pPr>
        <w:ind w:right="-169"/>
        <w:rPr>
          <w:rFonts w:asciiTheme="minorHAnsi" w:hAnsiTheme="minorHAnsi" w:cstheme="minorHAnsi"/>
          <w:color w:val="212121"/>
          <w:sz w:val="24"/>
          <w:szCs w:val="24"/>
          <w:shd w:val="clear" w:color="auto" w:fill="FFFFFF"/>
          <w:lang w:val="x-none"/>
        </w:rPr>
      </w:pPr>
    </w:p>
    <w:p w14:paraId="21D5DD20" w14:textId="7C553FAB" w:rsidR="004551AD" w:rsidRPr="00AD2814" w:rsidRDefault="004551AD" w:rsidP="00193D4B">
      <w:pPr>
        <w:ind w:right="-169"/>
        <w:rPr>
          <w:rFonts w:asciiTheme="minorHAnsi" w:hAnsiTheme="minorHAnsi" w:cstheme="minorHAnsi"/>
          <w:color w:val="212121"/>
          <w:sz w:val="24"/>
          <w:szCs w:val="24"/>
          <w:shd w:val="clear" w:color="auto" w:fill="FFFFFF"/>
          <w:lang w:val="x-none"/>
        </w:rPr>
      </w:pPr>
      <w:r w:rsidRPr="00AD2814">
        <w:rPr>
          <w:rFonts w:asciiTheme="minorHAnsi" w:hAnsiTheme="minorHAnsi" w:cstheme="minorHAnsi"/>
          <w:color w:val="212121"/>
          <w:sz w:val="24"/>
          <w:szCs w:val="24"/>
          <w:shd w:val="clear" w:color="auto" w:fill="FFFFFF"/>
          <w:lang w:val="x-none"/>
        </w:rPr>
        <w:t>Supplementary Data</w:t>
      </w:r>
    </w:p>
    <w:p w14:paraId="21BC9DBE" w14:textId="77777777" w:rsidR="004551AD" w:rsidRPr="00AD2814" w:rsidRDefault="004551AD" w:rsidP="00193D4B">
      <w:pPr>
        <w:ind w:right="-169"/>
        <w:rPr>
          <w:rFonts w:asciiTheme="minorHAnsi" w:hAnsiTheme="minorHAnsi" w:cstheme="minorHAnsi"/>
          <w:color w:val="212121"/>
          <w:sz w:val="24"/>
          <w:szCs w:val="24"/>
          <w:shd w:val="clear" w:color="auto" w:fill="FFFFFF"/>
          <w:lang w:val="x-none"/>
        </w:rPr>
      </w:pPr>
      <w:proofErr w:type="spellStart"/>
      <w:r w:rsidRPr="00AD2814">
        <w:rPr>
          <w:rFonts w:asciiTheme="minorHAnsi" w:hAnsiTheme="minorHAnsi" w:cstheme="minorHAnsi"/>
          <w:color w:val="212121"/>
          <w:sz w:val="24"/>
          <w:szCs w:val="24"/>
          <w:shd w:val="clear" w:color="auto" w:fill="FFFFFF"/>
          <w:lang w:val="x-none"/>
        </w:rPr>
        <w:t>Geogle</w:t>
      </w:r>
      <w:proofErr w:type="spellEnd"/>
      <w:r w:rsidRPr="00AD2814">
        <w:rPr>
          <w:rFonts w:asciiTheme="minorHAnsi" w:hAnsiTheme="minorHAnsi" w:cstheme="minorHAnsi"/>
          <w:color w:val="212121"/>
          <w:sz w:val="24"/>
          <w:szCs w:val="24"/>
          <w:shd w:val="clear" w:color="auto" w:fill="FFFFFF"/>
          <w:lang w:val="x-none"/>
        </w:rPr>
        <w:t xml:space="preserve"> Drive: Data Analytics Project Supplementary Materials, </w:t>
      </w:r>
    </w:p>
    <w:p w14:paraId="41087348" w14:textId="408C171C" w:rsidR="004551AD" w:rsidRPr="00AD2814" w:rsidRDefault="004551AD" w:rsidP="00193D4B">
      <w:pPr>
        <w:ind w:right="-169"/>
        <w:rPr>
          <w:rFonts w:asciiTheme="minorHAnsi" w:hAnsiTheme="minorHAnsi" w:cstheme="minorHAnsi"/>
          <w:color w:val="212121"/>
          <w:sz w:val="24"/>
          <w:szCs w:val="24"/>
          <w:shd w:val="clear" w:color="auto" w:fill="FFFFFF"/>
          <w:lang w:val="x-none"/>
        </w:rPr>
      </w:pPr>
      <w:hyperlink r:id="rId23" w:history="1">
        <w:r w:rsidRPr="00AD2814">
          <w:rPr>
            <w:rStyle w:val="Hyperlink"/>
            <w:rFonts w:asciiTheme="minorHAnsi" w:hAnsiTheme="minorHAnsi" w:cstheme="minorHAnsi"/>
            <w:sz w:val="24"/>
            <w:szCs w:val="24"/>
            <w:shd w:val="clear" w:color="auto" w:fill="FFFFFF"/>
            <w:lang w:val="x-none"/>
          </w:rPr>
          <w:t>https://drive.google.com/drive/folders/1-Sdlq8HwKATzCygxnOzkF69a5pSmY44c?usp=sharing</w:t>
        </w:r>
      </w:hyperlink>
    </w:p>
    <w:p w14:paraId="219F22FA" w14:textId="77777777" w:rsidR="00AD2814" w:rsidRDefault="00AD2814" w:rsidP="00193D4B">
      <w:pPr>
        <w:ind w:right="-169"/>
        <w:rPr>
          <w:rFonts w:asciiTheme="minorHAnsi" w:hAnsiTheme="minorHAnsi" w:cstheme="minorHAnsi"/>
          <w:color w:val="212121"/>
          <w:sz w:val="24"/>
          <w:szCs w:val="24"/>
          <w:shd w:val="clear" w:color="auto" w:fill="FFFFFF"/>
          <w:lang w:val="x-none"/>
        </w:rPr>
      </w:pPr>
    </w:p>
    <w:p w14:paraId="765DD881" w14:textId="68265531" w:rsidR="004551AD" w:rsidRPr="00AD2814" w:rsidRDefault="004551AD" w:rsidP="00193D4B">
      <w:pPr>
        <w:ind w:right="-169"/>
        <w:rPr>
          <w:rFonts w:asciiTheme="minorHAnsi" w:hAnsiTheme="minorHAnsi" w:cstheme="minorHAnsi"/>
          <w:color w:val="212121"/>
          <w:sz w:val="24"/>
          <w:szCs w:val="24"/>
          <w:shd w:val="clear" w:color="auto" w:fill="FFFFFF"/>
          <w:lang w:val="x-none"/>
        </w:rPr>
      </w:pPr>
      <w:r w:rsidRPr="00AD2814">
        <w:rPr>
          <w:rFonts w:asciiTheme="minorHAnsi" w:hAnsiTheme="minorHAnsi" w:cstheme="minorHAnsi"/>
          <w:color w:val="212121"/>
          <w:sz w:val="24"/>
          <w:szCs w:val="24"/>
          <w:shd w:val="clear" w:color="auto" w:fill="FFFFFF"/>
          <w:lang w:val="x-none"/>
        </w:rPr>
        <w:t>This folder contains the following supplementary dataset:</w:t>
      </w:r>
    </w:p>
    <w:p w14:paraId="1F09FA97" w14:textId="6B6CCA98"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Box plot for different age groups 1.R</w:t>
      </w:r>
    </w:p>
    <w:p w14:paraId="22059618" w14:textId="76E8EECE"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Box Plot for different age groups2.R</w:t>
      </w:r>
    </w:p>
    <w:p w14:paraId="5FF6DD50" w14:textId="1F43C38F"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 xml:space="preserve">Negative-Binomial Distribution Forest </w:t>
      </w:r>
      <w:proofErr w:type="spellStart"/>
      <w:r w:rsidRPr="00AD2814">
        <w:rPr>
          <w:rFonts w:asciiTheme="minorHAnsi" w:hAnsiTheme="minorHAnsi" w:cstheme="minorHAnsi"/>
          <w:color w:val="212121"/>
          <w:sz w:val="24"/>
          <w:szCs w:val="24"/>
          <w:shd w:val="clear" w:color="auto" w:fill="FFFFFF"/>
          <w:lang w:val="en-GB"/>
        </w:rPr>
        <w:t>Plot.R</w:t>
      </w:r>
      <w:proofErr w:type="spellEnd"/>
    </w:p>
    <w:p w14:paraId="1C9085DA" w14:textId="5CA98285"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 xml:space="preserve">Negative-Binomial Distribution </w:t>
      </w:r>
      <w:proofErr w:type="spellStart"/>
      <w:r w:rsidRPr="00AD2814">
        <w:rPr>
          <w:rFonts w:asciiTheme="minorHAnsi" w:hAnsiTheme="minorHAnsi" w:cstheme="minorHAnsi"/>
          <w:color w:val="212121"/>
          <w:sz w:val="24"/>
          <w:szCs w:val="24"/>
          <w:shd w:val="clear" w:color="auto" w:fill="FFFFFF"/>
          <w:lang w:val="en-GB"/>
        </w:rPr>
        <w:t>Stargazer.R</w:t>
      </w:r>
      <w:proofErr w:type="spellEnd"/>
    </w:p>
    <w:p w14:paraId="38AB1F78" w14:textId="49BA34B4"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 xml:space="preserve">Poisson Distribution for Age </w:t>
      </w:r>
      <w:r w:rsidR="00AD2814" w:rsidRPr="00AD2814">
        <w:rPr>
          <w:rFonts w:asciiTheme="minorHAnsi" w:hAnsiTheme="minorHAnsi" w:cstheme="minorHAnsi"/>
          <w:color w:val="212121"/>
          <w:sz w:val="24"/>
          <w:szCs w:val="24"/>
          <w:shd w:val="clear" w:color="auto" w:fill="FFFFFF"/>
          <w:lang w:val="en-GB"/>
        </w:rPr>
        <w:t>group (</w:t>
      </w:r>
      <w:proofErr w:type="spellStart"/>
      <w:r w:rsidRPr="00AD2814">
        <w:rPr>
          <w:rFonts w:asciiTheme="minorHAnsi" w:hAnsiTheme="minorHAnsi" w:cstheme="minorHAnsi"/>
          <w:color w:val="212121"/>
          <w:sz w:val="24"/>
          <w:szCs w:val="24"/>
          <w:shd w:val="clear" w:color="auto" w:fill="FFFFFF"/>
          <w:lang w:val="en-GB"/>
        </w:rPr>
        <w:t>Unvacin</w:t>
      </w:r>
      <w:proofErr w:type="spellEnd"/>
      <w:r w:rsidRPr="00AD2814">
        <w:rPr>
          <w:rFonts w:asciiTheme="minorHAnsi" w:hAnsiTheme="minorHAnsi" w:cstheme="minorHAnsi"/>
          <w:color w:val="212121"/>
          <w:sz w:val="24"/>
          <w:szCs w:val="24"/>
          <w:shd w:val="clear" w:color="auto" w:fill="FFFFFF"/>
          <w:lang w:val="en-GB"/>
        </w:rPr>
        <w:t xml:space="preserve"> and </w:t>
      </w:r>
      <w:proofErr w:type="spellStart"/>
      <w:r w:rsidRPr="00AD2814">
        <w:rPr>
          <w:rFonts w:asciiTheme="minorHAnsi" w:hAnsiTheme="minorHAnsi" w:cstheme="minorHAnsi"/>
          <w:color w:val="212121"/>
          <w:sz w:val="24"/>
          <w:szCs w:val="24"/>
          <w:shd w:val="clear" w:color="auto" w:fill="FFFFFF"/>
          <w:lang w:val="en-GB"/>
        </w:rPr>
        <w:t>Vacin</w:t>
      </w:r>
      <w:proofErr w:type="spellEnd"/>
      <w:proofErr w:type="gramStart"/>
      <w:r w:rsidRPr="00AD2814">
        <w:rPr>
          <w:rFonts w:asciiTheme="minorHAnsi" w:hAnsiTheme="minorHAnsi" w:cstheme="minorHAnsi"/>
          <w:color w:val="212121"/>
          <w:sz w:val="24"/>
          <w:szCs w:val="24"/>
          <w:shd w:val="clear" w:color="auto" w:fill="FFFFFF"/>
          <w:lang w:val="en-GB"/>
        </w:rPr>
        <w:t>).R</w:t>
      </w:r>
      <w:proofErr w:type="gramEnd"/>
    </w:p>
    <w:p w14:paraId="72E67128" w14:textId="134024F8"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Supplementary Tables S1-S7 (RR Values).xlsx</w:t>
      </w:r>
    </w:p>
    <w:p w14:paraId="38517074" w14:textId="02648A70" w:rsidR="004551AD" w:rsidRPr="00AD2814" w:rsidRDefault="004551AD" w:rsidP="00AD2814">
      <w:pPr>
        <w:pStyle w:val="ListParagraph"/>
        <w:numPr>
          <w:ilvl w:val="0"/>
          <w:numId w:val="5"/>
        </w:numPr>
        <w:ind w:right="-169"/>
        <w:rPr>
          <w:rFonts w:asciiTheme="minorHAnsi" w:hAnsiTheme="minorHAnsi" w:cstheme="minorHAnsi"/>
          <w:color w:val="212121"/>
          <w:sz w:val="24"/>
          <w:szCs w:val="24"/>
          <w:shd w:val="clear" w:color="auto" w:fill="FFFFFF"/>
          <w:lang w:val="en-GB"/>
        </w:rPr>
      </w:pPr>
      <w:r w:rsidRPr="00AD2814">
        <w:rPr>
          <w:rFonts w:asciiTheme="minorHAnsi" w:hAnsiTheme="minorHAnsi" w:cstheme="minorHAnsi"/>
          <w:color w:val="212121"/>
          <w:sz w:val="24"/>
          <w:szCs w:val="24"/>
          <w:shd w:val="clear" w:color="auto" w:fill="FFFFFF"/>
          <w:lang w:val="en-GB"/>
        </w:rPr>
        <w:t>Table 2.xlsx</w:t>
      </w:r>
    </w:p>
    <w:p w14:paraId="09EA72D5" w14:textId="2084FD40" w:rsidR="00E9129B" w:rsidRPr="00BA3752" w:rsidRDefault="00E9129B" w:rsidP="00BA3752">
      <w:pPr>
        <w:spacing w:line="240" w:lineRule="auto"/>
        <w:rPr>
          <w:rFonts w:asciiTheme="minorHAnsi" w:hAnsiTheme="minorHAnsi" w:cstheme="minorHAnsi"/>
          <w:b/>
          <w:bCs/>
          <w:color w:val="212121"/>
          <w:sz w:val="28"/>
          <w:szCs w:val="28"/>
          <w:shd w:val="clear" w:color="auto" w:fill="FFFFFF"/>
          <w:lang w:val="en-GB"/>
        </w:rPr>
      </w:pPr>
    </w:p>
    <w:sectPr w:rsidR="00E9129B" w:rsidRPr="00BA3752" w:rsidSect="004551AD">
      <w:type w:val="continuous"/>
      <w:pgSz w:w="11909" w:h="16834"/>
      <w:pgMar w:top="1134" w:right="1134" w:bottom="1134" w:left="1134" w:header="720" w:footer="720" w:gutter="0"/>
      <w:pgNumType w:start="1"/>
      <w:cols w: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97D0F" w14:textId="77777777" w:rsidR="003D7DBD" w:rsidRDefault="003D7DBD" w:rsidP="00B86680">
      <w:pPr>
        <w:spacing w:line="240" w:lineRule="auto"/>
      </w:pPr>
      <w:r>
        <w:separator/>
      </w:r>
    </w:p>
  </w:endnote>
  <w:endnote w:type="continuationSeparator" w:id="0">
    <w:p w14:paraId="53ABD1BE" w14:textId="77777777" w:rsidR="003D7DBD" w:rsidRDefault="003D7DBD" w:rsidP="00B86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2160131"/>
      <w:docPartObj>
        <w:docPartGallery w:val="Page Numbers (Bottom of Page)"/>
        <w:docPartUnique/>
      </w:docPartObj>
    </w:sdtPr>
    <w:sdtContent>
      <w:p w14:paraId="126F91A5" w14:textId="0CE2688A" w:rsidR="00B86680" w:rsidRDefault="00B86680" w:rsidP="00F64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42A2E2" w14:textId="77777777" w:rsidR="00B86680" w:rsidRDefault="00B86680" w:rsidP="00B86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8856280"/>
      <w:docPartObj>
        <w:docPartGallery w:val="Page Numbers (Bottom of Page)"/>
        <w:docPartUnique/>
      </w:docPartObj>
    </w:sdtPr>
    <w:sdtContent>
      <w:p w14:paraId="3061D17C" w14:textId="2D7297BF" w:rsidR="00B86680" w:rsidRDefault="00B86680" w:rsidP="00F64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12E182B" w14:textId="77777777" w:rsidR="00B86680" w:rsidRDefault="00B86680" w:rsidP="00B86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C8610" w14:textId="77777777" w:rsidR="003D7DBD" w:rsidRDefault="003D7DBD" w:rsidP="00B86680">
      <w:pPr>
        <w:spacing w:line="240" w:lineRule="auto"/>
      </w:pPr>
      <w:r>
        <w:separator/>
      </w:r>
    </w:p>
  </w:footnote>
  <w:footnote w:type="continuationSeparator" w:id="0">
    <w:p w14:paraId="173B56D9" w14:textId="77777777" w:rsidR="003D7DBD" w:rsidRDefault="003D7DBD" w:rsidP="00B866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B2F"/>
    <w:multiLevelType w:val="multilevel"/>
    <w:tmpl w:val="837CC952"/>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006A2"/>
    <w:multiLevelType w:val="multilevel"/>
    <w:tmpl w:val="6E786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E0AC2"/>
    <w:multiLevelType w:val="multilevel"/>
    <w:tmpl w:val="D4E8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33B4A"/>
    <w:multiLevelType w:val="hybridMultilevel"/>
    <w:tmpl w:val="92EE3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5C4342"/>
    <w:multiLevelType w:val="multilevel"/>
    <w:tmpl w:val="1F9ADCA8"/>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8419381">
    <w:abstractNumId w:val="1"/>
  </w:num>
  <w:num w:numId="2" w16cid:durableId="1096637982">
    <w:abstractNumId w:val="4"/>
  </w:num>
  <w:num w:numId="3" w16cid:durableId="1928882174">
    <w:abstractNumId w:val="0"/>
  </w:num>
  <w:num w:numId="4" w16cid:durableId="1476340834">
    <w:abstractNumId w:val="2"/>
  </w:num>
  <w:num w:numId="5" w16cid:durableId="107513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onsecutiveHyphenLimit w:val="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2F"/>
    <w:rsid w:val="000F04F5"/>
    <w:rsid w:val="00193D4B"/>
    <w:rsid w:val="001E37A2"/>
    <w:rsid w:val="002B7FC4"/>
    <w:rsid w:val="002C4C2F"/>
    <w:rsid w:val="00383900"/>
    <w:rsid w:val="003D7DBD"/>
    <w:rsid w:val="004531EC"/>
    <w:rsid w:val="004551AD"/>
    <w:rsid w:val="00465481"/>
    <w:rsid w:val="004E35E0"/>
    <w:rsid w:val="004F1E36"/>
    <w:rsid w:val="005B4BD9"/>
    <w:rsid w:val="006375B7"/>
    <w:rsid w:val="006408C8"/>
    <w:rsid w:val="006849CB"/>
    <w:rsid w:val="006A0E73"/>
    <w:rsid w:val="006A4A3B"/>
    <w:rsid w:val="006B5679"/>
    <w:rsid w:val="006E2F0B"/>
    <w:rsid w:val="006E5579"/>
    <w:rsid w:val="00740841"/>
    <w:rsid w:val="00782C00"/>
    <w:rsid w:val="0083426B"/>
    <w:rsid w:val="00850F9A"/>
    <w:rsid w:val="0097364D"/>
    <w:rsid w:val="009A4BC1"/>
    <w:rsid w:val="009C18B8"/>
    <w:rsid w:val="00A0117B"/>
    <w:rsid w:val="00A201E6"/>
    <w:rsid w:val="00A71421"/>
    <w:rsid w:val="00AD2814"/>
    <w:rsid w:val="00AF587A"/>
    <w:rsid w:val="00B86680"/>
    <w:rsid w:val="00B93C64"/>
    <w:rsid w:val="00BA3752"/>
    <w:rsid w:val="00C23142"/>
    <w:rsid w:val="00C41755"/>
    <w:rsid w:val="00C862F8"/>
    <w:rsid w:val="00D10524"/>
    <w:rsid w:val="00E00B8E"/>
    <w:rsid w:val="00E218A2"/>
    <w:rsid w:val="00E460A2"/>
    <w:rsid w:val="00E500F8"/>
    <w:rsid w:val="00E738D7"/>
    <w:rsid w:val="00E87D06"/>
    <w:rsid w:val="00E9129B"/>
    <w:rsid w:val="00E91726"/>
    <w:rsid w:val="00F26FE6"/>
    <w:rsid w:val="00F44A4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5480"/>
  <w15:chartTrackingRefBased/>
  <w15:docId w15:val="{8E1490BC-9C8C-8948-9D86-DC47528D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2F"/>
    <w:pPr>
      <w:spacing w:line="276" w:lineRule="auto"/>
    </w:pPr>
    <w:rPr>
      <w:rFonts w:ascii="Arial" w:eastAsia="Arial" w:hAnsi="Arial" w:cs="Arial"/>
      <w:kern w:val="0"/>
      <w:sz w:val="22"/>
      <w:szCs w:val="22"/>
      <w:lang w:val="zh-TW"/>
      <w14:ligatures w14:val="none"/>
    </w:rPr>
  </w:style>
  <w:style w:type="paragraph" w:styleId="Heading1">
    <w:name w:val="heading 1"/>
    <w:basedOn w:val="Normal"/>
    <w:next w:val="Normal"/>
    <w:link w:val="Heading1Char"/>
    <w:uiPriority w:val="9"/>
    <w:qFormat/>
    <w:rsid w:val="002C4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4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C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C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C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C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C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C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C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C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C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C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C2F"/>
    <w:rPr>
      <w:rFonts w:eastAsiaTheme="majorEastAsia" w:cstheme="majorBidi"/>
      <w:color w:val="272727" w:themeColor="text1" w:themeTint="D8"/>
    </w:rPr>
  </w:style>
  <w:style w:type="paragraph" w:styleId="Title">
    <w:name w:val="Title"/>
    <w:basedOn w:val="Normal"/>
    <w:next w:val="Normal"/>
    <w:link w:val="TitleChar"/>
    <w:uiPriority w:val="10"/>
    <w:qFormat/>
    <w:rsid w:val="002C4C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C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C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4C2F"/>
    <w:rPr>
      <w:i/>
      <w:iCs/>
      <w:color w:val="404040" w:themeColor="text1" w:themeTint="BF"/>
    </w:rPr>
  </w:style>
  <w:style w:type="paragraph" w:styleId="ListParagraph">
    <w:name w:val="List Paragraph"/>
    <w:basedOn w:val="Normal"/>
    <w:uiPriority w:val="34"/>
    <w:qFormat/>
    <w:rsid w:val="002C4C2F"/>
    <w:pPr>
      <w:ind w:left="720"/>
      <w:contextualSpacing/>
    </w:pPr>
  </w:style>
  <w:style w:type="character" w:styleId="IntenseEmphasis">
    <w:name w:val="Intense Emphasis"/>
    <w:basedOn w:val="DefaultParagraphFont"/>
    <w:uiPriority w:val="21"/>
    <w:qFormat/>
    <w:rsid w:val="002C4C2F"/>
    <w:rPr>
      <w:i/>
      <w:iCs/>
      <w:color w:val="2F5496" w:themeColor="accent1" w:themeShade="BF"/>
    </w:rPr>
  </w:style>
  <w:style w:type="paragraph" w:styleId="IntenseQuote">
    <w:name w:val="Intense Quote"/>
    <w:basedOn w:val="Normal"/>
    <w:next w:val="Normal"/>
    <w:link w:val="IntenseQuoteChar"/>
    <w:uiPriority w:val="30"/>
    <w:qFormat/>
    <w:rsid w:val="002C4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C2F"/>
    <w:rPr>
      <w:i/>
      <w:iCs/>
      <w:color w:val="2F5496" w:themeColor="accent1" w:themeShade="BF"/>
    </w:rPr>
  </w:style>
  <w:style w:type="character" w:styleId="IntenseReference">
    <w:name w:val="Intense Reference"/>
    <w:basedOn w:val="DefaultParagraphFont"/>
    <w:uiPriority w:val="32"/>
    <w:qFormat/>
    <w:rsid w:val="002C4C2F"/>
    <w:rPr>
      <w:b/>
      <w:bCs/>
      <w:smallCaps/>
      <w:color w:val="2F5496" w:themeColor="accent1" w:themeShade="BF"/>
      <w:spacing w:val="5"/>
    </w:rPr>
  </w:style>
  <w:style w:type="paragraph" w:styleId="NormalWeb">
    <w:name w:val="Normal (Web)"/>
    <w:basedOn w:val="Normal"/>
    <w:uiPriority w:val="99"/>
    <w:semiHidden/>
    <w:unhideWhenUsed/>
    <w:rsid w:val="00A201E6"/>
    <w:pPr>
      <w:spacing w:before="100" w:beforeAutospacing="1" w:after="100" w:afterAutospacing="1" w:line="240" w:lineRule="auto"/>
    </w:pPr>
    <w:rPr>
      <w:rFonts w:ascii="Times New Roman" w:eastAsia="Times New Roman" w:hAnsi="Times New Roman" w:cs="Times New Roman"/>
      <w:sz w:val="24"/>
      <w:szCs w:val="24"/>
      <w:lang w:val="en-HK"/>
    </w:rPr>
  </w:style>
  <w:style w:type="character" w:styleId="PlaceholderText">
    <w:name w:val="Placeholder Text"/>
    <w:basedOn w:val="DefaultParagraphFont"/>
    <w:uiPriority w:val="99"/>
    <w:semiHidden/>
    <w:rsid w:val="00E87D06"/>
    <w:rPr>
      <w:color w:val="666666"/>
    </w:rPr>
  </w:style>
  <w:style w:type="paragraph" w:styleId="Caption">
    <w:name w:val="caption"/>
    <w:basedOn w:val="Normal"/>
    <w:next w:val="Normal"/>
    <w:uiPriority w:val="35"/>
    <w:unhideWhenUsed/>
    <w:qFormat/>
    <w:rsid w:val="009C18B8"/>
    <w:pPr>
      <w:spacing w:after="200" w:line="240" w:lineRule="auto"/>
    </w:pPr>
    <w:rPr>
      <w:i/>
      <w:iCs/>
      <w:color w:val="44546A" w:themeColor="text2"/>
      <w:sz w:val="18"/>
      <w:szCs w:val="18"/>
    </w:rPr>
  </w:style>
  <w:style w:type="character" w:styleId="Emphasis">
    <w:name w:val="Emphasis"/>
    <w:basedOn w:val="DefaultParagraphFont"/>
    <w:uiPriority w:val="20"/>
    <w:qFormat/>
    <w:rsid w:val="001E37A2"/>
    <w:rPr>
      <w:i/>
      <w:iCs/>
    </w:rPr>
  </w:style>
  <w:style w:type="character" w:styleId="Hyperlink">
    <w:name w:val="Hyperlink"/>
    <w:basedOn w:val="DefaultParagraphFont"/>
    <w:uiPriority w:val="99"/>
    <w:unhideWhenUsed/>
    <w:rsid w:val="001E37A2"/>
    <w:rPr>
      <w:color w:val="0563C1" w:themeColor="hyperlink"/>
      <w:u w:val="single"/>
    </w:rPr>
  </w:style>
  <w:style w:type="character" w:styleId="UnresolvedMention">
    <w:name w:val="Unresolved Mention"/>
    <w:basedOn w:val="DefaultParagraphFont"/>
    <w:uiPriority w:val="99"/>
    <w:semiHidden/>
    <w:unhideWhenUsed/>
    <w:rsid w:val="001E37A2"/>
    <w:rPr>
      <w:color w:val="605E5C"/>
      <w:shd w:val="clear" w:color="auto" w:fill="E1DFDD"/>
    </w:rPr>
  </w:style>
  <w:style w:type="character" w:styleId="FollowedHyperlink">
    <w:name w:val="FollowedHyperlink"/>
    <w:basedOn w:val="DefaultParagraphFont"/>
    <w:uiPriority w:val="99"/>
    <w:semiHidden/>
    <w:unhideWhenUsed/>
    <w:rsid w:val="00D10524"/>
    <w:rPr>
      <w:color w:val="954F72" w:themeColor="followedHyperlink"/>
      <w:u w:val="single"/>
    </w:rPr>
  </w:style>
  <w:style w:type="table" w:styleId="TableGrid">
    <w:name w:val="Table Grid"/>
    <w:basedOn w:val="TableNormal"/>
    <w:uiPriority w:val="39"/>
    <w:rsid w:val="00BA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6680"/>
    <w:pPr>
      <w:tabs>
        <w:tab w:val="center" w:pos="4513"/>
        <w:tab w:val="right" w:pos="9026"/>
      </w:tabs>
      <w:spacing w:line="240" w:lineRule="auto"/>
    </w:pPr>
  </w:style>
  <w:style w:type="character" w:customStyle="1" w:styleId="FooterChar">
    <w:name w:val="Footer Char"/>
    <w:basedOn w:val="DefaultParagraphFont"/>
    <w:link w:val="Footer"/>
    <w:uiPriority w:val="99"/>
    <w:rsid w:val="00B86680"/>
    <w:rPr>
      <w:rFonts w:ascii="Arial" w:eastAsia="Arial" w:hAnsi="Arial" w:cs="Arial"/>
      <w:kern w:val="0"/>
      <w:sz w:val="22"/>
      <w:szCs w:val="22"/>
      <w:lang w:val="zh-TW"/>
      <w14:ligatures w14:val="none"/>
    </w:rPr>
  </w:style>
  <w:style w:type="character" w:styleId="PageNumber">
    <w:name w:val="page number"/>
    <w:basedOn w:val="DefaultParagraphFont"/>
    <w:uiPriority w:val="99"/>
    <w:semiHidden/>
    <w:unhideWhenUsed/>
    <w:rsid w:val="00B8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35371">
      <w:bodyDiv w:val="1"/>
      <w:marLeft w:val="0"/>
      <w:marRight w:val="0"/>
      <w:marTop w:val="0"/>
      <w:marBottom w:val="0"/>
      <w:divBdr>
        <w:top w:val="none" w:sz="0" w:space="0" w:color="auto"/>
        <w:left w:val="none" w:sz="0" w:space="0" w:color="auto"/>
        <w:bottom w:val="none" w:sz="0" w:space="0" w:color="auto"/>
        <w:right w:val="none" w:sz="0" w:space="0" w:color="auto"/>
      </w:divBdr>
    </w:div>
    <w:div w:id="172691134">
      <w:bodyDiv w:val="1"/>
      <w:marLeft w:val="0"/>
      <w:marRight w:val="0"/>
      <w:marTop w:val="0"/>
      <w:marBottom w:val="0"/>
      <w:divBdr>
        <w:top w:val="none" w:sz="0" w:space="0" w:color="auto"/>
        <w:left w:val="none" w:sz="0" w:space="0" w:color="auto"/>
        <w:bottom w:val="none" w:sz="0" w:space="0" w:color="auto"/>
        <w:right w:val="none" w:sz="0" w:space="0" w:color="auto"/>
      </w:divBdr>
    </w:div>
    <w:div w:id="314720532">
      <w:bodyDiv w:val="1"/>
      <w:marLeft w:val="0"/>
      <w:marRight w:val="0"/>
      <w:marTop w:val="0"/>
      <w:marBottom w:val="0"/>
      <w:divBdr>
        <w:top w:val="none" w:sz="0" w:space="0" w:color="auto"/>
        <w:left w:val="none" w:sz="0" w:space="0" w:color="auto"/>
        <w:bottom w:val="none" w:sz="0" w:space="0" w:color="auto"/>
        <w:right w:val="none" w:sz="0" w:space="0" w:color="auto"/>
      </w:divBdr>
    </w:div>
    <w:div w:id="320936085">
      <w:bodyDiv w:val="1"/>
      <w:marLeft w:val="0"/>
      <w:marRight w:val="0"/>
      <w:marTop w:val="0"/>
      <w:marBottom w:val="0"/>
      <w:divBdr>
        <w:top w:val="none" w:sz="0" w:space="0" w:color="auto"/>
        <w:left w:val="none" w:sz="0" w:space="0" w:color="auto"/>
        <w:bottom w:val="none" w:sz="0" w:space="0" w:color="auto"/>
        <w:right w:val="none" w:sz="0" w:space="0" w:color="auto"/>
      </w:divBdr>
    </w:div>
    <w:div w:id="370158482">
      <w:bodyDiv w:val="1"/>
      <w:marLeft w:val="0"/>
      <w:marRight w:val="0"/>
      <w:marTop w:val="0"/>
      <w:marBottom w:val="0"/>
      <w:divBdr>
        <w:top w:val="none" w:sz="0" w:space="0" w:color="auto"/>
        <w:left w:val="none" w:sz="0" w:space="0" w:color="auto"/>
        <w:bottom w:val="none" w:sz="0" w:space="0" w:color="auto"/>
        <w:right w:val="none" w:sz="0" w:space="0" w:color="auto"/>
      </w:divBdr>
    </w:div>
    <w:div w:id="562720937">
      <w:bodyDiv w:val="1"/>
      <w:marLeft w:val="0"/>
      <w:marRight w:val="0"/>
      <w:marTop w:val="0"/>
      <w:marBottom w:val="0"/>
      <w:divBdr>
        <w:top w:val="none" w:sz="0" w:space="0" w:color="auto"/>
        <w:left w:val="none" w:sz="0" w:space="0" w:color="auto"/>
        <w:bottom w:val="none" w:sz="0" w:space="0" w:color="auto"/>
        <w:right w:val="none" w:sz="0" w:space="0" w:color="auto"/>
      </w:divBdr>
    </w:div>
    <w:div w:id="649747966">
      <w:bodyDiv w:val="1"/>
      <w:marLeft w:val="0"/>
      <w:marRight w:val="0"/>
      <w:marTop w:val="0"/>
      <w:marBottom w:val="0"/>
      <w:divBdr>
        <w:top w:val="none" w:sz="0" w:space="0" w:color="auto"/>
        <w:left w:val="none" w:sz="0" w:space="0" w:color="auto"/>
        <w:bottom w:val="none" w:sz="0" w:space="0" w:color="auto"/>
        <w:right w:val="none" w:sz="0" w:space="0" w:color="auto"/>
      </w:divBdr>
    </w:div>
    <w:div w:id="688412977">
      <w:bodyDiv w:val="1"/>
      <w:marLeft w:val="0"/>
      <w:marRight w:val="0"/>
      <w:marTop w:val="0"/>
      <w:marBottom w:val="0"/>
      <w:divBdr>
        <w:top w:val="none" w:sz="0" w:space="0" w:color="auto"/>
        <w:left w:val="none" w:sz="0" w:space="0" w:color="auto"/>
        <w:bottom w:val="none" w:sz="0" w:space="0" w:color="auto"/>
        <w:right w:val="none" w:sz="0" w:space="0" w:color="auto"/>
      </w:divBdr>
    </w:div>
    <w:div w:id="821968538">
      <w:bodyDiv w:val="1"/>
      <w:marLeft w:val="0"/>
      <w:marRight w:val="0"/>
      <w:marTop w:val="0"/>
      <w:marBottom w:val="0"/>
      <w:divBdr>
        <w:top w:val="none" w:sz="0" w:space="0" w:color="auto"/>
        <w:left w:val="none" w:sz="0" w:space="0" w:color="auto"/>
        <w:bottom w:val="none" w:sz="0" w:space="0" w:color="auto"/>
        <w:right w:val="none" w:sz="0" w:space="0" w:color="auto"/>
      </w:divBdr>
    </w:div>
    <w:div w:id="1027097573">
      <w:bodyDiv w:val="1"/>
      <w:marLeft w:val="0"/>
      <w:marRight w:val="0"/>
      <w:marTop w:val="0"/>
      <w:marBottom w:val="0"/>
      <w:divBdr>
        <w:top w:val="none" w:sz="0" w:space="0" w:color="auto"/>
        <w:left w:val="none" w:sz="0" w:space="0" w:color="auto"/>
        <w:bottom w:val="none" w:sz="0" w:space="0" w:color="auto"/>
        <w:right w:val="none" w:sz="0" w:space="0" w:color="auto"/>
      </w:divBdr>
    </w:div>
    <w:div w:id="1243415131">
      <w:bodyDiv w:val="1"/>
      <w:marLeft w:val="0"/>
      <w:marRight w:val="0"/>
      <w:marTop w:val="0"/>
      <w:marBottom w:val="0"/>
      <w:divBdr>
        <w:top w:val="none" w:sz="0" w:space="0" w:color="auto"/>
        <w:left w:val="none" w:sz="0" w:space="0" w:color="auto"/>
        <w:bottom w:val="none" w:sz="0" w:space="0" w:color="auto"/>
        <w:right w:val="none" w:sz="0" w:space="0" w:color="auto"/>
      </w:divBdr>
    </w:div>
    <w:div w:id="1259214261">
      <w:bodyDiv w:val="1"/>
      <w:marLeft w:val="0"/>
      <w:marRight w:val="0"/>
      <w:marTop w:val="0"/>
      <w:marBottom w:val="0"/>
      <w:divBdr>
        <w:top w:val="none" w:sz="0" w:space="0" w:color="auto"/>
        <w:left w:val="none" w:sz="0" w:space="0" w:color="auto"/>
        <w:bottom w:val="none" w:sz="0" w:space="0" w:color="auto"/>
        <w:right w:val="none" w:sz="0" w:space="0" w:color="auto"/>
      </w:divBdr>
    </w:div>
    <w:div w:id="1268083286">
      <w:bodyDiv w:val="1"/>
      <w:marLeft w:val="0"/>
      <w:marRight w:val="0"/>
      <w:marTop w:val="0"/>
      <w:marBottom w:val="0"/>
      <w:divBdr>
        <w:top w:val="none" w:sz="0" w:space="0" w:color="auto"/>
        <w:left w:val="none" w:sz="0" w:space="0" w:color="auto"/>
        <w:bottom w:val="none" w:sz="0" w:space="0" w:color="auto"/>
        <w:right w:val="none" w:sz="0" w:space="0" w:color="auto"/>
      </w:divBdr>
    </w:div>
    <w:div w:id="1365134108">
      <w:bodyDiv w:val="1"/>
      <w:marLeft w:val="0"/>
      <w:marRight w:val="0"/>
      <w:marTop w:val="0"/>
      <w:marBottom w:val="0"/>
      <w:divBdr>
        <w:top w:val="none" w:sz="0" w:space="0" w:color="auto"/>
        <w:left w:val="none" w:sz="0" w:space="0" w:color="auto"/>
        <w:bottom w:val="none" w:sz="0" w:space="0" w:color="auto"/>
        <w:right w:val="none" w:sz="0" w:space="0" w:color="auto"/>
      </w:divBdr>
    </w:div>
    <w:div w:id="1390614179">
      <w:bodyDiv w:val="1"/>
      <w:marLeft w:val="0"/>
      <w:marRight w:val="0"/>
      <w:marTop w:val="0"/>
      <w:marBottom w:val="0"/>
      <w:divBdr>
        <w:top w:val="none" w:sz="0" w:space="0" w:color="auto"/>
        <w:left w:val="none" w:sz="0" w:space="0" w:color="auto"/>
        <w:bottom w:val="none" w:sz="0" w:space="0" w:color="auto"/>
        <w:right w:val="none" w:sz="0" w:space="0" w:color="auto"/>
      </w:divBdr>
    </w:div>
    <w:div w:id="1437335583">
      <w:bodyDiv w:val="1"/>
      <w:marLeft w:val="0"/>
      <w:marRight w:val="0"/>
      <w:marTop w:val="0"/>
      <w:marBottom w:val="0"/>
      <w:divBdr>
        <w:top w:val="none" w:sz="0" w:space="0" w:color="auto"/>
        <w:left w:val="none" w:sz="0" w:space="0" w:color="auto"/>
        <w:bottom w:val="none" w:sz="0" w:space="0" w:color="auto"/>
        <w:right w:val="none" w:sz="0" w:space="0" w:color="auto"/>
      </w:divBdr>
    </w:div>
    <w:div w:id="1642541015">
      <w:bodyDiv w:val="1"/>
      <w:marLeft w:val="0"/>
      <w:marRight w:val="0"/>
      <w:marTop w:val="0"/>
      <w:marBottom w:val="0"/>
      <w:divBdr>
        <w:top w:val="none" w:sz="0" w:space="0" w:color="auto"/>
        <w:left w:val="none" w:sz="0" w:space="0" w:color="auto"/>
        <w:bottom w:val="none" w:sz="0" w:space="0" w:color="auto"/>
        <w:right w:val="none" w:sz="0" w:space="0" w:color="auto"/>
      </w:divBdr>
    </w:div>
    <w:div w:id="1675570015">
      <w:bodyDiv w:val="1"/>
      <w:marLeft w:val="0"/>
      <w:marRight w:val="0"/>
      <w:marTop w:val="0"/>
      <w:marBottom w:val="0"/>
      <w:divBdr>
        <w:top w:val="none" w:sz="0" w:space="0" w:color="auto"/>
        <w:left w:val="none" w:sz="0" w:space="0" w:color="auto"/>
        <w:bottom w:val="none" w:sz="0" w:space="0" w:color="auto"/>
        <w:right w:val="none" w:sz="0" w:space="0" w:color="auto"/>
      </w:divBdr>
    </w:div>
    <w:div w:id="1789541040">
      <w:bodyDiv w:val="1"/>
      <w:marLeft w:val="0"/>
      <w:marRight w:val="0"/>
      <w:marTop w:val="0"/>
      <w:marBottom w:val="0"/>
      <w:divBdr>
        <w:top w:val="none" w:sz="0" w:space="0" w:color="auto"/>
        <w:left w:val="none" w:sz="0" w:space="0" w:color="auto"/>
        <w:bottom w:val="none" w:sz="0" w:space="0" w:color="auto"/>
        <w:right w:val="none" w:sz="0" w:space="0" w:color="auto"/>
      </w:divBdr>
    </w:div>
    <w:div w:id="1846556761">
      <w:bodyDiv w:val="1"/>
      <w:marLeft w:val="0"/>
      <w:marRight w:val="0"/>
      <w:marTop w:val="0"/>
      <w:marBottom w:val="0"/>
      <w:divBdr>
        <w:top w:val="none" w:sz="0" w:space="0" w:color="auto"/>
        <w:left w:val="none" w:sz="0" w:space="0" w:color="auto"/>
        <w:bottom w:val="none" w:sz="0" w:space="0" w:color="auto"/>
        <w:right w:val="none" w:sz="0" w:space="0" w:color="auto"/>
      </w:divBdr>
    </w:div>
    <w:div w:id="1936815214">
      <w:bodyDiv w:val="1"/>
      <w:marLeft w:val="0"/>
      <w:marRight w:val="0"/>
      <w:marTop w:val="0"/>
      <w:marBottom w:val="0"/>
      <w:divBdr>
        <w:top w:val="none" w:sz="0" w:space="0" w:color="auto"/>
        <w:left w:val="none" w:sz="0" w:space="0" w:color="auto"/>
        <w:bottom w:val="none" w:sz="0" w:space="0" w:color="auto"/>
        <w:right w:val="none" w:sz="0" w:space="0" w:color="auto"/>
      </w:divBdr>
    </w:div>
    <w:div w:id="2017997794">
      <w:bodyDiv w:val="1"/>
      <w:marLeft w:val="0"/>
      <w:marRight w:val="0"/>
      <w:marTop w:val="0"/>
      <w:marBottom w:val="0"/>
      <w:divBdr>
        <w:top w:val="none" w:sz="0" w:space="0" w:color="auto"/>
        <w:left w:val="none" w:sz="0" w:space="0" w:color="auto"/>
        <w:bottom w:val="none" w:sz="0" w:space="0" w:color="auto"/>
        <w:right w:val="none" w:sz="0" w:space="0" w:color="auto"/>
      </w:divBdr>
    </w:div>
    <w:div w:id="2023899483">
      <w:bodyDiv w:val="1"/>
      <w:marLeft w:val="0"/>
      <w:marRight w:val="0"/>
      <w:marTop w:val="0"/>
      <w:marBottom w:val="0"/>
      <w:divBdr>
        <w:top w:val="none" w:sz="0" w:space="0" w:color="auto"/>
        <w:left w:val="none" w:sz="0" w:space="0" w:color="auto"/>
        <w:bottom w:val="none" w:sz="0" w:space="0" w:color="auto"/>
        <w:right w:val="none" w:sz="0" w:space="0" w:color="auto"/>
      </w:divBdr>
    </w:div>
    <w:div w:id="2088259950">
      <w:bodyDiv w:val="1"/>
      <w:marLeft w:val="0"/>
      <w:marRight w:val="0"/>
      <w:marTop w:val="0"/>
      <w:marBottom w:val="0"/>
      <w:divBdr>
        <w:top w:val="none" w:sz="0" w:space="0" w:color="auto"/>
        <w:left w:val="none" w:sz="0" w:space="0" w:color="auto"/>
        <w:bottom w:val="none" w:sz="0" w:space="0" w:color="auto"/>
        <w:right w:val="none" w:sz="0" w:space="0" w:color="auto"/>
      </w:divBdr>
    </w:div>
    <w:div w:id="211204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36/b"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i.org/10.1016/j.ijid.2024.02.019"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56/NEJMc2036242" TargetMode="External"/><Relationship Id="rId23" Type="http://schemas.openxmlformats.org/officeDocument/2006/relationships/hyperlink" Target="https://drive.google.com/drive/folders/1-Sdlq8HwKATzCygxnOzkF69a5pSmY44c?usp=sharing"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ons.gov.uk/peoplepopulationandcommunity/populationandmigration/populationestimates/bulletins/populationandhouseholdestimatesenglandandwales/census2021unroundeddat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BD79E-09DE-1047-A2B5-5DD76A0E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Chong</dc:creator>
  <cp:keywords/>
  <dc:description/>
  <cp:lastModifiedBy>Jacky Chong</cp:lastModifiedBy>
  <cp:revision>2</cp:revision>
  <dcterms:created xsi:type="dcterms:W3CDTF">2025-02-08T16:58:00Z</dcterms:created>
  <dcterms:modified xsi:type="dcterms:W3CDTF">2025-02-08T16:58:00Z</dcterms:modified>
</cp:coreProperties>
</file>