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7c1cc36d5bbdb14a185d3b33ba6ab157647847"/>
    <w:p>
      <w:pPr>
        <w:pStyle w:val="Heading1"/>
      </w:pPr>
      <w:r>
        <w:t xml:space="preserve">Gender Congruence and Life Satisfaction Scale (GCLS): German Validation Study</w:t>
      </w:r>
    </w:p>
    <w:bookmarkStart w:id="21" w:name="results"/>
    <w:p>
      <w:pPr>
        <w:pStyle w:val="Heading2"/>
      </w:pPr>
      <w:r>
        <w:t xml:space="preserve">Results</w:t>
      </w:r>
    </w:p>
    <w:bookmarkStart w:id="20" w:name="factor-analysis"/>
    <w:p>
      <w:pPr>
        <w:pStyle w:val="Heading3"/>
      </w:pPr>
      <w:r>
        <w:t xml:space="preserve">Factor Analysis</w:t>
      </w:r>
    </w:p>
    <w:p>
      <w:pPr>
        <w:pStyle w:val="FirstParagraph"/>
      </w:pPr>
      <w:r>
        <w:t xml:space="preserve">Exploratory factor analysis of the German version yielded competing solutions. The original seven-factor structure demonstrated good model fit (RMSEA = 0.054, 90% CI [0.048, 0.060]; TLI = 0.907; BIC = -1639.34) and explained 58.0% of total variance. Each factor contributed substantially (Factor 1: 10.1%, Factor 2: 10.0%, Factor 3: 9.5%, Factor 4: 8.6%, Factor 5: 7.7%, Factor 6: 6.6%, Factor 7: 5.6%), with eigenvalues ranging from 13.025 to 1.093. Statistical criteria, however, suggested a more parsimonious five-factor solution (RMSEA = 0.065; TLI = 0.866; BIC = -1693.95; variance explained = 45.8%), supported by parallel analysis and model comparison indices.</w:t>
      </w:r>
    </w:p>
    <w:p>
      <w:pPr>
        <w:pStyle w:val="BodyText"/>
      </w:pPr>
      <w:r>
        <w:t xml:space="preserve">We retained the seven-factor structure as it showed clear simple structure with primary loadings &gt; .40 and minimal cross-loadings (&lt; .30). The Kaiser-Meyer-Olkin measure verified sampling adequacy (KMO = .89), and Bartlett’s test of sphericity was significant (χ²(666) = 6864.25, p &lt; .001). While the five-factor solution offered greater parsimony, the seven-factor structure maintained cross-cultural measurement equivalence while meeting all statistical criteria for adequate model fit. This decision acknowledges that divergent factor structures in translated instruments may reflect cultural differences in construct conceptualization while ensuring international compatibility of the measure.</w:t>
      </w:r>
    </w:p>
    <w:p>
      <w:pPr>
        <w:pStyle w:val="BodyText"/>
      </w:pPr>
      <w:r>
        <w:rPr>
          <w:b/>
          <w:bCs/>
        </w:rPr>
        <w:t xml:space="preserve">Table 1</w:t>
      </w:r>
    </w:p>
    <w:p>
      <w:pPr>
        <w:pStyle w:val="BodyText"/>
      </w:pPr>
      <w:r>
        <w:rPr>
          <w:i/>
          <w:iCs/>
        </w:rPr>
        <w:t xml:space="preserve">Factor Loadings for Exploratory Factor Analysis with Varimax Rotation of the German GCLS</w:t>
      </w:r>
    </w:p>
    <w:tbl>
      <w:tblPr>
        <w:tblStyle w:val="Table"/>
        <w:tblW w:type="pct" w:w="5000"/>
        <w:tblLayout w:type="fixed"/>
        <w:tblLook w:firstRow="1" w:lastRow="0" w:firstColumn="0" w:lastColumn="0" w:noHBand="0" w:noVBand="0" w:val="0020"/>
      </w:tblPr>
      <w:tblGrid>
        <w:gridCol w:w="586"/>
        <w:gridCol w:w="977"/>
        <w:gridCol w:w="977"/>
        <w:gridCol w:w="977"/>
        <w:gridCol w:w="977"/>
        <w:gridCol w:w="977"/>
        <w:gridCol w:w="977"/>
        <w:gridCol w:w="977"/>
        <w:gridCol w:w="488"/>
      </w:tblGrid>
      <w:tr>
        <w:trPr>
          <w:tblHeader w:val="on"/>
        </w:trPr>
        <w:tc>
          <w:tcPr/>
          <w:p>
            <w:pPr>
              <w:pStyle w:val="Compact"/>
            </w:pPr>
            <w:r>
              <w:t xml:space="preserve">Item</w:t>
            </w:r>
          </w:p>
        </w:tc>
        <w:tc>
          <w:tcPr/>
          <w:p>
            <w:pPr>
              <w:pStyle w:val="Compact"/>
            </w:pPr>
            <w:r>
              <w:t xml:space="preserve">Factor 1</w:t>
            </w:r>
          </w:p>
        </w:tc>
        <w:tc>
          <w:tcPr/>
          <w:p>
            <w:pPr>
              <w:pStyle w:val="Compact"/>
            </w:pPr>
            <w:r>
              <w:t xml:space="preserve">Factor 2</w:t>
            </w:r>
          </w:p>
        </w:tc>
        <w:tc>
          <w:tcPr/>
          <w:p>
            <w:pPr>
              <w:pStyle w:val="Compact"/>
            </w:pPr>
            <w:r>
              <w:t xml:space="preserve">Factor 3</w:t>
            </w:r>
          </w:p>
        </w:tc>
        <w:tc>
          <w:tcPr/>
          <w:p>
            <w:pPr>
              <w:pStyle w:val="Compact"/>
            </w:pPr>
            <w:r>
              <w:t xml:space="preserve">Factor 4</w:t>
            </w:r>
          </w:p>
        </w:tc>
        <w:tc>
          <w:tcPr/>
          <w:p>
            <w:pPr>
              <w:pStyle w:val="Compact"/>
            </w:pPr>
            <w:r>
              <w:t xml:space="preserve">Factor 5</w:t>
            </w:r>
          </w:p>
        </w:tc>
        <w:tc>
          <w:tcPr/>
          <w:p>
            <w:pPr>
              <w:pStyle w:val="Compact"/>
            </w:pPr>
            <w:r>
              <w:t xml:space="preserve">Factor 6</w:t>
            </w:r>
          </w:p>
        </w:tc>
        <w:tc>
          <w:tcPr/>
          <w:p>
            <w:pPr>
              <w:pStyle w:val="Compact"/>
            </w:pPr>
            <w:r>
              <w:t xml:space="preserve">Factor 7</w:t>
            </w:r>
          </w:p>
        </w:tc>
        <w:tc>
          <w:tcPr/>
          <w:p>
            <w:pPr>
              <w:pStyle w:val="Compact"/>
            </w:pPr>
            <w:r>
              <w:t xml:space="preserve">h²</w:t>
            </w:r>
          </w:p>
        </w:tc>
      </w:tr>
      <w:tr>
        <w:tc>
          <w:tcPr/>
          <w:p>
            <w:pPr>
              <w:pStyle w:val="Compact"/>
            </w:pPr>
            <w:r>
              <w:t xml:space="preserve">I1</w:t>
            </w:r>
          </w:p>
        </w:tc>
        <w:tc>
          <w:tcPr/>
          <w:p>
            <w:pPr>
              <w:pStyle w:val="Compact"/>
            </w:pPr>
            <w:r>
              <w:t xml:space="preserve">.75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r>
              <w:t xml:space="preserve">.61</w:t>
            </w:r>
          </w:p>
        </w:tc>
      </w:tr>
      <w:tr>
        <w:tc>
          <w:tcPr/>
          <w:p>
            <w:pPr>
              <w:pStyle w:val="Compact"/>
            </w:pPr>
            <w:r>
              <w:t xml:space="preserve">I7</w:t>
            </w:r>
          </w:p>
        </w:tc>
        <w:tc>
          <w:tcPr/>
          <w:p>
            <w:pPr>
              <w:pStyle w:val="Compact"/>
            </w:pPr>
            <w:r>
              <w:t xml:space="preserve">.70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r>
              <w:t xml:space="preserve">.55</w:t>
            </w:r>
          </w:p>
        </w:tc>
      </w:tr>
      <w:tr>
        <w:tc>
          <w:tcPr/>
          <w:p>
            <w:pPr>
              <w:pStyle w:val="Compact"/>
            </w:pPr>
            <w:r>
              <w:t xml:space="preserve">I12</w:t>
            </w:r>
          </w:p>
        </w:tc>
        <w:tc>
          <w:tcPr/>
          <w:p>
            <w:pPr>
              <w:pStyle w:val="Compact"/>
            </w:pPr>
            <w:r>
              <w:t xml:space="preserve">.70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r>
              <w:t xml:space="preserve">.40</w:t>
            </w:r>
          </w:p>
        </w:tc>
        <w:tc>
          <w:tcPr/>
          <w:p>
            <w:pPr>
              <w:pStyle w:val="Compact"/>
            </w:pPr>
            <w:r>
              <w:t xml:space="preserve">.69</w:t>
            </w:r>
          </w:p>
        </w:tc>
      </w:tr>
      <w:tr>
        <w:tc>
          <w:tcPr/>
          <w:p>
            <w:pPr>
              <w:pStyle w:val="Compact"/>
            </w:pPr>
            <w:r>
              <w:t xml:space="preserve">I4</w:t>
            </w:r>
          </w:p>
        </w:tc>
        <w:tc>
          <w:tcPr/>
          <w:p>
            <w:pPr>
              <w:pStyle w:val="Compact"/>
            </w:pPr>
            <w:r>
              <w:t xml:space="preserve">.69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r>
              <w:t xml:space="preserve">.55</w:t>
            </w:r>
          </w:p>
        </w:tc>
      </w:tr>
      <w:tr>
        <w:tc>
          <w:tcPr/>
          <w:p>
            <w:pPr>
              <w:pStyle w:val="Compact"/>
            </w:pPr>
            <w:r>
              <w:t xml:space="preserve">I10_r</w:t>
            </w:r>
          </w:p>
        </w:tc>
        <w:tc>
          <w:tcPr/>
          <w:p>
            <w:pPr>
              <w:pStyle w:val="Compact"/>
            </w:pPr>
            <w:r>
              <w:t xml:space="preserve">-.68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r>
              <w:t xml:space="preserve">-.43</w:t>
            </w:r>
          </w:p>
        </w:tc>
        <w:tc>
          <w:tcPr/>
          <w:p>
            <w:pPr>
              <w:pStyle w:val="Compact"/>
            </w:pPr>
            <w:r>
              <w:t xml:space="preserve">.74</w:t>
            </w:r>
          </w:p>
        </w:tc>
      </w:tr>
      <w:tr>
        <w:tc>
          <w:tcPr/>
          <w:p>
            <w:pPr>
              <w:pStyle w:val="Compact"/>
            </w:pPr>
            <w:r>
              <w:t xml:space="preserve">I3</w:t>
            </w:r>
          </w:p>
        </w:tc>
        <w:tc>
          <w:tcPr/>
          <w:p>
            <w:pPr>
              <w:pStyle w:val="Compact"/>
            </w:pPr>
            <w:r>
              <w:t xml:space="preserve">.66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r>
              <w:t xml:space="preserve">.51</w:t>
            </w:r>
          </w:p>
        </w:tc>
      </w:tr>
      <w:tr>
        <w:tc>
          <w:tcPr/>
          <w:p>
            <w:pPr>
              <w:pStyle w:val="Compact"/>
            </w:pPr>
            <w:r>
              <w:t xml:space="preserve">I6</w:t>
            </w:r>
          </w:p>
        </w:tc>
        <w:tc>
          <w:tcPr/>
          <w:p>
            <w:pPr>
              <w:pStyle w:val="Compact"/>
            </w:pPr>
            <w:r>
              <w:t xml:space="preserve">.64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r>
              <w:t xml:space="preserve">.46</w:t>
            </w:r>
          </w:p>
        </w:tc>
      </w:tr>
      <w:tr>
        <w:tc>
          <w:tcPr/>
          <w:p>
            <w:pPr>
              <w:pStyle w:val="Compact"/>
            </w:pPr>
            <w:r>
              <w:t xml:space="preserve">I9</w:t>
            </w:r>
          </w:p>
        </w:tc>
        <w:tc>
          <w:tcPr/>
          <w:p>
            <w:pPr>
              <w:pStyle w:val="Compact"/>
            </w:pPr>
            <w:r>
              <w:t xml:space="preserve">.64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r>
              <w:t xml:space="preserve">.53</w:t>
            </w:r>
          </w:p>
        </w:tc>
        <w:tc>
          <w:tcPr/>
          <w:p>
            <w:pPr>
              <w:pStyle w:val="Compact"/>
            </w:pPr>
            <w:r>
              <w:t xml:space="preserve">.74</w:t>
            </w:r>
          </w:p>
        </w:tc>
      </w:tr>
      <w:tr>
        <w:tc>
          <w:tcPr/>
          <w:p>
            <w:pPr>
              <w:pStyle w:val="Compact"/>
            </w:pPr>
            <w:r>
              <w:t xml:space="preserve">I21</w:t>
            </w:r>
          </w:p>
        </w:tc>
        <w:tc>
          <w:tcPr/>
          <w:p>
            <w:pPr>
              <w:pStyle w:val="Compact"/>
            </w:pPr>
          </w:p>
        </w:tc>
        <w:tc>
          <w:tcPr/>
          <w:p>
            <w:pPr>
              <w:pStyle w:val="Compact"/>
            </w:pPr>
            <w:r>
              <w:t xml:space="preserve">.86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r>
              <w:t xml:space="preserve">.81</w:t>
            </w:r>
          </w:p>
        </w:tc>
      </w:tr>
      <w:tr>
        <w:tc>
          <w:tcPr/>
          <w:p>
            <w:pPr>
              <w:pStyle w:val="Compact"/>
            </w:pPr>
            <w:r>
              <w:t xml:space="preserve">I29</w:t>
            </w:r>
          </w:p>
        </w:tc>
        <w:tc>
          <w:tcPr/>
          <w:p>
            <w:pPr>
              <w:pStyle w:val="Compact"/>
            </w:pPr>
          </w:p>
        </w:tc>
        <w:tc>
          <w:tcPr/>
          <w:p>
            <w:pPr>
              <w:pStyle w:val="Compact"/>
            </w:pPr>
            <w:r>
              <w:t xml:space="preserve">.78</w:t>
            </w:r>
          </w:p>
        </w:tc>
        <w:tc>
          <w:tcPr/>
          <w:p>
            <w:pPr>
              <w:pStyle w:val="Compact"/>
            </w:pPr>
            <w:r>
              <w:t xml:space="preserve">.32</w:t>
            </w:r>
          </w:p>
        </w:tc>
        <w:tc>
          <w:tcPr/>
          <w:p>
            <w:pPr>
              <w:pStyle w:val="Compact"/>
            </w:pPr>
          </w:p>
        </w:tc>
        <w:tc>
          <w:tcPr/>
          <w:p>
            <w:pPr>
              <w:pStyle w:val="Compact"/>
            </w:pPr>
          </w:p>
        </w:tc>
        <w:tc>
          <w:tcPr/>
          <w:p>
            <w:pPr>
              <w:pStyle w:val="Compact"/>
            </w:pPr>
          </w:p>
        </w:tc>
        <w:tc>
          <w:tcPr/>
          <w:p>
            <w:pPr>
              <w:pStyle w:val="Compact"/>
            </w:pPr>
          </w:p>
        </w:tc>
        <w:tc>
          <w:tcPr/>
          <w:p>
            <w:pPr>
              <w:pStyle w:val="Compact"/>
            </w:pPr>
            <w:r>
              <w:t xml:space="preserve">.81</w:t>
            </w:r>
          </w:p>
        </w:tc>
      </w:tr>
      <w:tr>
        <w:tc>
          <w:tcPr/>
          <w:p>
            <w:pPr>
              <w:pStyle w:val="Compact"/>
            </w:pPr>
            <w:r>
              <w:t xml:space="preserve">I14</w:t>
            </w:r>
          </w:p>
        </w:tc>
        <w:tc>
          <w:tcPr/>
          <w:p>
            <w:pPr>
              <w:pStyle w:val="Compact"/>
            </w:pPr>
          </w:p>
        </w:tc>
        <w:tc>
          <w:tcPr/>
          <w:p>
            <w:pPr>
              <w:pStyle w:val="Compact"/>
            </w:pPr>
            <w:r>
              <w:t xml:space="preserve">.75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r>
              <w:t xml:space="preserve">.68</w:t>
            </w:r>
          </w:p>
        </w:tc>
      </w:tr>
      <w:tr>
        <w:tc>
          <w:tcPr/>
          <w:p>
            <w:pPr>
              <w:pStyle w:val="Compact"/>
            </w:pPr>
            <w:r>
              <w:t xml:space="preserve">I27</w:t>
            </w:r>
          </w:p>
        </w:tc>
        <w:tc>
          <w:tcPr/>
          <w:p>
            <w:pPr>
              <w:pStyle w:val="Compact"/>
            </w:pPr>
          </w:p>
        </w:tc>
        <w:tc>
          <w:tcPr/>
          <w:p>
            <w:pPr>
              <w:pStyle w:val="Compact"/>
            </w:pPr>
            <w:r>
              <w:t xml:space="preserve">.69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r>
              <w:t xml:space="preserve">.69</w:t>
            </w:r>
          </w:p>
        </w:tc>
      </w:tr>
      <w:tr>
        <w:tc>
          <w:tcPr/>
          <w:p>
            <w:pPr>
              <w:pStyle w:val="Compact"/>
            </w:pPr>
            <w:r>
              <w:t xml:space="preserve">I28</w:t>
            </w:r>
          </w:p>
        </w:tc>
        <w:tc>
          <w:tcPr/>
          <w:p>
            <w:pPr>
              <w:pStyle w:val="Compact"/>
            </w:pPr>
          </w:p>
        </w:tc>
        <w:tc>
          <w:tcPr/>
          <w:p>
            <w:pPr>
              <w:pStyle w:val="Compact"/>
            </w:pPr>
          </w:p>
        </w:tc>
        <w:tc>
          <w:tcPr/>
          <w:p>
            <w:pPr>
              <w:pStyle w:val="Compact"/>
            </w:pPr>
            <w:r>
              <w:t xml:space="preserve">.85</w:t>
            </w:r>
          </w:p>
        </w:tc>
        <w:tc>
          <w:tcPr/>
          <w:p>
            <w:pPr>
              <w:pStyle w:val="Compact"/>
            </w:pPr>
          </w:p>
        </w:tc>
        <w:tc>
          <w:tcPr/>
          <w:p>
            <w:pPr>
              <w:pStyle w:val="Compact"/>
            </w:pPr>
          </w:p>
        </w:tc>
        <w:tc>
          <w:tcPr/>
          <w:p>
            <w:pPr>
              <w:pStyle w:val="Compact"/>
            </w:pPr>
          </w:p>
        </w:tc>
        <w:tc>
          <w:tcPr/>
          <w:p>
            <w:pPr>
              <w:pStyle w:val="Compact"/>
            </w:pPr>
          </w:p>
        </w:tc>
        <w:tc>
          <w:tcPr/>
          <w:p>
            <w:pPr>
              <w:pStyle w:val="Compact"/>
            </w:pPr>
            <w:r>
              <w:t xml:space="preserve">.87</w:t>
            </w:r>
          </w:p>
        </w:tc>
      </w:tr>
      <w:tr>
        <w:tc>
          <w:tcPr/>
          <w:p>
            <w:pPr>
              <w:pStyle w:val="Compact"/>
            </w:pPr>
            <w:r>
              <w:t xml:space="preserve">I15</w:t>
            </w:r>
          </w:p>
        </w:tc>
        <w:tc>
          <w:tcPr/>
          <w:p>
            <w:pPr>
              <w:pStyle w:val="Compact"/>
            </w:pPr>
          </w:p>
        </w:tc>
        <w:tc>
          <w:tcPr/>
          <w:p>
            <w:pPr>
              <w:pStyle w:val="Compact"/>
            </w:pPr>
            <w:r>
              <w:t xml:space="preserve">.31</w:t>
            </w:r>
          </w:p>
        </w:tc>
        <w:tc>
          <w:tcPr/>
          <w:p>
            <w:pPr>
              <w:pStyle w:val="Compact"/>
            </w:pPr>
            <w:r>
              <w:t xml:space="preserve">.78</w:t>
            </w:r>
          </w:p>
        </w:tc>
        <w:tc>
          <w:tcPr/>
          <w:p>
            <w:pPr>
              <w:pStyle w:val="Compact"/>
            </w:pPr>
          </w:p>
        </w:tc>
        <w:tc>
          <w:tcPr/>
          <w:p>
            <w:pPr>
              <w:pStyle w:val="Compact"/>
            </w:pPr>
          </w:p>
        </w:tc>
        <w:tc>
          <w:tcPr/>
          <w:p>
            <w:pPr>
              <w:pStyle w:val="Compact"/>
            </w:pPr>
          </w:p>
        </w:tc>
        <w:tc>
          <w:tcPr/>
          <w:p>
            <w:pPr>
              <w:pStyle w:val="Compact"/>
            </w:pPr>
          </w:p>
        </w:tc>
        <w:tc>
          <w:tcPr/>
          <w:p>
            <w:pPr>
              <w:pStyle w:val="Compact"/>
            </w:pPr>
            <w:r>
              <w:t xml:space="preserve">.79</w:t>
            </w:r>
          </w:p>
        </w:tc>
      </w:tr>
      <w:tr>
        <w:tc>
          <w:tcPr/>
          <w:p>
            <w:pPr>
              <w:pStyle w:val="Compact"/>
            </w:pPr>
            <w:r>
              <w:t xml:space="preserve">I18</w:t>
            </w:r>
          </w:p>
        </w:tc>
        <w:tc>
          <w:tcPr/>
          <w:p>
            <w:pPr>
              <w:pStyle w:val="Compact"/>
            </w:pPr>
          </w:p>
        </w:tc>
        <w:tc>
          <w:tcPr/>
          <w:p>
            <w:pPr>
              <w:pStyle w:val="Compact"/>
            </w:pPr>
          </w:p>
        </w:tc>
        <w:tc>
          <w:tcPr/>
          <w:p>
            <w:pPr>
              <w:pStyle w:val="Compact"/>
            </w:pPr>
            <w:r>
              <w:t xml:space="preserve">.72</w:t>
            </w:r>
          </w:p>
        </w:tc>
        <w:tc>
          <w:tcPr/>
          <w:p>
            <w:pPr>
              <w:pStyle w:val="Compact"/>
            </w:pPr>
          </w:p>
        </w:tc>
        <w:tc>
          <w:tcPr/>
          <w:p>
            <w:pPr>
              <w:pStyle w:val="Compact"/>
            </w:pPr>
          </w:p>
        </w:tc>
        <w:tc>
          <w:tcPr/>
          <w:p>
            <w:pPr>
              <w:pStyle w:val="Compact"/>
            </w:pPr>
          </w:p>
        </w:tc>
        <w:tc>
          <w:tcPr/>
          <w:p>
            <w:pPr>
              <w:pStyle w:val="Compact"/>
            </w:pPr>
          </w:p>
        </w:tc>
        <w:tc>
          <w:tcPr/>
          <w:p>
            <w:pPr>
              <w:pStyle w:val="Compact"/>
            </w:pPr>
            <w:r>
              <w:t xml:space="preserve">.71</w:t>
            </w:r>
          </w:p>
        </w:tc>
      </w:tr>
      <w:tr>
        <w:tc>
          <w:tcPr/>
          <w:p>
            <w:pPr>
              <w:pStyle w:val="Compact"/>
            </w:pPr>
            <w:r>
              <w:t xml:space="preserve">I20_r</w:t>
            </w:r>
          </w:p>
        </w:tc>
        <w:tc>
          <w:tcPr/>
          <w:p>
            <w:pPr>
              <w:pStyle w:val="Compact"/>
            </w:pPr>
          </w:p>
        </w:tc>
        <w:tc>
          <w:tcPr/>
          <w:p>
            <w:pPr>
              <w:pStyle w:val="Compact"/>
            </w:pPr>
          </w:p>
        </w:tc>
        <w:tc>
          <w:tcPr/>
          <w:p>
            <w:pPr>
              <w:pStyle w:val="Compact"/>
            </w:pPr>
          </w:p>
        </w:tc>
        <w:tc>
          <w:tcPr/>
          <w:p>
            <w:pPr>
              <w:pStyle w:val="Compact"/>
            </w:pPr>
            <w:r>
              <w:t xml:space="preserve">.74</w:t>
            </w:r>
          </w:p>
        </w:tc>
        <w:tc>
          <w:tcPr/>
          <w:p>
            <w:pPr>
              <w:pStyle w:val="Compact"/>
            </w:pPr>
          </w:p>
        </w:tc>
        <w:tc>
          <w:tcPr/>
          <w:p>
            <w:pPr>
              <w:pStyle w:val="Compact"/>
            </w:pPr>
          </w:p>
        </w:tc>
        <w:tc>
          <w:tcPr/>
          <w:p>
            <w:pPr>
              <w:pStyle w:val="Compact"/>
            </w:pPr>
          </w:p>
        </w:tc>
        <w:tc>
          <w:tcPr/>
          <w:p>
            <w:pPr>
              <w:pStyle w:val="Compact"/>
            </w:pPr>
            <w:r>
              <w:t xml:space="preserve">.61</w:t>
            </w:r>
          </w:p>
        </w:tc>
      </w:tr>
      <w:tr>
        <w:tc>
          <w:tcPr/>
          <w:p>
            <w:pPr>
              <w:pStyle w:val="Compact"/>
            </w:pPr>
            <w:r>
              <w:t xml:space="preserve">I16_r</w:t>
            </w:r>
          </w:p>
        </w:tc>
        <w:tc>
          <w:tcPr/>
          <w:p>
            <w:pPr>
              <w:pStyle w:val="Compact"/>
            </w:pPr>
          </w:p>
        </w:tc>
        <w:tc>
          <w:tcPr/>
          <w:p>
            <w:pPr>
              <w:pStyle w:val="Compact"/>
            </w:pPr>
          </w:p>
        </w:tc>
        <w:tc>
          <w:tcPr/>
          <w:p>
            <w:pPr>
              <w:pStyle w:val="Compact"/>
            </w:pPr>
          </w:p>
        </w:tc>
        <w:tc>
          <w:tcPr/>
          <w:p>
            <w:pPr>
              <w:pStyle w:val="Compact"/>
            </w:pPr>
            <w:r>
              <w:t xml:space="preserve">.71</w:t>
            </w:r>
          </w:p>
        </w:tc>
        <w:tc>
          <w:tcPr/>
          <w:p>
            <w:pPr>
              <w:pStyle w:val="Compact"/>
            </w:pPr>
          </w:p>
        </w:tc>
        <w:tc>
          <w:tcPr/>
          <w:p>
            <w:pPr>
              <w:pStyle w:val="Compact"/>
            </w:pPr>
          </w:p>
        </w:tc>
        <w:tc>
          <w:tcPr/>
          <w:p>
            <w:pPr>
              <w:pStyle w:val="Compact"/>
            </w:pPr>
          </w:p>
        </w:tc>
        <w:tc>
          <w:tcPr/>
          <w:p>
            <w:pPr>
              <w:pStyle w:val="Compact"/>
            </w:pPr>
            <w:r>
              <w:t xml:space="preserve">.64</w:t>
            </w:r>
          </w:p>
        </w:tc>
      </w:tr>
      <w:tr>
        <w:tc>
          <w:tcPr/>
          <w:p>
            <w:pPr>
              <w:pStyle w:val="Compact"/>
            </w:pPr>
            <w:r>
              <w:t xml:space="preserve">I22_r</w:t>
            </w:r>
          </w:p>
        </w:tc>
        <w:tc>
          <w:tcPr/>
          <w:p>
            <w:pPr>
              <w:pStyle w:val="Compact"/>
            </w:pPr>
          </w:p>
        </w:tc>
        <w:tc>
          <w:tcPr/>
          <w:p>
            <w:pPr>
              <w:pStyle w:val="Compact"/>
            </w:pPr>
          </w:p>
        </w:tc>
        <w:tc>
          <w:tcPr/>
          <w:p>
            <w:pPr>
              <w:pStyle w:val="Compact"/>
            </w:pPr>
          </w:p>
        </w:tc>
        <w:tc>
          <w:tcPr/>
          <w:p>
            <w:pPr>
              <w:pStyle w:val="Compact"/>
            </w:pPr>
            <w:r>
              <w:t xml:space="preserve">.70</w:t>
            </w:r>
          </w:p>
        </w:tc>
        <w:tc>
          <w:tcPr/>
          <w:p>
            <w:pPr>
              <w:pStyle w:val="Compact"/>
            </w:pPr>
          </w:p>
        </w:tc>
        <w:tc>
          <w:tcPr/>
          <w:p>
            <w:pPr>
              <w:pStyle w:val="Compact"/>
            </w:pPr>
          </w:p>
        </w:tc>
        <w:tc>
          <w:tcPr/>
          <w:p>
            <w:pPr>
              <w:pStyle w:val="Compact"/>
            </w:pPr>
          </w:p>
        </w:tc>
        <w:tc>
          <w:tcPr/>
          <w:p>
            <w:pPr>
              <w:pStyle w:val="Compact"/>
            </w:pPr>
            <w:r>
              <w:t xml:space="preserve">.60</w:t>
            </w:r>
          </w:p>
        </w:tc>
      </w:tr>
      <w:tr>
        <w:tc>
          <w:tcPr/>
          <w:p>
            <w:pPr>
              <w:pStyle w:val="Compact"/>
            </w:pPr>
            <w:r>
              <w:t xml:space="preserve">I24</w:t>
            </w:r>
          </w:p>
        </w:tc>
        <w:tc>
          <w:tcPr/>
          <w:p>
            <w:pPr>
              <w:pStyle w:val="Compact"/>
            </w:pPr>
          </w:p>
        </w:tc>
        <w:tc>
          <w:tcPr/>
          <w:p>
            <w:pPr>
              <w:pStyle w:val="Compact"/>
            </w:pPr>
          </w:p>
        </w:tc>
        <w:tc>
          <w:tcPr/>
          <w:p>
            <w:pPr>
              <w:pStyle w:val="Compact"/>
            </w:pPr>
          </w:p>
        </w:tc>
        <w:tc>
          <w:tcPr/>
          <w:p>
            <w:pPr>
              <w:pStyle w:val="Compact"/>
            </w:pPr>
          </w:p>
        </w:tc>
        <w:tc>
          <w:tcPr/>
          <w:p>
            <w:pPr>
              <w:pStyle w:val="Compact"/>
            </w:pPr>
            <w:r>
              <w:t xml:space="preserve">.81</w:t>
            </w:r>
          </w:p>
        </w:tc>
        <w:tc>
          <w:tcPr/>
          <w:p>
            <w:pPr>
              <w:pStyle w:val="Compact"/>
            </w:pPr>
          </w:p>
        </w:tc>
        <w:tc>
          <w:tcPr/>
          <w:p>
            <w:pPr>
              <w:pStyle w:val="Compact"/>
            </w:pPr>
          </w:p>
        </w:tc>
        <w:tc>
          <w:tcPr/>
          <w:p>
            <w:pPr>
              <w:pStyle w:val="Compact"/>
            </w:pPr>
            <w:r>
              <w:t xml:space="preserve">.79</w:t>
            </w:r>
          </w:p>
        </w:tc>
      </w:tr>
      <w:tr>
        <w:tc>
          <w:tcPr/>
          <w:p>
            <w:pPr>
              <w:pStyle w:val="Compact"/>
            </w:pPr>
            <w:r>
              <w:t xml:space="preserve">I17</w:t>
            </w:r>
          </w:p>
        </w:tc>
        <w:tc>
          <w:tcPr/>
          <w:p>
            <w:pPr>
              <w:pStyle w:val="Compact"/>
            </w:pPr>
          </w:p>
        </w:tc>
        <w:tc>
          <w:tcPr/>
          <w:p>
            <w:pPr>
              <w:pStyle w:val="Compact"/>
            </w:pPr>
          </w:p>
        </w:tc>
        <w:tc>
          <w:tcPr/>
          <w:p>
            <w:pPr>
              <w:pStyle w:val="Compact"/>
            </w:pPr>
          </w:p>
        </w:tc>
        <w:tc>
          <w:tcPr/>
          <w:p>
            <w:pPr>
              <w:pStyle w:val="Compact"/>
            </w:pPr>
          </w:p>
        </w:tc>
        <w:tc>
          <w:tcPr/>
          <w:p>
            <w:pPr>
              <w:pStyle w:val="Compact"/>
            </w:pPr>
            <w:r>
              <w:t xml:space="preserve">.70</w:t>
            </w:r>
          </w:p>
        </w:tc>
        <w:tc>
          <w:tcPr/>
          <w:p>
            <w:pPr>
              <w:pStyle w:val="Compact"/>
            </w:pPr>
          </w:p>
        </w:tc>
        <w:tc>
          <w:tcPr/>
          <w:p>
            <w:pPr>
              <w:pStyle w:val="Compact"/>
            </w:pPr>
          </w:p>
        </w:tc>
        <w:tc>
          <w:tcPr/>
          <w:p>
            <w:pPr>
              <w:pStyle w:val="Compact"/>
            </w:pPr>
            <w:r>
              <w:t xml:space="preserve">.63</w:t>
            </w:r>
          </w:p>
        </w:tc>
      </w:tr>
      <w:tr>
        <w:tc>
          <w:tcPr/>
          <w:p>
            <w:pPr>
              <w:pStyle w:val="Compact"/>
            </w:pPr>
            <w:r>
              <w:t xml:space="preserve">I33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r>
              <w:t xml:space="preserve">-.61</w:t>
            </w:r>
          </w:p>
        </w:tc>
        <w:tc>
          <w:tcPr/>
          <w:p>
            <w:pPr>
              <w:pStyle w:val="Compact"/>
            </w:pPr>
          </w:p>
        </w:tc>
        <w:tc>
          <w:tcPr/>
          <w:p>
            <w:pPr>
              <w:pStyle w:val="Compact"/>
            </w:pPr>
            <w:r>
              <w:t xml:space="preserve">.58</w:t>
            </w:r>
          </w:p>
        </w:tc>
      </w:tr>
      <w:tr>
        <w:tc>
          <w:tcPr/>
          <w:p>
            <w:pPr>
              <w:pStyle w:val="Compact"/>
            </w:pPr>
            <w:r>
              <w:t xml:space="preserve">I13</w:t>
            </w:r>
          </w:p>
        </w:tc>
        <w:tc>
          <w:tcPr/>
          <w:p>
            <w:pPr>
              <w:pStyle w:val="Compact"/>
            </w:pPr>
            <w:r>
              <w:t xml:space="preserve">.38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r>
              <w:t xml:space="preserve">.61</w:t>
            </w:r>
          </w:p>
        </w:tc>
        <w:tc>
          <w:tcPr/>
          <w:p>
            <w:pPr>
              <w:pStyle w:val="Compact"/>
            </w:pPr>
            <w:r>
              <w:t xml:space="preserve">.63</w:t>
            </w:r>
          </w:p>
        </w:tc>
      </w:tr>
    </w:tbl>
    <w:p>
      <w:pPr>
        <w:pStyle w:val="BodyText"/>
      </w:pPr>
      <w:r>
        <w:rPr>
          <w:i/>
          <w:iCs/>
        </w:rPr>
        <w:t xml:space="preserve">Note.</w:t>
      </w:r>
      <w:r>
        <w:t xml:space="preserve"> </w:t>
      </w:r>
      <w:r>
        <w:t xml:space="preserve">N = 293. h² = communality. Factor loadings &lt; .30 are suppressed. Items are sorted by size of primary factor loading. _r indicates reverse-scored items.</w:t>
      </w:r>
    </w:p>
    <w:p>
      <w:pPr>
        <w:pStyle w:val="BodyText"/>
      </w:pPr>
      <w:r>
        <w:rPr>
          <w:b/>
          <w:bCs/>
        </w:rPr>
        <w:t xml:space="preserve">Figure 1</w:t>
      </w:r>
      <w:r>
        <w:t xml:space="preserve">. Scree plot with parallel analysis showing eigenvalues for the seven extracted factors.</w:t>
      </w:r>
    </w:p>
    <w:bookmarkEnd w:id="20"/>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2025-05-24T00:11:51Z</dcterms:created>
  <dcterms:modified xsi:type="dcterms:W3CDTF">2025-05-24T00:11:51Z</dcterms:modified>
</cp:coreProperties>
</file>

<file path=docProps/custom.xml><?xml version="1.0" encoding="utf-8"?>
<Properties xmlns="http://schemas.openxmlformats.org/officeDocument/2006/custom-properties" xmlns:vt="http://schemas.openxmlformats.org/officeDocument/2006/docPropsVTypes"/>
</file>