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0F2E4C"/>
          <w:sz w:val="56"/>
          <w:szCs w:val="56"/>
        </w:rPr>
        <w:t xml:space="preserve">PROSPEKT</w:t>
      </w:r>
    </w:p>
    <w:p>
      <w:pPr>
        <w:spacing w:after="100" w:before="100"/>
        <w:jc w:val="center"/>
      </w:pPr>
      <w:r>
        <w:rPr>
          <w:b/>
          <w:bCs/>
          <w:color w:val="166534"/>
          <w:sz w:val="32"/>
          <w:szCs w:val="32"/>
        </w:rPr>
        <w:t xml:space="preserve">Panel Przetargów — model towarów wystandaryzowanych</w:t>
      </w:r>
    </w:p>
    <w:p>
      <w:pPr>
        <w:spacing w:after="600"/>
        <w:jc w:val="center"/>
      </w:pPr>
      <w:r>
        <w:rPr>
          <w:i/>
          <w:iCs/>
          <w:color w:val="6B7280"/>
          <w:sz w:val="22"/>
          <w:szCs w:val="22"/>
        </w:rPr>
        <w:t xml:space="preserve">„Wyceniamy raz — składamy ofertę do wielu przetargów”</w:t>
      </w:r>
    </w:p>
    <w:p>
      <w:pPr>
        <w:spacing w:after="60"/>
        <w:jc w:val="center"/>
      </w:pPr>
      <w:r>
        <w:rPr>
          <w:sz w:val="21"/>
          <w:szCs w:val="21"/>
        </w:rPr>
        <w:t xml:space="preserve">Przygotowano dla: MyChinaPal Sp. z o.o.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Bielsko-Biała · Shanghai (Songjiang District)</w:t>
      </w:r>
    </w:p>
    <w:p>
      <w:pPr>
        <w:spacing w:after="1200"/>
        <w:jc w:val="center"/>
      </w:pPr>
      <w:r>
        <w:rPr>
          <w:color w:val="6B7280"/>
          <w:sz w:val="20"/>
          <w:szCs w:val="20"/>
        </w:rPr>
        <w:t xml:space="preserve">21 lipca 2026</w:t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Dokument roboczy do dyskusji wewnętrznej — rozszerzenie planu z pliku PLAN-PANEL-PRZETARGOW.md o dodatkowe kategorie towarów wystandaryzowanych.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Cel dokumentu</w:t>
      </w:r>
    </w:p>
    <w:p>
      <w:pPr>
        <w:spacing w:after="150"/>
      </w:pPr>
      <w:r>
        <w:t xml:space="preserve">Ten prospekt rozszerza plan Panelu Przetargów o dokładny research dodatkowych kategorii towarów, które nadają się do modelu „wyceniamy raz — wysyłamy ofertę do wielu ogłoszeń przetargowych" (Model B — katalogowy, opisany w PLAN-PANEL-PRZETARGOW.md, w odróżnieniu od Modelu A — projektowego, stosowanego dziś do BESS i maszyn na indywidualne zamówienie).</w:t>
      </w:r>
    </w:p>
    <w:p>
      <w:pPr>
        <w:spacing w:after="150"/>
      </w:pPr>
      <w:r>
        <w:t xml:space="preserve">Każda kategoria poniżej jest opisana według tego samego schematu: co to jest, jakie są rzeczywiste dowody skali rynku (konkretne liczby przetargów tam, gdzie udało się je ustalić — w przeciwnym razie jest to wprost zaznaczone), jakie wymogi certyfikacyjne lub regulacyjne trzeba spełnić, oraz ocena, jak dobrze kategoria pasuje do modelu powtarzalnej sprzedaży.</w:t>
      </w:r>
    </w:p>
    <w:p>
      <w:pPr>
        <w:spacing w:after="150"/>
      </w:pPr>
      <w:r>
        <w:t xml:space="preserve">Dokument nie zawiera fabrykowanych statystyk — tam, gdzie nie znaleziono twardej liczby rocznej, jest to jawnie napisane.</w:t>
      </w:r>
    </w:p>
    <w:p>
      <w:pPr>
        <w:pStyle w:val="Heading1"/>
        <w:spacing w:after="200" w:before="400"/>
      </w:pPr>
      <w:r>
        <w:t xml:space="preserve">2. Przypomnienie: dwa tryby działania panelu</w:t>
      </w:r>
    </w:p>
    <w:p>
      <w:pPr>
        <w:pStyle w:val="Heading2"/>
        <w:spacing w:after="150" w:before="300"/>
      </w:pPr>
      <w:r>
        <w:t xml:space="preserve">Model A — projektowy</w:t>
      </w:r>
    </w:p>
    <w:p>
      <w:pPr>
        <w:spacing w:after="150"/>
      </w:pPr>
      <w:r>
        <w:t xml:space="preserve">Dzisiejszy sposób pracy: indywidualna wycena pod konkretny przetarg (BESS, maszyny, magazyny energii, linie technologiczne). Każda oferta wymaga osobnej kalkulacji, bo specyfikacja różni się za każdym razem.</w:t>
      </w:r>
    </w:p>
    <w:p>
      <w:pPr>
        <w:pStyle w:val="Heading2"/>
        <w:spacing w:after="150" w:before="300"/>
      </w:pPr>
      <w:r>
        <w:t xml:space="preserve">Model B — katalogowy (przedmiot tego prospektu)</w:t>
      </w:r>
    </w:p>
    <w:p>
      <w:pPr>
        <w:spacing w:after="150"/>
      </w:pPr>
      <w:r>
        <w:t xml:space="preserve">Stały katalog wystandaryzowanych produktów (nazwa, specyfikacja, kod CN/HS zweryfikowany raz przez ISZTAR, status certyfikatu CE/MDR, cena jednostkowa, czas dostawy). System automatycznie dopasowuje katalog do pasujących przetargów i generuje gotową ofertę w kilka minut zamiast kilku godzin. Im więcej przetargów wymaga tej samej specyfikacji, tym większa dźwignia jednej wyceny.</w:t>
      </w:r>
    </w:p>
    <w:p>
      <w:pPr>
        <w:pStyle w:val="Heading1"/>
        <w:spacing w:after="200" w:before="400"/>
      </w:pPr>
      <w:r>
        <w:t xml:space="preserve">3. Kategorie towarów wystandaryzowanych</w:t>
      </w:r>
    </w:p>
    <w:p>
      <w:pPr>
        <w:pStyle w:val="Heading2"/>
        <w:spacing w:after="150" w:before="300"/>
      </w:pPr>
      <w:r>
        <w:t xml:space="preserve">3.1 Sprzęt i wyposażenie medyczne dla placówek</w:t>
      </w:r>
    </w:p>
    <w:p>
      <w:pPr>
        <w:pStyle w:val="Heading3"/>
        <w:spacing w:after="100" w:before="220"/>
      </w:pPr>
      <w:r>
        <w:t xml:space="preserve">Środki ochrony osobistej (rękawiczki, maseczki, fartuchy, przyłbice, środki dezynfekcyjne)</w:t>
      </w:r>
    </w:p>
    <w:p>
      <w:pPr>
        <w:spacing w:after="150"/>
      </w:pPr>
      <w:r>
        <w:t xml:space="preserve">Podstawowe, powtarzalne zamówienia szpitali, DPS-ów i innych placówek ochrony zdrowia — specyfikacja praktycznie identyczna z roku na rok.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Potwierdzone, aktualne (lipiec 2026) żywe ogłoszenia m.in. w Legionowie, Miliczu, Łodzi, Katowicach, Czarni, Gdańsku i Wrocławiu. Nie znaleziono jednej zbiorczej rocznej liczby ogłoszeń dla całej kategorii — powyższe to potwierdzenie częstotliwości, nie pełny wolumen.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Wyroby medyczne wymagają oznaczenia CE zgodnie z Rozporządzeniem MDR (2017/745) lub — dla środków ochrony niemedycznej — Rozporządzeniem PPE 2016/425.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Bardzo dobre — wysoka powtarzalność specyfikacji, duża liczba odbiorców instytucjonalnych.</w:t>
      </w:r>
    </w:p>
    <w:p>
      <w:pPr>
        <w:pStyle w:val="Heading3"/>
        <w:spacing w:after="100" w:before="220"/>
      </w:pPr>
      <w:r>
        <w:t xml:space="preserve">Bielizna pościelowa i tekstylia szpitalne</w:t>
      </w:r>
    </w:p>
    <w:p>
      <w:pPr>
        <w:spacing w:after="150"/>
      </w:pPr>
      <w:r>
        <w:t xml:space="preserve">Prześcieradła, poszwy, koce, odzież pacjenta dla szpitali, DPS-ów, ZOL-i, hospicjów, sanatoriów i jednostek wojskowych.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Własny kod CPV 39518000-6. Ugruntowani krajowi dostawcy referencyjni (Kora Bielawa, Polska Grupa Tekstylna) obsługujący ten rynek od lat — sygnał stabilnego, powtarzalnego popytu.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Musi spełniać normę ENV-14237 (odporność tekstyliów na przemysłowe pranie w 90–95°C ze środkami dezynfekującymi) — wymóg techniczny, nie tylko formalny, więc trzeba go zweryfikować u producenta przed wyceną.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Dobre — pod warunkiem jednorazowej weryfikacji zgodności z normą u chińskiego dostawcy.</w:t>
      </w:r>
    </w:p>
    <w:p>
      <w:pPr>
        <w:pStyle w:val="Heading3"/>
        <w:spacing w:after="100" w:before="220"/>
      </w:pPr>
      <w:r>
        <w:t xml:space="preserve">Sprzęt rehabilitacyjny i ortopedyczny (wózki inwalidzkie, balkoniki, łóżka rehabilitacyjne)</w:t>
      </w:r>
    </w:p>
    <w:p>
      <w:pPr>
        <w:spacing w:after="150"/>
      </w:pPr>
      <w:r>
        <w:t xml:space="preserve">Wyposażenie wspomagające mobilność i pielęgnację.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Ważne zastrzeżenie ograniczające potencjał: większość zakupów wózków inwalidzkich i balkoników dla osób indywidualnych finansowana jest przez dofinansowanie PFRON/NFZ na rzecz konkretnego pacjenta, a nie w drodze przetargu publicznego. Realną szansą sprzedaży w tym segmencie są wyłącznie zakupy INSTYTUCJONALNE — DPS-y, szpitale i PCPR kupujące sprzęt na własne wyposażenie (a nie do dalszej dystrybucji pacjentom).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CE jako wyrób medyczny (MDR) dla sprzętu klasyfikowanego medycznie.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B45309"/>
          <w:sz w:val="19"/>
          <w:szCs w:val="19"/>
        </w:rPr>
        <w:t xml:space="preserve">Ograniczone — trzeba precyzyjnie filtrować tylko przetargi zakupu instytucjonalnego, nie „zaopatrzenia pacjentów".</w:t>
      </w:r>
    </w:p>
    <w:p>
      <w:pPr>
        <w:pStyle w:val="Heading2"/>
        <w:spacing w:after="150" w:before="300"/>
      </w:pPr>
      <w:r>
        <w:t xml:space="preserve">3.2 Sprzęt IT i elektronika</w:t>
      </w:r>
    </w:p>
    <w:p>
      <w:pPr>
        <w:pStyle w:val="Heading3"/>
        <w:spacing w:after="100" w:before="220"/>
      </w:pPr>
      <w:r>
        <w:t xml:space="preserve">Sprzęt komputerowy (laptopy, komputery stacjonarne, monitory, drukarki, serwery, urządzenia sieciowe, materiały eksploatacyjne) — ZWERYFIKOWANE RYZYKO, patrz uwaga</w:t>
      </w:r>
    </w:p>
    <w:p>
      <w:pPr>
        <w:spacing w:after="150"/>
      </w:pPr>
      <w:r>
        <w:t xml:space="preserve">Jedna z największych kategorii pod względem wolumenu i wartości — szkoły, urzędy, uczelnie, szpitale. Wymaga jednak ważnego uściślenia po dodatkowym researchu (patrz sekcja 5.5): flagowe, największe przetargi (735 000 i 394 346 laptopów) wygrały konsorcja autoryzowanych dystrybutorów marek Lenovo/HP/Dell/Apple (np. Galaxy Systemy Informatyczne + MBA System, Grupa E + ITD24), a nie niezależni importerzy sprzętu z Chin — to zawęża realną szansę MyChinaPal głównie do akcesoriów/podzespołów/białej etykiety, nie do bycia dostawcą marek premium w takich przetargach.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Dane Atlas Przetargów: 28 351 ogłoszeń łącznie, ok. 479 miesięcznie, ok. 5 748 szacowanych rocznie. Przykład referencyjny skali: przetarg Ministerstwa Cyfryzacji na 735 000 laptopów/tabletów o wartości ok. 1,7 mld zł (KPO, 73 loty regionalne NUTS3, ponad 17 000 szkół) oraz wcześniejszy program „Laptop dla czwartoklasisty" — 394 346 laptopów za 1,182 mld zł, model Lenovo V15 G3 IAP CTO.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Standardowe oznaczenie CE dla elektroniki użytkowej. Dodatkowo: trwają prace nad ustawą „Lex Huawei"/„Lex China" (definicja „dostawcy wysokiego ryzyka" — DWR), rozszerzającą obecne regulacje telekomunikacyjne na 18 sektorów gospodarki, w tym administrację publiczną — dziś NIE obejmuje to komputerów/laptopów marek takich jak Lenovo (które regularnie wygrywają największe polskie przetargi rządowe), ale to kierunek regulacyjny wart obserwowania.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B45309"/>
          <w:sz w:val="19"/>
          <w:szCs w:val="19"/>
        </w:rPr>
        <w:t xml:space="preserve">Dobre dla akcesoriów/podzespołów/białej etykiety, słabe dla brandowanych laptopów najwyższej rangi (zdominowane przez autoryzowany kanał OEM).</w:t>
      </w:r>
    </w:p>
    <w:p>
      <w:pPr>
        <w:pStyle w:val="Heading3"/>
        <w:spacing w:after="100" w:before="220"/>
      </w:pPr>
      <w:r>
        <w:t xml:space="preserve">Sprzęt sieciowy i cyberbezpieczeństwa (serwery, macierze, firewalle/UTM, systemy backupu, stacje robocze)</w:t>
      </w:r>
    </w:p>
    <w:p>
      <w:pPr>
        <w:spacing w:after="150"/>
      </w:pPr>
      <w:r>
        <w:t xml:space="preserve">Infrastruktura IT, którą gminy i urzędy muszą kupić, by spełnić rządowe wymogi cyberbezpieczeństwa.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Program „Cyberbezpieczny Samorząd" — źródła podają 1,5–2 mld zł dla samorządów na cyberbezpieczeństwo (kwoty różnią się między komunikatami rządowymi z różnych okresów). Program „Cyfrowa Gmina" — dofinansowanie do 100% kosztów, od 100 tys. do 2 mln zł na gminę, obejmujące zakup sprzętu komputerowego dla urzędu, jednostek podległych i placówek oświatowych.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Standardowe CE; brak barier branżowych.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Bardzo dobre — realne, wielomiliardowe finansowanie rządowe z jasno określonym przeznaczeniem na sprzęt.</w:t>
      </w:r>
    </w:p>
    <w:p>
      <w:pPr>
        <w:pStyle w:val="Heading3"/>
        <w:spacing w:after="100" w:before="220"/>
      </w:pPr>
      <w:r>
        <w:t xml:space="preserve">Drony (bezzałogowe statki powietrzne) do monitoringu, inspekcji i ratownictwa</w:t>
      </w:r>
    </w:p>
    <w:p>
      <w:pPr>
        <w:spacing w:after="150"/>
      </w:pPr>
      <w:r>
        <w:t xml:space="preserve">Drony z kamerą optyczną/termowizyjną dla straży pożarnej, policji, gmin (inspekcja infrastruktury) i rolnictwa precyzyjnego.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Potwierdzone realne przetargi: dostawa 22 dronów wraz z wyposażeniem i 100 zestawami odbiorników GNSS; przetarg na dron z kamerą termowizyjną, komputer przenośny i szkolenie pilota (Białostocki Obszar Funkcjonalny, grudzień 2025). Zakupy dla straży pożarnej finansowane m.in. z programu „Ochrona Ludności i Obrona Cywilna 2025–2026".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Rejestracja w systemie UAV i licencje pilotów wg przepisów Urzędu Lotnictwa Cywilnego — dotyczą operatora, nie samego sprzętu; brak dodatkowej krajowej certyfikacji importowej.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Dobre — globalny rynek dronów zdominowany przez producentów chińskich (np. DJI), więc naturalne dopasowanie do profilu importu.</w:t>
      </w:r>
    </w:p>
    <w:p>
      <w:pPr>
        <w:pStyle w:val="Heading2"/>
        <w:spacing w:after="150" w:before="300"/>
      </w:pPr>
      <w:r>
        <w:t xml:space="preserve">3.3 Wyposażenie biurowe i instytucjonalne</w:t>
      </w:r>
    </w:p>
    <w:p>
      <w:pPr>
        <w:pStyle w:val="Heading3"/>
        <w:spacing w:after="100" w:before="220"/>
      </w:pPr>
      <w:r>
        <w:t xml:space="preserve">Meble (biurowe, szkolne, medyczne)</w:t>
      </w:r>
    </w:p>
    <w:p>
      <w:pPr>
        <w:spacing w:after="150"/>
      </w:pPr>
      <w:r>
        <w:t xml:space="preserve">Krzesła, biurka, szafy, ławki szkolne, meble medyczne.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Dane Atlas Przetargów: 21 830 ogłoszeń łącznie, ok. 484 miesięcznie, ok. 5 808 szacowanych rocznie. Największa aktywność w woj. mazowieckim/Warszawie.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Brak certyfikacji branżowej — jedynie standardowe normy bezpieczeństwa mebli.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Bardzo dobre dla ofert czystej dostawy. Zastrzeżenie: wiele ogłoszeń łączy dostawę z montażem — takie mieszane oferty pasują słabiej niż czyste „dostawa bez montażu".</w:t>
      </w:r>
    </w:p>
    <w:p>
      <w:pPr>
        <w:pStyle w:val="Heading3"/>
        <w:spacing w:after="100" w:before="220"/>
      </w:pPr>
      <w:r>
        <w:t xml:space="preserve">Artykuły biurowe i papiernicze</w:t>
      </w:r>
    </w:p>
    <w:p>
      <w:pPr>
        <w:spacing w:after="150"/>
      </w:pPr>
      <w:r>
        <w:t xml:space="preserve">Papier, tonery, materiały biurowe — klasyczny przedmiot umów ramowych.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Potwierdzony, powszechny wzorzec „sukcesywna dostawa" w umowach 12-miesięcznych (ministerstwa, uczelnie, Wody Polskie) — nie znaleziono zbiorczej rocznej liczby, ale wzorzec jest bardzo częsty.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Brak.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B45309"/>
          <w:sz w:val="19"/>
          <w:szCs w:val="19"/>
        </w:rPr>
        <w:t xml:space="preserve">Dobre, z zastrzeżeniem: pojedyncze umowy małych urzędów bywają poniżej progu 100 000 zł — lepiej celować w duże instytucje (ministerstwa, uczelnie, spółki Skarbu Państwa).</w:t>
      </w:r>
    </w:p>
    <w:p>
      <w:pPr>
        <w:pStyle w:val="Heading3"/>
        <w:spacing w:after="100" w:before="220"/>
      </w:pPr>
      <w:r>
        <w:t xml:space="preserve">Środki czystości i chemia gospodarcza</w:t>
      </w:r>
    </w:p>
    <w:p>
      <w:pPr>
        <w:spacing w:after="150"/>
      </w:pPr>
      <w:r>
        <w:t xml:space="preserve">Środki myjące, dezynfekujące, higieniczne dla instytucji.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Potwierdzony, powtarzalny wzorzec „sukcesywna dostawa" (Wody Polskie, Warszawski Szpital Południowy, uczelnie) — nie znaleziono zbiorczej rocznej liczby.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Karty charakterystyki (SDS) zgodne z REACH/CLP dla środków chemicznych.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Dobre — powtarzalny, stały popyt instytucjonalny.</w:t>
      </w:r>
    </w:p>
    <w:p>
      <w:pPr>
        <w:pStyle w:val="Heading3"/>
        <w:spacing w:after="100" w:before="220"/>
      </w:pPr>
      <w:r>
        <w:t xml:space="preserve">Regały archiwalne i biblioteczne, szafy metalowe</w:t>
      </w:r>
    </w:p>
    <w:p>
      <w:pPr>
        <w:spacing w:after="150"/>
      </w:pPr>
      <w:r>
        <w:t xml:space="preserve">Regały stacjonarne/przesuwne do archiwów i bibliotek, szafy BHP i warsztatowe dla urzędów i instytucji.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Własny kod CPV 39131100-0 (Regały archiwalne). Potwierdzony realny przetarg: dostawa mebli specjalistycznych (regały magazynowe, archiwalne, szafki BHP, warsztatowe) dla RZGW Wrocław w ramach modernizacji archiwów Wód Polskich.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Brak.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Dobre — prosty produkt, powtarzalna specyfikacja, liczni odbiorcy instytucjonalni.</w:t>
      </w:r>
    </w:p>
    <w:p>
      <w:pPr>
        <w:pStyle w:val="Heading2"/>
        <w:spacing w:after="150" w:before="300"/>
      </w:pPr>
      <w:r>
        <w:t xml:space="preserve">3.4 Edukacja i przedszkola</w:t>
      </w:r>
    </w:p>
    <w:p>
      <w:pPr>
        <w:pStyle w:val="Heading3"/>
        <w:spacing w:after="100" w:before="220"/>
      </w:pPr>
      <w:r>
        <w:t xml:space="preserve">Tablice interaktywne i projektory edukacyjne</w:t>
      </w:r>
    </w:p>
    <w:p>
      <w:pPr>
        <w:spacing w:after="150"/>
      </w:pPr>
      <w:r>
        <w:t xml:space="preserve">Monitory interaktywne, projektory, wizualizery i akcesoria multimedialne dla szkół.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Napędzane rządowym programem „Aktywna Tablica" — łączna alokacja 361,5 mln zł na lata 2020–2024, obejmująca monitory interaktywne (od 55"), projektory, tablice, wizualizery, drukarki 3D i kamery do wideokonferencji.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Standardowe CE.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Bardzo dobre — konkretne, potwierdzone finansowanie rządowe; sprzęt typowo produkowany w Chinach.</w:t>
      </w:r>
    </w:p>
    <w:p>
      <w:pPr>
        <w:pStyle w:val="Heading3"/>
        <w:spacing w:after="100" w:before="220"/>
      </w:pPr>
      <w:r>
        <w:t xml:space="preserve">Wyposażenie pracowni STEAM/przyrodniczych (drukarki 3D, gogle VR, roboty edukacyjne, mikroskopy cyfrowe, długopisy i skanery 3D)</w:t>
      </w:r>
    </w:p>
    <w:p>
      <w:pPr>
        <w:spacing w:after="150"/>
      </w:pPr>
      <w:r>
        <w:t xml:space="preserve">Sprzęt do nauki przedmiotów ścisłych i praktyczno-technicznych w szkołach podstawowych.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Program „Laboratoria Przyszłości" — budżet 1 mld zł, każda szkoła podstawowa w Polsce otrzymała min. 30 000 zł (progresywnie więcej wg liczby uczniów); oficjalny katalog obejmuje 175 pozycji sprzętu, w tym obowiązkowo drukarki 3D, a opcjonalnie gogle VR, roboty edukacyjne, długopisy i skanery 3D, mikroskopy z wizualizerami, teleskopy. Program ma następcę: „Pracownie Kompas Jutra" (2026–2029) — 200 mln zł z budżetu państwa (plus wymagany 20% wkład własny gmin, łącznie 249,4 mln zł) na doposażenie pracowni przyrodniczych i praktyczno-technicznych, wypłacane w rocznych transzach po 50 mln zł do 2029 roku.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Standardowe CE dla elektroniki/zabawek edukacyjnych.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Bardzo dobre — to modelowy przykład kategorii napędzanej ogromnym, jasno zaadresowanym finansowaniem rządowym na sprzęt niemal w całości produkowany w Chinach.</w:t>
      </w:r>
    </w:p>
    <w:p>
      <w:pPr>
        <w:pStyle w:val="Heading3"/>
        <w:spacing w:after="100" w:before="220"/>
      </w:pPr>
      <w:r>
        <w:t xml:space="preserve">Sprzęt sportowy szkolny (materace, drabinki, sprzęt gimnastyczny)</w:t>
      </w:r>
    </w:p>
    <w:p>
      <w:pPr>
        <w:spacing w:after="150"/>
      </w:pPr>
      <w:r>
        <w:t xml:space="preserve">Wyposażenie sal gimnastycznych i boisk szkolnych.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Własne kody CPV (37400000-2 Artykuły i sprzęt sportowy, 37440000-4 Sprzęt do ćwiczeń fizycznych, 37420000-8 Sprzęt gimnastyczny, 39143112-4 Materace, 37451000-4). Dodatkowo napędzane rządowym programem „Aktywna Szkoła", finansującym zakup sprzętu sportowego dla szkół (dokładny roczny budżet programu nie został ustalony liczbowo).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Standardowe normy bezpieczeństwa sprzętu sportowego (PN-EN), bez krajowych aprobat.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Bardzo dobre — własne kody CPV, powtarzalne specyfikacje, wsparte programem rządowym.</w:t>
      </w:r>
    </w:p>
    <w:p>
      <w:pPr>
        <w:pStyle w:val="Heading3"/>
        <w:spacing w:after="100" w:before="220"/>
      </w:pPr>
      <w:r>
        <w:t xml:space="preserve">Narzędzia i elektronarzędzia dla szkół zawodowych i CKZiU</w:t>
      </w:r>
    </w:p>
    <w:p>
      <w:pPr>
        <w:spacing w:after="150"/>
      </w:pPr>
      <w:r>
        <w:t xml:space="preserve">Narzędzia ręczne, elektronarzędzia, urządzenia warsztatowe do pracowni zawodowych.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Własne kody CPV 44510000-8 (Narzędzia) i 43800000-1 (Urządzenia warsztatowe). Potwierdzony realny przetarg: zakup wyposażenia pracowni zawodowych dla CKZiU w Oławie (2022).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Standardowe CE dla elektronarzędzi.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Dobre — prosty, powtarzalny sprzęt, liczni odbiorcy (centra kształcenia zawodowego w każdym powiecie).</w:t>
      </w:r>
    </w:p>
    <w:p>
      <w:pPr>
        <w:pStyle w:val="Heading3"/>
        <w:spacing w:after="100" w:before="220"/>
      </w:pPr>
      <w:r>
        <w:t xml:space="preserve">Pomoce dydaktyczne i zabawki dla przedszkoli</w:t>
      </w:r>
    </w:p>
    <w:p>
      <w:pPr>
        <w:spacing w:after="150"/>
      </w:pPr>
      <w:r>
        <w:t xml:space="preserve">Zabawki edukacyjne, pomoce sensoryczne, wyposażenie sal przedszkolnych.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Własny kod CPV 39162100-6. Liczne aktualne przykłady ogłoszeń (Lublin, Władysławowo, Przodkowo) — nie znaleziono zbiorczej rocznej liczby, ale kategoria potwierdzona jako częsta.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Oznaczenie CE zgodne z Dyrektywą ws. bezpieczeństwa zabawek 2009/48/WE.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Dobre — powtarzalne specyfikacje, liczni mali odbiorcy (gminy, przedszkola).</w:t>
      </w:r>
    </w:p>
    <w:p>
      <w:pPr>
        <w:pStyle w:val="Heading2"/>
        <w:spacing w:after="150" w:before="300"/>
      </w:pPr>
      <w:r>
        <w:t xml:space="preserve">3.5 Odzież ochronna i BHP</w:t>
      </w:r>
    </w:p>
    <w:p>
      <w:pPr>
        <w:pStyle w:val="Heading3"/>
        <w:spacing w:after="100" w:before="220"/>
      </w:pPr>
      <w:r>
        <w:t xml:space="preserve">Odzież robocza, obuwie ochronne, rękawice robocze, kaski</w:t>
      </w:r>
    </w:p>
    <w:p>
      <w:pPr>
        <w:spacing w:after="150"/>
      </w:pPr>
      <w:r>
        <w:t xml:space="preserve">Standardowe wyposażenie BHP dla pracowników instytucji i spółek publicznych.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Potwierdzona, częsta, powtarzalna kategoria instytucjonalna (PGNiG, Państwowy Instytut Geologiczny, gminy) — specyfikacje powtarzają się rok do roku niemal bez zmian.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Oznaczenie CE zgodne z Rozporządzeniem PPE 2016/425, kategorie ochrony (I/II/III) zależnie od zastosowania.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Bardzo dobre — wysoka powtarzalność, duża liczba odbiorców.</w:t>
      </w:r>
    </w:p>
    <w:p>
      <w:pPr>
        <w:pStyle w:val="Heading2"/>
        <w:spacing w:after="150" w:before="300"/>
      </w:pPr>
      <w:r>
        <w:t xml:space="preserve">3.6 Infrastruktura komunalna i bezpieczeństwo publiczne</w:t>
      </w:r>
    </w:p>
    <w:p>
      <w:pPr>
        <w:pStyle w:val="Heading3"/>
        <w:spacing w:after="100" w:before="220"/>
      </w:pPr>
      <w:r>
        <w:t xml:space="preserve">Wyposażenie placów zabaw i siłowni zewnętrznych</w:t>
      </w:r>
    </w:p>
    <w:p>
      <w:pPr>
        <w:spacing w:after="150"/>
      </w:pPr>
      <w:r>
        <w:t xml:space="preserve">Urządzenia zabawowe, siłownie plenerowe, elementy małej architektury.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Mocny dowód skali: jeden dostawca (NOVUM — Wyposażenie Placów Zabaw) wygrał 118 przetargów w samym 2014 roku.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Zgodność z normami PN-EN 1176 (place zabaw) i PN-EN 16630 (siłownie zewnętrzne).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B45309"/>
          <w:sz w:val="19"/>
          <w:szCs w:val="19"/>
        </w:rPr>
        <w:t xml:space="preserve">Dobre, z zastrzeżeniem: zwykle łączone z lokalnym montażem — sprzęt można sprowadzać z Chin, a montaż podzlecać lokalnemu wykonawcy w ramach oferty.</w:t>
      </w:r>
    </w:p>
    <w:p>
      <w:pPr>
        <w:pStyle w:val="Heading3"/>
        <w:spacing w:after="100" w:before="220"/>
      </w:pPr>
      <w:r>
        <w:t xml:space="preserve">Oświetlenie uliczne LED</w:t>
      </w:r>
    </w:p>
    <w:p>
      <w:pPr>
        <w:spacing w:after="150"/>
      </w:pPr>
      <w:r>
        <w:t xml:space="preserve">Latarnie i oprawy LED do modernizacji oświetlenia gminnego.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Wiele aktywnych, realnych ogłoszeń (Piotrków Trybunalski, Łącko, Dzikowiec).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Certyfikaty elektryczne CE/ENEC dla opraw oświetleniowych.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B45309"/>
          <w:sz w:val="19"/>
          <w:szCs w:val="19"/>
        </w:rPr>
        <w:t xml:space="preserve">Słabe dopasowanie — większość ogłoszeń to „budowa/modernizacja" łącząca projekt, okablowanie i montaż, a nie czystą dostawę produktu.</w:t>
      </w:r>
    </w:p>
    <w:p>
      <w:pPr>
        <w:pStyle w:val="Heading3"/>
        <w:spacing w:after="100" w:before="220"/>
      </w:pPr>
      <w:r>
        <w:t xml:space="preserve">Pojemniki i kontenery na odpady</w:t>
      </w:r>
    </w:p>
    <w:p>
      <w:pPr>
        <w:spacing w:after="150"/>
      </w:pPr>
      <w:r>
        <w:t xml:space="preserve">Pojemniki, kontenery, kosze do segregacji odpadów dla gmin i instytucji.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Szersza kategoria „odpady" liczy 17 599 ogłoszeń łącznie, ok. 207 miesięcznie — ale obejmuje to również USŁUGI odbioru i zagospodarowania odpadów, nie tylko dostawę pojemników. Realny podzbiór czystej dostawy produktu jest więc mniejszy niż liczba nagłówkowa sugeruje.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Brak specjalnych certyfikatów — normy wytrzymałościowe standardowe dla tworzyw/metalu.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B45309"/>
          <w:sz w:val="19"/>
          <w:szCs w:val="19"/>
        </w:rPr>
        <w:t xml:space="preserve">Umiarkowane — trzeba starannie filtrować ogłoszenia czystej dostawy od ogłoszeń usługowych.</w:t>
      </w:r>
    </w:p>
    <w:p>
      <w:pPr>
        <w:pStyle w:val="Heading3"/>
        <w:spacing w:after="100" w:before="220"/>
      </w:pPr>
      <w:r>
        <w:t xml:space="preserve">Kosiarki, kosy spalinowe i sprzęt do pielęgnacji zieleni</w:t>
      </w:r>
    </w:p>
    <w:p>
      <w:pPr>
        <w:spacing w:after="150"/>
      </w:pPr>
      <w:r>
        <w:t xml:space="preserve">Sprzęt do koszenia i utrzymania terenów zielonych dla gmin i zarządców nieruchomości.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Potwierdzony realny przetarg: dostawa sprzętu do pielęgnacji zieleni i części do kosiarek, podzielony na 6 części (Eurobudowa.pl); kategoria powtarzalna sezonowo (głównie wiosna).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Standardowe normy maszynowe (CE, emisje spalin) — brak krajowej aprobaty.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166534"/>
          <w:sz w:val="19"/>
          <w:szCs w:val="19"/>
        </w:rPr>
        <w:t xml:space="preserve">Dobre — prosty, powtarzalny sprzęt, sezonowy ale coroczny popyt.</w:t>
      </w:r>
    </w:p>
    <w:p>
      <w:pPr>
        <w:pStyle w:val="Heading2"/>
        <w:spacing w:after="150" w:before="300"/>
      </w:pPr>
      <w:r>
        <w:t xml:space="preserve">3.7 Programy rządowe jako drugi silnik popytu</w:t>
      </w:r>
    </w:p>
    <w:p>
      <w:pPr>
        <w:spacing w:after="150"/>
      </w:pPr>
      <w:r>
        <w:t xml:space="preserve">Część kategorii z tego prospektu jest napędzana nie tylko organicznym popytem instytucji, ale konkretnymi, dedykowanymi programami rządowymi z jasno przydzielonym budżetem na sprzęt. To właśnie ten mechanizm stoi za sukcesem kategorii „tablice interaktywne" — poniżej zestawienie wszystkich zidentyfikowanych programów tego typu.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800"/>
        <w:gridCol w:w="2000"/>
      </w:tblGrid>
      <w:tr>
        <w:trPr>
          <w:tblHeader/>
        </w:trPr>
        <w:tc>
          <w:tcPr>
            <w:tcW w:type="dxa" w:w="2400"/>
            <w:shd w:fill="0F2E4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tcW w:type="dxa" w:w="1600"/>
            <w:shd w:fill="0F2E4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Budżet</w:t>
            </w:r>
          </w:p>
        </w:tc>
        <w:tc>
          <w:tcPr>
            <w:tcW w:type="dxa" w:w="3800"/>
            <w:shd w:fill="0F2E4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 finansuje</w:t>
            </w:r>
          </w:p>
        </w:tc>
        <w:tc>
          <w:tcPr>
            <w:tcW w:type="dxa" w:w="2000"/>
            <w:shd w:fill="0F2E4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Powiązana kategoria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Laboratoria Przyszłości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1 mld zł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18"/>
                <w:szCs w:val="18"/>
              </w:rPr>
              <w:t xml:space="preserve">Drukarki 3D (obowiązkowo), gogle VR, roboty edukacyjne, mikroskopy, długopisy/skanery 3D — katalog 175 pozycji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Wyposażenie pracowni STEAM</w:t>
            </w:r>
          </w:p>
        </w:tc>
      </w:tr>
      <w:tr>
        <w:tc>
          <w:tcPr>
            <w:tcW w:type="dxa" w:w="2400"/>
            <w:shd w:fill="F1F5F9" w:val="clear"/>
          </w:tcPr>
          <w:p>
            <w:r>
              <w:rPr>
                <w:sz w:val="18"/>
                <w:szCs w:val="18"/>
              </w:rPr>
              <w:t xml:space="preserve">Pracownie Kompas Jutra 2026–2029</w:t>
            </w:r>
          </w:p>
        </w:tc>
        <w:tc>
          <w:tcPr>
            <w:tcW w:type="dxa" w:w="1600"/>
            <w:shd w:fill="F1F5F9" w:val="clear"/>
          </w:tcPr>
          <w:p>
            <w:r>
              <w:rPr>
                <w:sz w:val="18"/>
                <w:szCs w:val="18"/>
              </w:rPr>
              <w:t xml:space="preserve">200 mln zł (państwo) + wkład własny gmin</w:t>
            </w:r>
          </w:p>
        </w:tc>
        <w:tc>
          <w:tcPr>
            <w:tcW w:type="dxa" w:w="3800"/>
            <w:shd w:fill="F1F5F9" w:val="clear"/>
          </w:tcPr>
          <w:p>
            <w:r>
              <w:rPr>
                <w:sz w:val="18"/>
                <w:szCs w:val="18"/>
              </w:rPr>
              <w:t xml:space="preserve">Kontynuacja Laboratoriów Przyszłości — pracownie przyrodnicze i praktyczno-techniczne, transze 50 mln zł/rok</w:t>
            </w:r>
          </w:p>
        </w:tc>
        <w:tc>
          <w:tcPr>
            <w:tcW w:type="dxa" w:w="2000"/>
            <w:shd w:fill="F1F5F9" w:val="clear"/>
          </w:tcPr>
          <w:p>
            <w:r>
              <w:rPr>
                <w:sz w:val="18"/>
                <w:szCs w:val="18"/>
              </w:rPr>
              <w:t xml:space="preserve">Wyposażenie pracowni STEAM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Aktywna Tablica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361,5 mln zł (2020–2024)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18"/>
                <w:szCs w:val="18"/>
              </w:rPr>
              <w:t xml:space="preserve">Monitory interaktywne, projektory, wizualizery, drukarki 3D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Tablice interaktywne</w:t>
            </w:r>
          </w:p>
        </w:tc>
      </w:tr>
      <w:tr>
        <w:tc>
          <w:tcPr>
            <w:tcW w:type="dxa" w:w="2400"/>
            <w:shd w:fill="F1F5F9" w:val="clear"/>
          </w:tcPr>
          <w:p>
            <w:r>
              <w:rPr>
                <w:sz w:val="18"/>
                <w:szCs w:val="18"/>
              </w:rPr>
              <w:t xml:space="preserve">Aktywna Szkoła</w:t>
            </w:r>
          </w:p>
        </w:tc>
        <w:tc>
          <w:tcPr>
            <w:tcW w:type="dxa" w:w="1600"/>
            <w:shd w:fill="F1F5F9" w:val="clear"/>
          </w:tcPr>
          <w:p>
            <w:r>
              <w:rPr>
                <w:sz w:val="18"/>
                <w:szCs w:val="18"/>
              </w:rPr>
              <w:t xml:space="preserve">nieustalony liczbowo</w:t>
            </w:r>
          </w:p>
        </w:tc>
        <w:tc>
          <w:tcPr>
            <w:tcW w:type="dxa" w:w="3800"/>
            <w:shd w:fill="F1F5F9" w:val="clear"/>
          </w:tcPr>
          <w:p>
            <w:r>
              <w:rPr>
                <w:sz w:val="18"/>
                <w:szCs w:val="18"/>
              </w:rPr>
              <w:t xml:space="preserve">Sprzęt sportowy dla szkół</w:t>
            </w:r>
          </w:p>
        </w:tc>
        <w:tc>
          <w:tcPr>
            <w:tcW w:type="dxa" w:w="2000"/>
            <w:shd w:fill="F1F5F9" w:val="clear"/>
          </w:tcPr>
          <w:p>
            <w:r>
              <w:rPr>
                <w:sz w:val="18"/>
                <w:szCs w:val="18"/>
              </w:rPr>
              <w:t xml:space="preserve">Sprzęt sportowy szkolny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Cyfrowy Uczeń 2026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260 mln zł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18"/>
                <w:szCs w:val="18"/>
              </w:rPr>
              <w:t xml:space="preserve">Cyfryzacja edukacji (laptopy/tablety, sprzęt IT)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Sprzęt komputerowy</w:t>
            </w:r>
          </w:p>
        </w:tc>
      </w:tr>
      <w:tr>
        <w:tc>
          <w:tcPr>
            <w:tcW w:type="dxa" w:w="2400"/>
            <w:shd w:fill="F1F5F9" w:val="clear"/>
          </w:tcPr>
          <w:p>
            <w:r>
              <w:rPr>
                <w:sz w:val="18"/>
                <w:szCs w:val="18"/>
              </w:rPr>
              <w:t xml:space="preserve">Cyfrowa Gmina</w:t>
            </w:r>
          </w:p>
        </w:tc>
        <w:tc>
          <w:tcPr>
            <w:tcW w:type="dxa" w:w="1600"/>
            <w:shd w:fill="F1F5F9" w:val="clear"/>
          </w:tcPr>
          <w:p>
            <w:r>
              <w:rPr>
                <w:sz w:val="18"/>
                <w:szCs w:val="18"/>
              </w:rPr>
              <w:t xml:space="preserve">100 tys.–2 mln zł / gmina (do 100% kosztów)</w:t>
            </w:r>
          </w:p>
        </w:tc>
        <w:tc>
          <w:tcPr>
            <w:tcW w:type="dxa" w:w="3800"/>
            <w:shd w:fill="F1F5F9" w:val="clear"/>
          </w:tcPr>
          <w:p>
            <w:r>
              <w:rPr>
                <w:sz w:val="18"/>
                <w:szCs w:val="18"/>
              </w:rPr>
              <w:t xml:space="preserve">Sprzęt komputerowy dla urzędów i placówek oświatowych</w:t>
            </w:r>
          </w:p>
        </w:tc>
        <w:tc>
          <w:tcPr>
            <w:tcW w:type="dxa" w:w="2000"/>
            <w:shd w:fill="F1F5F9" w:val="clear"/>
          </w:tcPr>
          <w:p>
            <w:r>
              <w:rPr>
                <w:sz w:val="18"/>
                <w:szCs w:val="18"/>
              </w:rPr>
              <w:t xml:space="preserve">Sprzęt komputerowy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Cyberbezpieczny Samorząd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1,5–2 mld zł (kwoty różnią się w źródłach)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18"/>
                <w:szCs w:val="18"/>
              </w:rPr>
              <w:t xml:space="preserve">Serwery, firewalle/UTM, systemy backupu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Sprzęt sieciowy/cyberbezpieczeństwo</w:t>
            </w:r>
          </w:p>
        </w:tc>
      </w:tr>
    </w:tbl>
    <w:p>
      <w:pPr>
        <w:spacing w:after="150"/>
      </w:pPr>
      <w:r>
        <w:rPr>
          <w:i/>
          <w:iCs/>
          <w:color w:val="6B7280"/>
          <w:sz w:val="19"/>
          <w:szCs w:val="19"/>
        </w:rPr>
        <w:t xml:space="preserve">Wniosek praktyczny: warto monitorować nie tylko same ogłoszenia przetargowe, ale też harmonogramy naborów wniosków w tych programach — moment przyznania dofinansowania samorządom bezpośrednio poprzedza falę przetargów na konkretny sprzęt.</w:t>
      </w:r>
    </w:p>
    <w:p>
      <w:pPr>
        <w:pStyle w:val="Heading1"/>
        <w:spacing w:after="200" w:before="400"/>
      </w:pPr>
      <w:r>
        <w:t xml:space="preserve">4. Kategorie wykluczone z tej wersji prospektu</w:t>
      </w:r>
    </w:p>
    <w:p>
      <w:pPr>
        <w:spacing w:after="150"/>
      </w:pPr>
      <w:r>
        <w:t xml:space="preserve">Poniższe kategorie były sprawdzone we wcześniejszej wersji researchu, ale zostały świadomie usunięte z rekomendacji — decyzja właściciela biznesu na podstawie kryterium „zbyt duże bariery formalne wejścia".</w:t>
      </w:r>
    </w:p>
    <w:p>
      <w:pPr>
        <w:pStyle w:val="Heading3"/>
        <w:spacing w:after="100" w:before="220"/>
      </w:pPr>
      <w:r>
        <w:t xml:space="preserve">Znaki drogowe i urządzenia bezpieczeństwa ruchu drogowego (BRD) — WYKLUCZONE</w:t>
      </w:r>
    </w:p>
    <w:p>
      <w:pPr>
        <w:spacing w:after="150"/>
      </w:pPr>
      <w:r>
        <w:t xml:space="preserve">Znaki pionowe, bariery, urządzenia bezpieczeństwa dla zarządów dróg.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Własny kod CPV 34992200-9, potwierdzony powtarzalny wzorzec „sukcesywna dostawa" dla Zarządów Dróg Powiatowych i Wojewódzkich — wolumen sam w sobie był dobry.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Powód wykluczenia: produkty muszą posiadać aktualny Krajowy Certyfikat Zgodności oraz Aprobatę Techniczną, a także znak budowlany „B" — krajowe dopuszczenie techniczne, które trzeba zdobyć osobno przed rozpoczęciem sprzedaży, niezależnie od jakości towaru z Chin.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991B1B"/>
          <w:sz w:val="19"/>
          <w:szCs w:val="19"/>
        </w:rPr>
        <w:t xml:space="preserve">Wykluczone — zbyt duża bariera formalna wejścia.</w:t>
      </w:r>
    </w:p>
    <w:p>
      <w:pPr>
        <w:pStyle w:val="Heading3"/>
        <w:spacing w:after="100" w:before="220"/>
      </w:pPr>
      <w:r>
        <w:t xml:space="preserve">Sprzęt przeciwpożarowy (gaśnice, hydranty, umundurowanie OSP) — WYKLUCZONE</w:t>
      </w:r>
    </w:p>
    <w:p>
      <w:pPr>
        <w:spacing w:after="150"/>
      </w:pPr>
      <w:r>
        <w:t xml:space="preserve">Podstawowy sprzęt i wyposażenie ochrony przeciwpożarowej.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26 aktywnych ogłoszeń znalezionych w samej tylko jednej wojewódzkiej Komendzie PSP — wolumen sam w sobie był dobry.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Powód wykluczenia: wymagana certyfikacja CNBOP-PIB przed rozpoczęciem sprzedaży — podobna bariera formalna jak przy znakach drogowych.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991B1B"/>
          <w:sz w:val="19"/>
          <w:szCs w:val="19"/>
        </w:rPr>
        <w:t xml:space="preserve">Wykluczone — zbyt duża bariera formalna wejścia.</w:t>
      </w:r>
    </w:p>
    <w:p>
      <w:pPr>
        <w:pStyle w:val="Heading3"/>
        <w:spacing w:after="100" w:before="220"/>
      </w:pPr>
      <w:r>
        <w:t xml:space="preserve">Systemy monitoringu CCTV (kamery, rejestratory) — WYKLUCZONE</w:t>
      </w:r>
    </w:p>
    <w:p>
      <w:pPr>
        <w:spacing w:after="150"/>
      </w:pPr>
      <w:r>
        <w:t xml:space="preserve">Kamery i rejestratory dla gmin, szkół i instytucji publicznych.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Dowody skali rynku: </w:t>
      </w:r>
      <w:r>
        <w:rPr>
          <w:sz w:val="19"/>
          <w:szCs w:val="19"/>
        </w:rPr>
        <w:t xml:space="preserve">Kategoria wydawała się dobrze dopasowana (prosty sprzęt, powtarzalne specyfikacje), ale dodatkowy research pokazał realne ryzyko reputacyjne/regulacyjne, nie tylko potencjał.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Wymogi certyfikacyjne / regulacyjne: </w:t>
      </w:r>
      <w:r>
        <w:rPr>
          <w:sz w:val="19"/>
          <w:szCs w:val="19"/>
        </w:rPr>
        <w:t xml:space="preserve">Powód wykluczenia: chińscy producenci kamer CCTV (Hikvision, Dahua) są już oficjalnie objęci zakazem sprzedaży/importu do zastosowań rządowych, obiektów krytycznych i bezpieczeństwa narodowego w USA (decyzja FCC); w Polsce trwa rozszerzanie ustawy „Lex Huawei"/„Lex China" (dostawca wysokiego ryzyka — DWR) na 18 sektorów gospodarki, w tym administrację publiczną — monitoring wizyjny w instytucjach publicznych to naturalny kandydat do przyszłych ograniczeń. Dodatkowo UOKiK prowadzi postępowanie ws. budowania monopolu przez jednego z chińskich producentów na polskim rynku. Zgodnie z wyraźną decyzją właściciela biznesu: to musi pozostać domeną dostawców uznawanych za zaufanych/krajowych, nie towarem z Chin.</w:t>
      </w:r>
    </w:p>
    <w:p>
      <w:pPr>
        <w:spacing w:after="260"/>
      </w:pPr>
      <w:r>
        <w:rPr>
          <w:b/>
          <w:bCs/>
          <w:sz w:val="19"/>
          <w:szCs w:val="19"/>
        </w:rPr>
        <w:t xml:space="preserve">Ocena dopasowania do modelu: </w:t>
      </w:r>
      <w:r>
        <w:rPr>
          <w:b/>
          <w:bCs/>
          <w:color w:val="991B1B"/>
          <w:sz w:val="19"/>
          <w:szCs w:val="19"/>
        </w:rPr>
        <w:t xml:space="preserve">Wykluczone — ryzyko regulacyjne/reputacyjne, nie tylko formalna bariera.</w:t>
      </w:r>
    </w:p>
    <w:p>
      <w:pPr>
        <w:pStyle w:val="Heading1"/>
        <w:spacing w:after="200" w:before="400"/>
      </w:pPr>
      <w:r>
        <w:t xml:space="preserve">5. Przetargi prywatne — Baza Konkurencyjności (dogłębny research)</w:t>
      </w:r>
    </w:p>
    <w:p>
      <w:pPr>
        <w:spacing w:after="150"/>
      </w:pPr>
      <w:r>
        <w:t xml:space="preserve">Ta sekcja odpowiada na pytanie „jak wygląda sytuacja jeśli chodzi o przetargi prywatne" i zawiera wyniki bezpośredniej weryfikacji na żywo strony bazakonkurencyjnosci.funduszeeuropejskie.gov.pl — nie są to dane z drugiej ręki, tylko odczyt z działającej wyszukiwarki w dniu 21 lipca 2026.</w:t>
      </w:r>
    </w:p>
    <w:p>
      <w:pPr>
        <w:pStyle w:val="Heading2"/>
        <w:spacing w:after="150" w:before="300"/>
      </w:pPr>
      <w:r>
        <w:t xml:space="preserve">5.1 Jak to działa technicznie</w:t>
      </w:r>
    </w:p>
    <w:p>
      <w:pPr>
        <w:spacing w:after="150"/>
      </w:pPr>
      <w:r>
        <w:t xml:space="preserve">Baza Konkurencyjności to oficjalny portal, na którym prywatne firmy korzystające z dotacji unijnych muszą publikować zapytania ofertowe („zasada konkurencyjności"), gdy pojedynczy zakup w ramach projektu przekracza próg 80 000 zł netto (podniesiony z 50 000 zł 25 marca 2025 r.).</w:t>
      </w:r>
    </w:p>
    <w:p>
      <w:pPr>
        <w:spacing w:after="150"/>
      </w:pPr>
      <w:r>
        <w:t xml:space="preserve">Znaleziono i zweryfikowano bezpośrednio publiczny, nieautoryzowany endpoint API strony: bazakonkurencyjnosci.funduszeeuropejskie.gov.pl/api/announcements/search — zwraca czyste dane JSON (tytuł, treść, zamawiający, termin składania ofert, miejsce realizacji, dokładna liczba wyników). To oznacza, że zbudowanie automatycznego monitoringu tego źródła jest technicznie wykonalne w ten sam sposób co przy e-Zamówieniach — bez scrapowania HTML.</w:t>
      </w:r>
    </w:p>
    <w:p>
      <w:pPr>
        <w:spacing w:after="150"/>
      </w:pPr>
      <w:r>
        <w:t xml:space="preserve">Rejestracja i składanie ofert: konto zakłada się raz (formularz + dane podmiotu), a ofertę składa się przez zakładkę „Oferty" przy konkretnym ogłoszeniu, wraz z wymaganymi załącznikami.</w:t>
      </w:r>
    </w:p>
    <w:p>
      <w:pPr>
        <w:pStyle w:val="Heading2"/>
        <w:spacing w:after="150" w:before="300"/>
      </w:pPr>
      <w:r>
        <w:t xml:space="preserve">5.2 Skala rynku na żywo (odczyt 21.07.2026)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800"/>
        <w:gridCol w:w="2000"/>
      </w:tblGrid>
      <w:tr>
        <w:trPr>
          <w:tblHeader/>
        </w:trPr>
        <w:tc>
          <w:tcPr>
            <w:tcW w:type="dxa" w:w="2400"/>
            <w:shd w:fill="0F2E4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tcW w:type="dxa" w:w="1600"/>
            <w:shd w:fill="0F2E4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Budżet</w:t>
            </w:r>
          </w:p>
        </w:tc>
        <w:tc>
          <w:tcPr>
            <w:tcW w:type="dxa" w:w="3800"/>
            <w:shd w:fill="0F2E4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 finansuje</w:t>
            </w:r>
          </w:p>
        </w:tc>
        <w:tc>
          <w:tcPr>
            <w:tcW w:type="dxa" w:w="2000"/>
            <w:shd w:fill="0F2E4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Powiązana kategoria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Wszystkie aktywne ogłoszenia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1 167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18"/>
                <w:szCs w:val="18"/>
              </w:rPr>
              <w:t xml:space="preserve">Cała platforma, wszystkie branże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shd w:fill="F1F5F9" w:val="clear"/>
          </w:tcPr>
          <w:p>
            <w:r>
              <w:rPr>
                <w:sz w:val="18"/>
                <w:szCs w:val="18"/>
              </w:rPr>
              <w:t xml:space="preserve">„magazyn energii"</w:t>
            </w:r>
          </w:p>
        </w:tc>
        <w:tc>
          <w:tcPr>
            <w:tcW w:type="dxa" w:w="1600"/>
            <w:shd w:fill="F1F5F9" w:val="clear"/>
          </w:tcPr>
          <w:p>
            <w:r>
              <w:rPr>
                <w:sz w:val="18"/>
                <w:szCs w:val="18"/>
              </w:rPr>
              <w:t xml:space="preserve">107</w:t>
            </w:r>
          </w:p>
        </w:tc>
        <w:tc>
          <w:tcPr>
            <w:tcW w:type="dxa" w:w="3800"/>
            <w:shd w:fill="F1F5F9" w:val="clear"/>
          </w:tcPr>
          <w:p>
            <w:r>
              <w:rPr>
                <w:sz w:val="18"/>
                <w:szCs w:val="18"/>
              </w:rPr>
              <w:t xml:space="preserve">BESS — budowa/dostawa magazynów energii</w:t>
            </w:r>
          </w:p>
        </w:tc>
        <w:tc>
          <w:tcPr>
            <w:tcW w:type="dxa" w:w="2000"/>
            <w:shd w:fill="F1F5F9" w:val="clear"/>
          </w:tcPr>
          <w:p>
            <w:r>
              <w:rPr>
                <w:sz w:val="18"/>
                <w:szCs w:val="18"/>
              </w:rPr>
              <w:t xml:space="preserve">Magazyny energii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„instalacja fotowoltaiczna"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83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18"/>
                <w:szCs w:val="18"/>
              </w:rPr>
              <w:t xml:space="preserve">Instalacje PV, często z magazynem energii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Magazyny energii / OZE</w:t>
            </w:r>
          </w:p>
        </w:tc>
      </w:tr>
      <w:tr>
        <w:tc>
          <w:tcPr>
            <w:tcW w:type="dxa" w:w="2400"/>
            <w:shd w:fill="F1F5F9" w:val="clear"/>
          </w:tcPr>
          <w:p>
            <w:r>
              <w:rPr>
                <w:sz w:val="18"/>
                <w:szCs w:val="18"/>
              </w:rPr>
              <w:t xml:space="preserve">„maszyna"</w:t>
            </w:r>
          </w:p>
        </w:tc>
        <w:tc>
          <w:tcPr>
            <w:tcW w:type="dxa" w:w="1600"/>
            <w:shd w:fill="F1F5F9" w:val="clear"/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3800"/>
            <w:shd w:fill="F1F5F9" w:val="clear"/>
          </w:tcPr>
          <w:p>
            <w:r>
              <w:rPr>
                <w:sz w:val="18"/>
                <w:szCs w:val="18"/>
              </w:rPr>
              <w:t xml:space="preserve">Maszyny przemysłowe/laboratoryjne różnych branż</w:t>
            </w:r>
          </w:p>
        </w:tc>
        <w:tc>
          <w:tcPr>
            <w:tcW w:type="dxa" w:w="2000"/>
            <w:shd w:fill="F1F5F9" w:val="clear"/>
          </w:tcPr>
          <w:p>
            <w:r>
              <w:rPr>
                <w:sz w:val="18"/>
                <w:szCs w:val="18"/>
              </w:rPr>
              <w:t xml:space="preserve">Maszyny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18"/>
                <w:szCs w:val="18"/>
              </w:rPr>
              <w:t xml:space="preserve">„linia produkcyjna"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sz w:val="18"/>
                <w:szCs w:val="18"/>
              </w:rPr>
              <w:t xml:space="preserve">Linie technologiczne (spożywcze, przemysłowe)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Maszyny</w:t>
            </w:r>
          </w:p>
        </w:tc>
      </w:tr>
      <w:tr>
        <w:tc>
          <w:tcPr>
            <w:tcW w:type="dxa" w:w="2400"/>
            <w:shd w:fill="F1F5F9" w:val="clear"/>
          </w:tcPr>
          <w:p>
            <w:r>
              <w:rPr>
                <w:sz w:val="18"/>
                <w:szCs w:val="18"/>
              </w:rPr>
              <w:t xml:space="preserve">„CNC"</w:t>
            </w:r>
          </w:p>
        </w:tc>
        <w:tc>
          <w:tcPr>
            <w:tcW w:type="dxa" w:w="1600"/>
            <w:shd w:fill="F1F5F9" w:val="clear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3800"/>
            <w:shd w:fill="F1F5F9" w:val="clear"/>
          </w:tcPr>
          <w:p>
            <w:r>
              <w:rPr>
                <w:sz w:val="18"/>
                <w:szCs w:val="18"/>
              </w:rPr>
              <w:t xml:space="preserve">Uwaga: dopasowanie tekstowe, część wyników to nazwy firm, nie zakupy obrabiarek</w:t>
            </w:r>
          </w:p>
        </w:tc>
        <w:tc>
          <w:tcPr>
            <w:tcW w:type="dxa" w:w="2000"/>
            <w:shd w:fill="F1F5F9" w:val="clear"/>
          </w:tcPr>
          <w:p>
            <w:r>
              <w:rPr>
                <w:sz w:val="18"/>
                <w:szCs w:val="18"/>
              </w:rPr>
              <w:t xml:space="preserve">Maszyny</w:t>
            </w:r>
          </w:p>
        </w:tc>
      </w:tr>
    </w:tbl>
    <w:p>
      <w:pPr>
        <w:spacing w:after="150"/>
      </w:pPr>
      <w:r>
        <w:rPr>
          <w:i/>
          <w:iCs/>
          <w:color w:val="6B7280"/>
          <w:sz w:val="19"/>
          <w:szCs w:val="19"/>
        </w:rPr>
        <w:t xml:space="preserve">Zastrzeżenie metodologiczne: wyszukiwarka Bazy Konkurencyjności dopasowuje tekst dość swobodnie (np. zapytanie „CNC" trafiło głównie w ogłoszenie firmy o nazwie zawierającej „CNC", nie w zakup obrabiarek) — do precyzyjnego monitoringu docelowo trzeba by filtrować po kodach CPV, nie tylko słowach kluczowych. Powyższe liczby to jednak realny odczyt na żywo, nie szacunek.</w:t>
      </w:r>
    </w:p>
    <w:p>
      <w:pPr>
        <w:pStyle w:val="Heading2"/>
        <w:spacing w:after="150" w:before="300"/>
      </w:pPr>
      <w:r>
        <w:t xml:space="preserve">5.3 Magazyny energii / BESS — dogłębna analiza</w:t>
      </w:r>
    </w:p>
    <w:p>
      <w:pPr>
        <w:spacing w:after="150"/>
      </w:pPr>
      <w:r>
        <w:t xml:space="preserve">To najsilniej potwierdzona kategoria w całym prospekcie. W samej Bazie Konkurencyjności, na żywo, znaleziono m.in.: budowę magazynu energii 2,5 MW w Wałczu (finansowanie NFOŚiGW, Fundusz Modernizacyjny), BESS 2,5 MW / 5 MWh w Grzybowie (dostawa+montaż+uruchomienie, „P.P.H.U. Lepsza Energia"), oraz dwa osobne ogłoszenia firmy EGN Polska na magazyny energii po 20 MW każdy (Krasnystaw i Cyców) — to duże, poważne kontrakty, nie drobne zakupy.</w:t>
      </w:r>
    </w:p>
    <w:p>
      <w:pPr>
        <w:spacing w:after="150"/>
      </w:pPr>
      <w:r>
        <w:t xml:space="preserve">Dowód dominacji chińskich dostawców na poziomie technologii, nie tylko teorii: w pierwszej połowie 2025 roku WSZYSTKIE dziesięć największych na świecie firm dostarczających ogniwa do systemów BESS pochodziło z Chin (CATL, BYD, HyperStron, RelyEZ Energy, Narada Power i inni) — dzięki masowej produkcji i technologii LFP oferują ceny nieosiągalne dla producentów spoza Chin. Wśród integratorów po stronie AC chińskie Sungrow i CRRC Zhuzhou plasują się tuż za Teslą.</w:t>
      </w:r>
    </w:p>
    <w:p>
      <w:pPr>
        <w:spacing w:after="150"/>
      </w:pPr>
      <w:r>
        <w:t xml:space="preserve">Chińska obecność materializuje się też fizycznie w Polsce: Sungrow (jeden z największych producentów falowników i magazynów energii na świecie) buduje swoją pierwszą europejską fabrykę w Wałbrzychu (65 400 m²). Grupa Greenvolt (prywatny deweloper) podpisała umowę z chińskim BYD Energy Storage na realizację BESS o łącznej pojemności do 1,6 GWh w Polsce. Media branżowe wprost tytułują: „W Polsce powstaną dwa duże magazyny energii. Będą z Chin".</w:t>
      </w:r>
    </w:p>
    <w:p>
      <w:pPr>
        <w:spacing w:after="150"/>
      </w:pPr>
      <w:r>
        <w:t xml:space="preserve">Ryzyko „local content"/TSUE (opisane w PLAN-PANEL-PRZETARGOW.md) dotyczy wyłącznie DUŻYCH przetargów infrastrukturalnych zamawianych przez spółki Skarbu Państwa (PGE, PSE) — przykład Greenvolt-BYD (firma prywatna, żadnych przeszkód) oraz obecność BESS w Bazie Konkurencyjności (też firmy prywatne) potwierdzają, że ten segment rynku pozostaje w pełni otwarty na dostawców z Chin.</w:t>
      </w:r>
    </w:p>
    <w:p>
      <w:pPr>
        <w:spacing w:after="150"/>
      </w:pPr>
      <w:r>
        <w:rPr>
          <w:sz w:val="19"/>
          <w:szCs w:val="19"/>
        </w:rPr>
        <w:t xml:space="preserve">Wniosek: magazyny energii to najlepiej udokumentowana kategoria w tym prospekcie — dominacja chińskich producentów na poziomie ogniw/technologii jest faktem rynkowym potwierdzonym niezależnie od polskiej polityki przetargowej, a prywatne zapytania ofertowe w tej kategorii są realne, duże wartościowo i aktywne właśnie teraz.</w:t>
      </w:r>
    </w:p>
    <w:p>
      <w:pPr>
        <w:pStyle w:val="Heading2"/>
        <w:spacing w:after="150" w:before="300"/>
      </w:pPr>
      <w:r>
        <w:t xml:space="preserve">5.4 Maszyny — dogłębna analiza</w:t>
      </w:r>
    </w:p>
    <w:p>
      <w:pPr>
        <w:spacing w:after="150"/>
      </w:pPr>
      <w:r>
        <w:t xml:space="preserve">Import maszyn przemysłowych z Chin to już dziś działający, sprawdzony ekosystem, nie hipoteza: istnieją polscy importerzy wyspecjalizowani wyłącznie w tym (np. Maszyny Polskie — importer obrabiarek od producentów takich jak Senfeng Laser Technology; JWImport — z własnymi magazynami zarówno w Chinach, jak i w Polsce; Eimport, Fullbax Plus). Oszczędności względem cen europejskich sięgają nawet 50%.</w:t>
      </w:r>
    </w:p>
    <w:p>
      <w:pPr>
        <w:spacing w:after="150"/>
      </w:pPr>
      <w:r>
        <w:t xml:space="preserve">Specjalizacja regionalna, przydatna przy doborze dostawców: prowincja Guangdong — maszyny elektroniczne, urządzenia pakujące, zaawansowane CNC, wysoki poziom automatyzacji; prowincja Zhejiang — maszyny do tworzyw sztucznych, wtryskarki, maszyny włókiennicze, poziom technologiczny porównywalny z europejskim.</w:t>
      </w:r>
    </w:p>
    <w:p>
      <w:pPr>
        <w:spacing w:after="150"/>
      </w:pPr>
      <w:r>
        <w:t xml:space="preserve">W samej Bazie Konkurencyjności na żywo widać realne zapotrzebowanie: 31 aktywnych ogłoszeń na „maszyna" (przykład: zakup maszyn laboratoryjno-testowych — zgrzewarka, maszyna wytrzymałościowa, tunel suszący, powlekarka — dla firmy CELLPAK), 28 na „linia produkcyjna" (przykład: linia do bułek dla „SPOŁEM" Siedlce).</w:t>
      </w:r>
    </w:p>
    <w:p>
      <w:pPr>
        <w:spacing w:after="150"/>
      </w:pPr>
      <w:r>
        <w:rPr>
          <w:sz w:val="19"/>
          <w:szCs w:val="19"/>
        </w:rPr>
        <w:t xml:space="preserve">Wniosek: w przeciwieństwie do komputerów, maszyny przemysłowe nie mają dominującego kanału OEM blokującego wejście — to rozdrobniony rynek wielu producentów, gdzie cena i specyfikacja techniczna decydują bardziej niż marka, co jest dokładnie tym, w czym MyChinaPal ma już udokumentowane doświadczenie.</w:t>
      </w:r>
    </w:p>
    <w:p>
      <w:pPr>
        <w:pStyle w:val="Heading2"/>
        <w:spacing w:after="150" w:before="300"/>
      </w:pPr>
      <w:r>
        <w:t xml:space="preserve">5.5 Sprzęt komputerowy — zweryfikowane ryzyko</w:t>
      </w:r>
    </w:p>
    <w:p>
      <w:pPr>
        <w:spacing w:after="150"/>
      </w:pPr>
      <w:r>
        <w:t xml:space="preserve">To jedyna kategoria z tego prospektu, gdzie dodatkowy research obniżył ocenę dopasowania. Dwa największe polskie przetargi na komputery/laptopy (735 000 sztuk za 1,7 mld zł oraz 394 346 sztuk za 1,182 mld zł) wygrały konsorcja będące autoryzowanymi dystrybutorami marek Lenovo, HP, Dell i Apple (m.in. Galaxy Systemy Informatyczne + MBA System, Grupa E + ITD24 + F.H.U. Horyzont) — nie niezależni importerzy sprzętu z Chin.</w:t>
      </w:r>
    </w:p>
    <w:p>
      <w:pPr>
        <w:spacing w:after="150"/>
      </w:pPr>
      <w:r>
        <w:t xml:space="preserve">To oznacza, że MyChinaPal realnie NIE może wejść w te flagowe przetargi jako dostawca marki Lenovo (wymagałoby to zostania autoryzowanym partnerem/dystrybutorem — inny model biznesowy niż import ogólny). Realna szansa w tej kategorii leży raczej w akcesoriach, podzespołach, monitorach, urządzeniach peryferyjnych i sprzęcie białej etykiety w mniejszych przetargach — nie w dużych, brandowanych kontraktach na laptopy.</w:t>
      </w:r>
    </w:p>
    <w:p>
      <w:pPr>
        <w:spacing w:after="150"/>
      </w:pPr>
      <w:r>
        <w:rPr>
          <w:sz w:val="19"/>
          <w:szCs w:val="19"/>
        </w:rPr>
        <w:t xml:space="preserve">Dobra wiadomość: nie ma dziś żadnego prawnego zakazu chińskich marek komputerowych w Polsce — Lenovo (firma z siedzibą w Pekinie) regularnie i legalnie wygrywa największe polskie przetargi rządowe. Rozwijająca się ustawa „Lex Huawei"/„Lex China" dotyczy na razie sprzętu telekomunikacyjnego (Huawei, ZTE), nie komputerów osobistych — ale trzeba to monitorować, bo definicja „dostawcy wysokiego ryzyka" ma objąć 18 sektorów gospodarki.</w:t>
      </w:r>
    </w:p>
    <w:p>
      <w:pPr>
        <w:pStyle w:val="Heading1"/>
        <w:spacing w:after="200" w:before="400"/>
      </w:pPr>
      <w:r>
        <w:t xml:space="preserve">6. Ranking priorytetów wdrożenia</w:t>
      </w:r>
    </w:p>
    <w:p>
      <w:pPr>
        <w:spacing w:after="150"/>
      </w:pPr>
      <w:r>
        <w:t xml:space="preserve">Kategorie uszeregowane wg połączenia: potwierdzonego wolumenu, prostoty specyfikacji i niskiej bariery certyfikacyjnej wejścia. Znaki drogowe, sprzęt przeciwpożarowy i systemy monitoringu CCTV nie występują już w tym rankingu — patrz sekcja 4.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rPr>
          <w:tblHeader/>
        </w:trPr>
        <w:tc>
          <w:tcPr>
            <w:tcW w:type="dxa" w:w="9800"/>
            <w:shd w:fill="166534" w:val="clear"/>
          </w:tcPr>
          <w:p>
            <w:r>
              <w:rPr>
                <w:b/>
                <w:bCs/>
                <w:color w:val="FFFFFF"/>
              </w:rPr>
              <w:t xml:space="preserve">Poziom 1 — zacząć w pierwszej kolejności</w:t>
            </w:r>
          </w:p>
        </w:tc>
      </w:tr>
      <w:tr>
        <w:tc>
          <w:tcPr>
            <w:tcW w:type="dxa" w:w="9800"/>
            <w:shd w:fill="FFFFFF" w:val="clear"/>
          </w:tcPr>
          <w:p>
            <w:r>
              <w:t xml:space="preserve">Magazyny energii/BESS (patrz sekcja 5.3 — najlepiej udokumentowana kategoria), maszyny przemysłowe (sekcja 5.4), meble, artykuły biurowe, środki czystości, odzież robocza/BHP, regały archiwalne/biblioteczne, tablice interaktywne, wyposażenie pracowni STEAM (drukarki 3D/VR/roboty edukacyjne), sprzęt sportowy szkolny, narzędzia/elektronarzędzia dla CKZiU, kosiarki i sprzęt do zieleni, drony do monitoringu — najwyższy potwierdzony wolumen, brak lub minimalne bariery certyfikacyjne, wiele z nich dodatkowo napędzane konkretnymi programami rządowymi (zob. sekcja 3.7) lub prywatnymi zapytaniami ofertowymi w Bazie Konkurencyjności (sekcja 5.2).</w:t>
            </w:r>
          </w:p>
        </w:tc>
      </w:tr>
    </w:tbl>
    <w:p>
      <w:pPr>
        <w:spacing w:after="15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rPr>
          <w:tblHeader/>
        </w:trPr>
        <w:tc>
          <w:tcPr>
            <w:tcW w:type="dxa" w:w="9800"/>
            <w:shd w:fill="B45309" w:val="clear"/>
          </w:tcPr>
          <w:p>
            <w:r>
              <w:rPr>
                <w:b/>
                <w:bCs/>
                <w:color w:val="FFFFFF"/>
              </w:rPr>
              <w:t xml:space="preserve">Poziom 2 — dobry potencjał, wymaga jednorazowej certyfikacji lub ma zawężony zakres</w:t>
            </w:r>
          </w:p>
        </w:tc>
      </w:tr>
      <w:tr>
        <w:tc>
          <w:tcPr>
            <w:tcW w:type="dxa" w:w="9800"/>
            <w:shd w:fill="FFFFFF" w:val="clear"/>
          </w:tcPr>
          <w:p>
            <w:r>
              <w:t xml:space="preserve">Środki ochrony medycznej i bielizna szpitalna — wymagają CE/MDR i normy ENV-14237, ale to jednorazowa weryfikacja u dostawcy, nie krajowa aprobata. Sprzęt komputerowy — realna szansa ograniczona do akcesoriów/podzespołów/białej etykiety, nie do brandowanych laptopów zdominowanych przez autoryzowany kanał OEM (patrz sekcja 5.5).</w:t>
            </w:r>
          </w:p>
        </w:tc>
      </w:tr>
    </w:tbl>
    <w:p>
      <w:pPr>
        <w:spacing w:after="15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rPr>
          <w:tblHeader/>
        </w:trPr>
        <w:tc>
          <w:tcPr>
            <w:tcW w:type="dxa" w:w="9800"/>
            <w:shd w:fill="475569" w:val="clear"/>
          </w:tcPr>
          <w:p>
            <w:r>
              <w:rPr>
                <w:b/>
                <w:bCs/>
                <w:color w:val="FFFFFF"/>
              </w:rPr>
              <w:t xml:space="preserve">Poziom 3 — nisza lub wymaga selekcji ogłoszeń</w:t>
            </w:r>
          </w:p>
        </w:tc>
      </w:tr>
      <w:tr>
        <w:tc>
          <w:tcPr>
            <w:tcW w:type="dxa" w:w="9800"/>
            <w:shd w:fill="FFFFFF" w:val="clear"/>
          </w:tcPr>
          <w:p>
            <w:r>
              <w:t xml:space="preserve">Place zabaw/siłownie zewnętrzne (montaż lokalny), pomoce dydaktyczne, pojemniki na odpady (tylko czysta dostawa) — potencjał jest, ale wymaga starannego filtrowania ogłoszeń lub podwykonawstwa lokalnego montażu.</w:t>
            </w:r>
          </w:p>
        </w:tc>
      </w:tr>
    </w:tbl>
    <w:p>
      <w:pPr>
        <w:spacing w:after="15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rPr>
          <w:tblHeader/>
        </w:trPr>
        <w:tc>
          <w:tcPr>
            <w:tcW w:type="dxa" w:w="9800"/>
            <w:shd w:fill="991B1B" w:val="clear"/>
          </w:tcPr>
          <w:p>
            <w:r>
              <w:rPr>
                <w:b/>
                <w:bCs/>
                <w:color w:val="FFFFFF"/>
              </w:rPr>
              <w:t xml:space="preserve">Poziom 4 — ograniczona szansa, wymaga precyzyjnego targetowania</w:t>
            </w:r>
          </w:p>
        </w:tc>
      </w:tr>
      <w:tr>
        <w:tc>
          <w:tcPr>
            <w:tcW w:type="dxa" w:w="9800"/>
            <w:shd w:fill="FFFFFF" w:val="clear"/>
          </w:tcPr>
          <w:p>
            <w:r>
              <w:t xml:space="preserve">Sprzęt rehabilitacyjny (tylko zakupy instytucjonalne, nie zaopatrzenie pacjentów), oświetlenie uliczne LED (zwykle bundled z projektem/montażem) — realna szansa istnieje, ale w węższym wycinku niż nagłówkowa kategoria sugeruje.</w:t>
            </w:r>
          </w:p>
        </w:tc>
      </w:tr>
    </w:tbl>
    <w:p>
      <w:pPr>
        <w:pStyle w:val="Heading1"/>
        <w:spacing w:after="200" w:before="400"/>
      </w:pPr>
      <w:r>
        <w:t xml:space="preserve">7. Zastrzeżenia metodologiczne i źródła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Liczby ogłoszeń (28 351 / 5 748 rocznie dla IT; 21 830 / 5 808 rocznie dla mebli; 17 599 / 207 miesięcznie dla odpadów) pochodzą z agregatora Atlas Przetargów i obejmują ogłoszenia historyczne + aktywne w danej kategorii CPV — to szacunki rzędu wielkości, nie gwarancja przyszłego wolumenu.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Liczby z Bazy Konkurencyjności (sekcja 5.2) pochodzą z bezpośredniego, żywego odczytu publicznego API strony w dniu 21.07.2026 — to rzeczywisty stan na ten dzień, nie szacunek roczny; liczba aktywnych ogłoszeń zmienia się codziennie.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Budżety programów rządowych (Laboratoria Przyszłości 1 mld zł, Pracownie Kompas Jutra 200 mln zł, Aktywna Tablica 361,5 mln zł, Cyfrowy Uczeń 260 mln zł, Cyfrowa Gmina do 2 mln zł/gminę, Cyberbezpieczny Samorząd 1,5–2 mld zł) pochodzą z oficjalnych komunikatów rządowych i serwisów branżowych — kwota dla Cyberbezpiecznego Samorządu różni się między źródłami (1,5 vs 2 mld zł), co jest tu jawnie zaznaczone zamiast wybierania jednej liczby na wyczucie.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Przykład 118 przetargów (NOVUM, place zabaw) to potwierdzony przypadek jednostkowy, użyty jako dowód, że kategoria generuje realny, powtarzalny wolumen — nie jest to liczba ogólnokrajowa.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Tam, gdzie nie udało się znaleźć zbiorczej rocznej liczby (środki ochrony medycznej, bielizna szpitalna, artykuły biurowe, środki czystości, pomoce dydaktyczne, sprzęt rehabilitacyjny, budżet programu „Aktywna Szkoła") — jest to wprost zaznaczone, zamiast szacować liczbę bez podstawy.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Wymogi certyfikacyjne (MDR, ENV-14237, PPE 2016/425, PN-EN 1176/16630) wymagają weryfikacji prawnej przed rozpoczęciem sprzedaży w danej kategorii — ten dokument wskazuje kierunek, nie zastępuje opinii prawnej.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Znaki drogowe, sprzęt przeciwpożarowy i systemy monitoringu CCTV zostały usunięte z rekomendacji na wyraźną prośbę właściciela biznesu (kryteria: zbyt duże bariery formalne wejścia dla dwóch pierwszych, ryzyko regulacyjne/reputacyjne dla monitoringu CCTV) — pełne uzasadnienie w sekcji 4, nie są to kategorie „złe", tylko świadomie wykluczone.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Ocena kategorii „sprzęt komputerowy" została obniżona po dodatkowym researchu (sekcja 5.5) — dwa flagowe polskie przetargi na laptopy okazały się zdominowane przez autoryzowanych dystrybutorów marek, nie niezależnych importerów — to przykład aktywnego weryfikowania własnych wcześniejszych ustaleń, a nie tylko ich powielania.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Dokument stanowi rozszerzenie planu z pliku PLAN-PANEL-PRZETARGOW.md (sekcja 2.5) o nowe kategorie — nie powiela wcześniej opisanych: katering/gastronomia instytucjonalna oraz pierwsza runda kategorii medycznych/IT/mebli/BHP/placów zabaw z poprzedniego etapu researchu.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2E4C" w:sz="6" w:space="4"/>
      </w:pBdr>
      <w:spacing w:after="180" w:before="360"/>
    </w:pPr>
    <w:rPr>
      <w:rFonts w:ascii="Calibri" w:cs="Calibri" w:eastAsia="Calibri" w:hAnsi="Calibri"/>
      <w:b/>
      <w:bCs/>
      <w:color w:val="0F2E4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0F2E4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16653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2026-07-21T07:08:57.968Z</dcterms:created>
  <dcterms:modified xsi:type="dcterms:W3CDTF">2026-07-21T07:08:57.969Z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