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June 25,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ATLAS CIS Tech Quarterly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Mikel Zemborain, Elias Oakes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report covers the activities of the Chicago CIS Techs from April - June 2021.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maintenance team’s work has focused on the installation of isolation cooling valves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two long barrel partitions of Tile. These valves are individually controlled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pneumatic actuators so as to allow the TileCal cooling system to bypass specific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drawers without shutting down an entire cooling loop of 8-12 drawers, which would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otherwise be necessary when hardware issues arise during Run 3. With cooling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experts, the CIS techs have replaced radiation-sensitive screws and tested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performance and integrity for hundreds of valves. They installed 252 valves on 126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drawers - all 64 drawers on LBC and 62 drawers on LBA, where LBA 40 and 57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 still blocked by Cesium source garages.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UChicago techs also connected all 252 valves to the cooling system as well as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pneumatic system that will be used to actuate the valves. Operating on one sequential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loop of connected drawers at a time, circulation was shut off before the cooling hoses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were cut, drained, and connected to the direction-specific valves for each respective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drawer. To minimize the bending radius of the flexible hoses, length extensions were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often installed. During this process, internal pressure in the cooling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 was consistently monitored to ensure the absence of any leaks.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maintenance team continues to monitor the time required to complete a PPV cycle,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should be &amp;gt;400 minutes for nominal performance.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Since the last quarterly report, three leaks originating from the valves were found.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two of those occasions, one on LBC 14 in mid-April and the other on LBC 35 and 36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May, the UChicago techs used clamps to individually isolate each valve and identify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 of the leak. The other leak was on LBC in late April and was more difficult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isolate. The UChicago techs helped perform a comprehensive gas test to find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of the leak. This involved pumping N2 gas in each cooling loop return line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a gas detector around the valves to find the leak sources. Using this method,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leaks were isolated to LBC 58 and 60 and those drawers were then re-fitted with new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valves.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Outside of the cooling valve installation, the Chicago technicians have continued 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address maintenance issues in the detector. In the last months, this work has primarily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consisted of replacing faulty digitizer boards, 3in1 cards, and the flvps power supplies.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These interventions, along with regular updates about the valve installation progress,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were presented and discussed weekly with the TileCal maintenance team.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technicians also performed two CIS constant updates using TileCal Unified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Calibration Software (TUCS) macros.  The April update used CIS calibration runs from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March 25-April 23 and affected 182 ADCs.The June update studied CIS runs from April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27 - June 1 and affected 214 ADCs. In both cases, the automated results of the CIS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constant updates were validated by examining the variation of CIS constants with time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flagged or updated ADCs, which resulted in a number of recommended changes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flags and constant values. High deviation and unstable channels were also examined,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cross-referencing CIS constant jumps with the laser calibration response over the past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months. The final results of the updates were presented the data quality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maintenance teams and uploaded to on- and offline databases to be used in physics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analysis.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Chicago techs also presented general overviews of the CIS system and updates 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recent activities during the TileCal Week Data Preparation, Performance,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Calibration Session on Feburary 4 and to the Chicago ATLAS team on June 21.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Chicago techs will spend the remainder of their last month in the program training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new technicians, Dawit Belayneh and Katie Hughes, on all matters related to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program. As part of that work, they will help test a new version of the TUCS software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used for CIS constant updates, and work to improve the documentation of the CIS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constant update procedure for future techs.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