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Artificial intelligence is transforming education (Smith, 2020). Recent studies support this claim (Jones &amp; Lee, 2019).</w:t>
      </w:r>
    </w:p>
    <w:p>
      <w:pPr>
        <w:pStyle w:val="Heading1"/>
      </w:pPr>
      <w:r>
        <w:t>References</w:t>
      </w:r>
    </w:p>
    <w:p>
      <w:r>
        <w:t xml:space="preserve">Smith, J. (2020). </w:t>
      </w:r>
      <w:r>
        <w:rPr>
          <w:i/>
        </w:rPr>
        <w:t>AI in education.</w:t>
      </w:r>
      <w:r>
        <w:t xml:space="preserve"> Journal of Educational Psychology, 112(3), 45-62. https://doi.org/10.1037/edu0000412</w:t>
      </w:r>
    </w:p>
    <w:p>
      <w:r>
        <w:t xml:space="preserve">Jones, A., &amp; Lee, B. (2019). </w:t>
      </w:r>
      <w:r>
        <w:rPr>
          <w:i/>
        </w:rPr>
        <w:t>Learning with machines.</w:t>
      </w:r>
      <w:r>
        <w:t xml:space="preserve"> Educational Research, 5(1), 1-20. https://doi.org/10.1000/xyz123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