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97D"/>
          <w:sz w:val="32"/>
        </w:rPr>
        <w:t>SIMATS ENGINEERING</w:t>
        <w:br/>
      </w:r>
      <w:r>
        <w:rPr>
          <w:b/>
          <w:sz w:val="24"/>
        </w:rPr>
        <w:t>SAVEETHA INSTITUTE OF MEDICAL AND TECHNICAL SCIENCES</w:t>
        <w:br/>
      </w:r>
      <w:r>
        <w:rPr>
          <w:i/>
          <w:sz w:val="19"/>
        </w:rPr>
        <w:t>(Declared as Deemed to be University under Section 3 of UGC Act 1956)</w:t>
        <w:br/>
        <w:t>Chennai - 602 105, Tamil Nadu, India</w:t>
        <w:br/>
      </w:r>
    </w:p>
    <w:p>
      <w:pPr>
        <w:spacing w:before="120" w:after="240"/>
        <w:jc w:val="center"/>
      </w:pPr>
      <w:r>
        <w:drawing>
          <wp:inline xmlns:a="http://schemas.openxmlformats.org/drawingml/2006/main" xmlns:pic="http://schemas.openxmlformats.org/drawingml/2006/picture">
            <wp:extent cx="778394" cy="914400"/>
            <wp:docPr id="1" name="Picture 1"/>
            <wp:cNvGraphicFramePr>
              <a:graphicFrameLocks noChangeAspect="1"/>
            </wp:cNvGraphicFramePr>
            <a:graphic>
              <a:graphicData uri="http://schemas.openxmlformats.org/drawingml/2006/picture">
                <pic:pic>
                  <pic:nvPicPr>
                    <pic:cNvPr id="0" name="ses_logo.png"/>
                    <pic:cNvPicPr/>
                  </pic:nvPicPr>
                  <pic:blipFill>
                    <a:blip r:embed="rId11"/>
                    <a:stretch>
                      <a:fillRect/>
                    </a:stretch>
                  </pic:blipFill>
                  <pic:spPr>
                    <a:xfrm>
                      <a:off x="0" y="0"/>
                      <a:ext cx="778394" cy="914400"/>
                    </a:xfrm>
                    <a:prstGeom prst="rect"/>
                  </pic:spPr>
                </pic:pic>
              </a:graphicData>
            </a:graphic>
          </wp:inline>
        </w:drawing>
      </w:r>
      <w:r>
        <w:t xml:space="preserve">     </w:t>
      </w:r>
      <w:r>
        <w:drawing>
          <wp:inline xmlns:a="http://schemas.openxmlformats.org/drawingml/2006/main" xmlns:pic="http://schemas.openxmlformats.org/drawingml/2006/picture">
            <wp:extent cx="920142" cy="914400"/>
            <wp:docPr id="2" name="Picture 2"/>
            <wp:cNvGraphicFramePr>
              <a:graphicFrameLocks noChangeAspect="1"/>
            </wp:cNvGraphicFramePr>
            <a:graphic>
              <a:graphicData uri="http://schemas.openxmlformats.org/drawingml/2006/picture">
                <pic:pic>
                  <pic:nvPicPr>
                    <pic:cNvPr id="0" name="simats_logo.png"/>
                    <pic:cNvPicPr/>
                  </pic:nvPicPr>
                  <pic:blipFill>
                    <a:blip r:embed="rId12"/>
                    <a:stretch>
                      <a:fillRect/>
                    </a:stretch>
                  </pic:blipFill>
                  <pic:spPr>
                    <a:xfrm>
                      <a:off x="0" y="0"/>
                      <a:ext cx="920142" cy="914400"/>
                    </a:xfrm>
                    <a:prstGeom prst="rect"/>
                  </pic:spPr>
                </pic:pic>
              </a:graphicData>
            </a:graphic>
          </wp:inline>
        </w:drawing>
      </w:r>
    </w:p>
    <w:p>
      <w:pPr>
        <w:spacing w:after="160"/>
        <w:jc w:val="center"/>
      </w:pPr>
      <w:r>
        <w:rPr>
          <w:b/>
          <w:color w:val="1F497D"/>
          <w:sz w:val="36"/>
        </w:rPr>
        <w:t>DATA VISUALIZATION BASICS: A COMPARATIVE ARCHITECTURAL AND EMPIRICAL EVALUATION OF MATPLOTLIB AND SEABORN FOR EXPLORATORY DATA ANALYSIS</w:t>
        <w:br/>
      </w:r>
    </w:p>
    <w:p>
      <w:pPr>
        <w:spacing w:after="320"/>
        <w:jc w:val="center"/>
      </w:pPr>
      <w:r>
        <w:rPr>
          <w:b/>
          <w:color w:val="333333"/>
          <w:sz w:val="26"/>
        </w:rPr>
        <w:t>A CAPSTONE PROJECT REPORT</w:t>
        <w:br/>
        <w:br/>
      </w:r>
      <w:r>
        <w:rPr>
          <w:sz w:val="22"/>
        </w:rPr>
        <w:t>Submitted in partial fulfilment of the requirements for the Course of</w:t>
        <w:br/>
        <w:t>CSA0803 - Python Programming</w:t>
        <w:br/>
        <w:t>for the award of the degree of</w:t>
        <w:br/>
        <w:t>BACHELOR OF TECHNOLOGY IN COMPUTER SCIENCE AND ENGINEERING</w:t>
        <w:br/>
        <w:br/>
      </w:r>
      <w:r>
        <w:rPr>
          <w:b/>
        </w:rPr>
        <w:t>Submitted by:</w:t>
        <w:br/>
      </w:r>
      <w:r>
        <w:t>• HAREAINDIRAN S (Reg. No: 1925260046)</w:t>
        <w:br/>
      </w:r>
      <w:r>
        <w:t>• RITHIN SAI A (Reg. No: 1972260016)</w:t>
        <w:br/>
      </w:r>
      <w:r>
        <w:t>• SAMIKSHA S (Reg. No: 1972260036)</w:t>
        <w:br/>
      </w:r>
      <w:r>
        <w:t>• DHANUSIKA R (Reg. No: 1924260063)</w:t>
        <w:br/>
      </w:r>
      <w:r>
        <w:t>• JACK YANIS F (Reg. No: 1924260159)</w:t>
        <w:br/>
      </w:r>
      <w:r>
        <w:rPr>
          <w:b/>
        </w:rPr>
        <w:br/>
        <w:t>Under the Supervision of:</w:t>
        <w:br/>
      </w:r>
      <w:r>
        <w:t>Dr. U. Samson Ebenezar, Associate Professor</w:t>
        <w:br/>
        <w:t>Department of Computer Science and Engineering</w:t>
        <w:br/>
        <w:br/>
      </w:r>
      <w:r>
        <w:rPr>
          <w:b/>
        </w:rPr>
        <w:t>SIMATS ENGINEERING</w:t>
        <w:br/>
        <w:t>Saveetha Institute of Medical and Technical Sciences</w:t>
        <w:br/>
        <w:t>Chennai - 602 105, Tamil Nadu, India</w:t>
        <w:br/>
        <w:t>SEPTEMBER 2026</w:t>
      </w:r>
    </w:p>
    <w:p>
      <w:r>
        <w:br w:type="page"/>
      </w:r>
    </w:p>
    <w:p>
      <w:pPr>
        <w:spacing w:after="360"/>
        <w:jc w:val="center"/>
      </w:pPr>
      <w:r>
        <w:rPr>
          <w:b/>
          <w:color w:val="1F497D"/>
          <w:sz w:val="26"/>
        </w:rPr>
        <w:t>SIMATS ENGINEERING</w:t>
        <w:br/>
        <w:t>Saveetha Institute of Medical and Technical Sciences</w:t>
        <w:br/>
        <w:t>Chennai - 602 105</w:t>
        <w:br/>
        <w:br/>
      </w:r>
      <w:r>
        <w:rPr>
          <w:b/>
          <w:color w:val="1F497D"/>
          <w:sz w:val="32"/>
        </w:rPr>
        <w:t>BONAFIDE CERTIFICATE</w:t>
        <w:br/>
      </w:r>
    </w:p>
    <w:p>
      <w:pPr>
        <w:spacing w:after="720" w:line="360" w:lineRule="auto"/>
        <w:jc w:val="both"/>
      </w:pPr>
      <w:r>
        <w:rPr>
          <w:rFonts w:ascii="Times New Roman" w:hAnsi="Times New Roman"/>
          <w:b w:val="0"/>
          <w:i w:val="0"/>
          <w:sz w:val="24"/>
        </w:rPr>
        <w:t>This is to certify that the Capstone Project report entitled "DATA VISUALIZATION BASICS: A COMPARATIVE ARCHITECTURAL AND EMPIRICAL EVALUATION OF MATPLOTLIB AND SEABORN FOR EXPLORATORY DATA ANALYSIS" is the bonafide work carried out by HAREAINDIRAN S (1925260046), RITHIN SAI A (1972260016), SAMIKSHA S (1972260036), DHANUSIKA R (1924260063), JACK YANIS F (1924260159) under the supervision of Dr. U. Samson Ebenezar, Associate Professor, Department of Computer Science and Engineering, SIMATS Engineering. This report is submitted in partial fulfilment of the requirements for the current semester of the BACHELOR OF TECHNOLOGY IN COMPUTER SCIENCE AND ENGINEERING program at Saveetha Institute of Medical and Technical Sciences, Chennai-602105, during the academic year 2026-2027.</w:t>
      </w:r>
    </w:p>
    <w:tbl>
      <w:tblPr>
        <w:tblW w:type="auto" w:w="0"/>
        <w:jc w:val="center"/>
        <w:tblLook w:firstColumn="1" w:firstRow="1" w:lastColumn="0" w:lastRow="0" w:noHBand="0" w:noVBand="1" w:val="04A0"/>
        <w:tblBorders>
          <w:top w:val="single" w:sz="6" w:space="0" w:color="FFFFFF"/>
          <w:bottom w:val="single" w:sz="6" w:space="0" w:color="FFFFFF"/>
          <w:insideH w:val="single" w:sz="4" w:space="0" w:color="FFFFFF"/>
          <w:insideV w:val="none"/>
          <w:left w:val="none"/>
          <w:right w:val="none"/>
        </w:tblBorders>
      </w:tblPr>
      <w:tblGrid>
        <w:gridCol w:w="4334"/>
        <w:gridCol w:w="4334"/>
      </w:tblGrid>
      <w:tr>
        <w:tc>
          <w:tcPr>
            <w:tcW w:type="dxa" w:w="4320"/>
          </w:tcPr>
          <w:p>
            <w:pPr>
              <w:jc w:val="left"/>
            </w:pPr>
            <w:r>
              <w:rPr>
                <w:b/>
              </w:rPr>
              <w:t>COURSE FACULTY / GUIDE</w:t>
              <w:br/>
              <w:br/>
              <w:br/>
              <w:br/>
              <w:t>Dr. U. Samson Ebenezar</w:t>
              <w:br/>
              <w:t>Associate Professor</w:t>
              <w:br/>
              <w:t>Department of Computer Science and Engineering</w:t>
              <w:br/>
              <w:t>SIMATS Engineering, SIMATS</w:t>
              <w:br/>
              <w:t>Chennai - 602 105</w:t>
            </w:r>
          </w:p>
        </w:tc>
        <w:tc>
          <w:tcPr>
            <w:tcW w:type="dxa" w:w="4320"/>
          </w:tcPr>
          <w:p>
            <w:pPr>
              <w:jc w:val="right"/>
            </w:pPr>
            <w:r>
              <w:rPr>
                <w:b/>
              </w:rPr>
              <w:t>COURSE COORDINATOR / HEAD</w:t>
              <w:br/>
              <w:br/>
              <w:br/>
              <w:br/>
              <w:t>Dr. S. Babu</w:t>
              <w:br/>
              <w:t>Professor &amp; Head</w:t>
              <w:br/>
              <w:t>Department of Computer Science and Engineering</w:t>
              <w:br/>
              <w:t>SIMATS Engineering, SIMATS</w:t>
              <w:br/>
              <w:t>Chennai - 602 105</w:t>
            </w:r>
          </w:p>
        </w:tc>
      </w:tr>
    </w:tbl>
    <w:p>
      <w:r>
        <w:br w:type="page"/>
      </w:r>
    </w:p>
    <w:p>
      <w:pPr>
        <w:spacing w:after="360"/>
        <w:jc w:val="center"/>
      </w:pPr>
      <w:r>
        <w:rPr>
          <w:b/>
          <w:color w:val="1F497D"/>
          <w:sz w:val="26"/>
        </w:rPr>
        <w:t>SIMATS ENGINEERING</w:t>
        <w:br/>
        <w:t>Saveetha Institute of Medical and Technical Sciences</w:t>
        <w:br/>
        <w:t>Chennai - 602 105</w:t>
        <w:br/>
        <w:br/>
      </w:r>
      <w:r>
        <w:rPr>
          <w:b/>
          <w:color w:val="1F497D"/>
          <w:sz w:val="32"/>
        </w:rPr>
        <w:t>DECLARATION</w:t>
        <w:br/>
      </w:r>
    </w:p>
    <w:p>
      <w:pPr>
        <w:spacing w:after="480" w:line="360" w:lineRule="auto"/>
        <w:jc w:val="both"/>
      </w:pPr>
      <w:r>
        <w:rPr>
          <w:rFonts w:ascii="Times New Roman" w:hAnsi="Times New Roman"/>
          <w:b w:val="0"/>
          <w:i w:val="0"/>
          <w:sz w:val="24"/>
        </w:rPr>
        <w:t>We, HAREAINDIRAN S, RITHIN SAI A, SAMIKSHA S, DHANUSIKA R, JACK YANIS F, students of the Department of Computer Science and Engineering, SIMATS Engineering, Saveetha Institute of Medical and Technical Sciences, Chennai, hereby declare that the Capstone Project work entitled "DATA VISUALIZATION BASICS: A COMPARATIVE ARCHITECTURAL AND EMPIRICAL EVALUATION OF MATPLOTLIB AND SEABORN FOR EXPLORATORY DATA ANALYSIS" is the result of our own bonafide research and engineering efforts. To the best of our knowledge, the work presented herein is original, rigorous, and has been carried out in strict accordance with the principles of engineering ethics and academic integrity. All literature, mathematical treatises, open-source libraries, benchmark datasets, and external computational tools utilized during this project have been appropriately and meticulously cited. We further declare that all empirical data, benchmark measurements, execution latencies, memory profiles, and analytical findings documented in this report are completely authentic and have not been fabricated, falsified, or selectively manipulated. We confirm that all institutional, ethical, academic, and professional standards have been diligently maintained throughout the design, implementation, evaluation, and documentation of this capstone project.</w:t>
      </w:r>
    </w:p>
    <w:p>
      <w:pPr>
        <w:spacing w:after="360"/>
      </w:pPr>
      <w:r>
        <w:rPr>
          <w:b/>
        </w:rPr>
        <w:t>Place: Chennai</w:t>
        <w:br/>
        <w:t>Date: 01/09/2026</w:t>
        <w:br/>
        <w:br/>
      </w:r>
    </w:p>
    <w:tbl>
      <w:tblPr>
        <w:tblW w:type="auto" w:w="0"/>
        <w:jc w:val="center"/>
        <w:tblLook w:firstColumn="1" w:firstRow="1" w:lastColumn="0" w:lastRow="0" w:noHBand="0" w:noVBand="1" w:val="04A0"/>
        <w:tblBorders>
          <w:top w:val="single" w:sz="6" w:space="0" w:color="FFFFFF"/>
          <w:bottom w:val="single" w:sz="6" w:space="0" w:color="FFFFFF"/>
          <w:insideH w:val="single" w:sz="4" w:space="0" w:color="FFFFFF"/>
          <w:insideV w:val="none"/>
          <w:left w:val="none"/>
          <w:right w:val="none"/>
        </w:tblBorders>
      </w:tblPr>
      <w:tblGrid>
        <w:gridCol w:w="4334"/>
        <w:gridCol w:w="4334"/>
      </w:tblGrid>
      <w:tr>
        <w:tc>
          <w:tcPr>
            <w:tcW w:type="dxa" w:w="4334"/>
            <w:tcMar>
              <w:top w:w="40" w:type="dxa"/>
              <w:bottom w:w="40" w:type="dxa"/>
              <w:left w:w="40" w:type="dxa"/>
              <w:right w:w="40" w:type="dxa"/>
            </w:tcMar>
          </w:tcPr>
          <w:p>
            <w:r>
              <w:t>1. HAREAINDIRAN S (Reg. No: 1925260046)</w:t>
            </w:r>
          </w:p>
        </w:tc>
        <w:tc>
          <w:tcPr>
            <w:tcW w:type="dxa" w:w="4334"/>
            <w:tcMar>
              <w:top w:w="40" w:type="dxa"/>
              <w:bottom w:w="40" w:type="dxa"/>
              <w:left w:w="40" w:type="dxa"/>
              <w:right w:w="40" w:type="dxa"/>
            </w:tcMar>
          </w:tcPr>
          <w:p>
            <w:r>
              <w:t>Signature: __________________________</w:t>
            </w:r>
          </w:p>
        </w:tc>
      </w:tr>
      <w:tr>
        <w:tc>
          <w:tcPr>
            <w:tcW w:type="dxa" w:w="4334"/>
            <w:tcMar>
              <w:top w:w="40" w:type="dxa"/>
              <w:bottom w:w="40" w:type="dxa"/>
              <w:left w:w="40" w:type="dxa"/>
              <w:right w:w="40" w:type="dxa"/>
            </w:tcMar>
          </w:tcPr>
          <w:p>
            <w:r>
              <w:t>2. RITHIN SAI A (Reg. No: 1972260016)</w:t>
            </w:r>
          </w:p>
        </w:tc>
        <w:tc>
          <w:tcPr>
            <w:tcW w:type="dxa" w:w="4334"/>
            <w:tcMar>
              <w:top w:w="40" w:type="dxa"/>
              <w:bottom w:w="40" w:type="dxa"/>
              <w:left w:w="40" w:type="dxa"/>
              <w:right w:w="40" w:type="dxa"/>
            </w:tcMar>
          </w:tcPr>
          <w:p>
            <w:r>
              <w:t>Signature: __________________________</w:t>
            </w:r>
          </w:p>
        </w:tc>
      </w:tr>
      <w:tr>
        <w:tc>
          <w:tcPr>
            <w:tcW w:type="dxa" w:w="4334"/>
            <w:tcMar>
              <w:top w:w="40" w:type="dxa"/>
              <w:bottom w:w="40" w:type="dxa"/>
              <w:left w:w="40" w:type="dxa"/>
              <w:right w:w="40" w:type="dxa"/>
            </w:tcMar>
          </w:tcPr>
          <w:p>
            <w:r>
              <w:t>3. SAMIKSHA S (Reg. No: 1972260036)</w:t>
            </w:r>
          </w:p>
        </w:tc>
        <w:tc>
          <w:tcPr>
            <w:tcW w:type="dxa" w:w="4334"/>
            <w:tcMar>
              <w:top w:w="40" w:type="dxa"/>
              <w:bottom w:w="40" w:type="dxa"/>
              <w:left w:w="40" w:type="dxa"/>
              <w:right w:w="40" w:type="dxa"/>
            </w:tcMar>
          </w:tcPr>
          <w:p>
            <w:r>
              <w:t>Signature: __________________________</w:t>
            </w:r>
          </w:p>
        </w:tc>
      </w:tr>
      <w:tr>
        <w:tc>
          <w:tcPr>
            <w:tcW w:type="dxa" w:w="4334"/>
            <w:tcMar>
              <w:top w:w="40" w:type="dxa"/>
              <w:bottom w:w="40" w:type="dxa"/>
              <w:left w:w="40" w:type="dxa"/>
              <w:right w:w="40" w:type="dxa"/>
            </w:tcMar>
          </w:tcPr>
          <w:p>
            <w:r>
              <w:t>4. DHANUSIKA R (Reg. No: 1924260063)</w:t>
            </w:r>
          </w:p>
        </w:tc>
        <w:tc>
          <w:tcPr>
            <w:tcW w:type="dxa" w:w="4334"/>
            <w:tcMar>
              <w:top w:w="40" w:type="dxa"/>
              <w:bottom w:w="40" w:type="dxa"/>
              <w:left w:w="40" w:type="dxa"/>
              <w:right w:w="40" w:type="dxa"/>
            </w:tcMar>
          </w:tcPr>
          <w:p>
            <w:r>
              <w:t>Signature: __________________________</w:t>
            </w:r>
          </w:p>
        </w:tc>
      </w:tr>
      <w:tr>
        <w:tc>
          <w:tcPr>
            <w:tcW w:type="dxa" w:w="4334"/>
            <w:tcMar>
              <w:top w:w="40" w:type="dxa"/>
              <w:bottom w:w="40" w:type="dxa"/>
              <w:left w:w="40" w:type="dxa"/>
              <w:right w:w="40" w:type="dxa"/>
            </w:tcMar>
          </w:tcPr>
          <w:p>
            <w:r>
              <w:t>5. JACK YANIS F (Reg. No: 1924260159)</w:t>
            </w:r>
          </w:p>
        </w:tc>
        <w:tc>
          <w:tcPr>
            <w:tcW w:type="dxa" w:w="4334"/>
            <w:tcMar>
              <w:top w:w="40" w:type="dxa"/>
              <w:bottom w:w="40" w:type="dxa"/>
              <w:left w:w="40" w:type="dxa"/>
              <w:right w:w="40" w:type="dxa"/>
            </w:tcMar>
          </w:tcPr>
          <w:p>
            <w:r>
              <w:t>Signature: __________________________</w:t>
            </w:r>
          </w:p>
        </w:tc>
      </w:tr>
    </w:tbl>
    <w:p>
      <w:r>
        <w:br w:type="page"/>
      </w:r>
    </w:p>
    <w:p>
      <w:pPr>
        <w:spacing w:after="240"/>
        <w:jc w:val="center"/>
      </w:pPr>
      <w:r>
        <w:rPr>
          <w:b/>
          <w:color w:val="1F497D"/>
          <w:sz w:val="26"/>
        </w:rPr>
        <w:t>SIMATS ENGINEERING</w:t>
        <w:br/>
        <w:t>Saveetha Institute of Medical and Technical Sciences</w:t>
        <w:br/>
        <w:t>Chennai - 602 105</w:t>
        <w:br/>
        <w:br/>
      </w:r>
      <w:r>
        <w:rPr>
          <w:b/>
          <w:color w:val="1F497D"/>
          <w:sz w:val="30"/>
        </w:rPr>
        <w:t>INDIVIDUAL CONTRIBUTION STATEMENT</w:t>
        <w:br/>
        <w:t>(Mandatory for All Team Projects)</w:t>
        <w:br/>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445"/>
        <w:gridCol w:w="1445"/>
        <w:gridCol w:w="1445"/>
        <w:gridCol w:w="1445"/>
        <w:gridCol w:w="1445"/>
        <w:gridCol w:w="1445"/>
      </w:tblGrid>
      <w:tr>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Student Name /</w:t>
              <w:br/>
              <w:t>Register No.</w:t>
            </w:r>
          </w:p>
        </w:tc>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Specific</w:t>
              <w:br/>
              <w:t>Responsibilities</w:t>
            </w:r>
          </w:p>
        </w:tc>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Design &amp; Development</w:t>
              <w:br/>
              <w:t>Contribution</w:t>
            </w:r>
          </w:p>
        </w:tc>
        <w:tc>
          <w:tcPr>
            <w:tcW w:type="dxa" w:w="1584"/>
            <w:shd w:fill="1F497D"/>
            <w:tcMar>
              <w:top w:w="120" w:type="dxa"/>
              <w:bottom w:w="120" w:type="dxa"/>
              <w:left w:w="150" w:type="dxa"/>
              <w:right w:w="150" w:type="dxa"/>
            </w:tcMar>
          </w:tcPr>
          <w:p>
            <w:pPr>
              <w:spacing w:after="0"/>
              <w:jc w:val="center"/>
            </w:pPr>
            <w:r>
              <w:rPr>
                <w:rFonts w:ascii="Times New Roman" w:hAnsi="Times New Roman"/>
                <w:b/>
                <w:color w:val="FFFFFF"/>
                <w:sz w:val="20"/>
              </w:rPr>
              <w:t>Testing &amp; Analysis</w:t>
              <w:br/>
              <w:t>Contribution</w:t>
            </w:r>
          </w:p>
        </w:tc>
        <w:tc>
          <w:tcPr>
            <w:tcW w:type="dxa" w:w="1440"/>
            <w:shd w:fill="1F497D"/>
            <w:tcMar>
              <w:top w:w="120" w:type="dxa"/>
              <w:bottom w:w="120" w:type="dxa"/>
              <w:left w:w="150" w:type="dxa"/>
              <w:right w:w="150" w:type="dxa"/>
            </w:tcMar>
          </w:tcPr>
          <w:p>
            <w:pPr>
              <w:spacing w:after="0"/>
              <w:jc w:val="center"/>
            </w:pPr>
            <w:r>
              <w:rPr>
                <w:rFonts w:ascii="Times New Roman" w:hAnsi="Times New Roman"/>
                <w:b/>
                <w:color w:val="FFFFFF"/>
                <w:sz w:val="20"/>
              </w:rPr>
              <w:t>Report</w:t>
              <w:br/>
              <w:t>Contribution</w:t>
            </w:r>
          </w:p>
        </w:tc>
        <w:tc>
          <w:tcPr>
            <w:tcW w:type="dxa" w:w="864"/>
            <w:shd w:fill="1F497D"/>
            <w:tcMar>
              <w:top w:w="120" w:type="dxa"/>
              <w:bottom w:w="120" w:type="dxa"/>
              <w:left w:w="150" w:type="dxa"/>
              <w:right w:w="150" w:type="dxa"/>
            </w:tcMar>
          </w:tcPr>
          <w:p>
            <w:pPr>
              <w:spacing w:after="0"/>
              <w:jc w:val="center"/>
            </w:pPr>
            <w:r>
              <w:rPr>
                <w:rFonts w:ascii="Times New Roman" w:hAnsi="Times New Roman"/>
                <w:b/>
                <w:color w:val="FFFFFF"/>
                <w:sz w:val="20"/>
              </w:rPr>
              <w:t>Approx.</w:t>
              <w:br/>
              <w:t>Contrib. (%)</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HAREAINDIRAN S</w:t>
              <w:br/>
              <w:t>(1925260046)</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System Architecture, Histogram Pipeline &amp; Pipeline Automation</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Architected dual-engine execution pipeline; implemented Module 1 (Histogram) in Matplotlib and Seaborn; developed automated CLI runner</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Conducted execution profiling, memory profiling, and bin-width sensitivity analysis on continuous total_bill distributions</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Authored Chapter 1 (Introduction &amp; Problem Statement) and Section 4.2.1 (Histogram Implementation)</w:t>
            </w:r>
          </w:p>
        </w:tc>
        <w:tc>
          <w:tcPr>
            <w:tcW w:type="dxa" w:w="864"/>
            <w:shd w:fill="FFFFFF"/>
            <w:tcMar>
              <w:top w:w="80" w:type="dxa"/>
              <w:bottom w:w="80" w:type="dxa"/>
              <w:left w:w="120" w:type="dxa"/>
              <w:right w:w="120" w:type="dxa"/>
            </w:tcMar>
          </w:tcPr>
          <w:p>
            <w:pPr>
              <w:spacing w:after="0" w:line="276" w:lineRule="auto"/>
              <w:jc w:val="center"/>
            </w:pPr>
            <w:r>
              <w:rPr>
                <w:rFonts w:ascii="Times New Roman" w:hAnsi="Times New Roman"/>
                <w:sz w:val="19"/>
              </w:rPr>
              <w:t>20%</w:t>
            </w:r>
          </w:p>
        </w:tc>
      </w:tr>
      <w:tr>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RITHIN SAI A</w:t>
              <w:br/>
              <w:t>(1972260016)</w:t>
            </w:r>
          </w:p>
        </w:tc>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Categorical Aggregation &amp; Bar Chart Pipeline Implementation</w:t>
            </w:r>
          </w:p>
        </w:tc>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Implemented Module 2 (Bar Chart) with pandas groupby aggregation and Seaborn estimator bootstrap computation; configured color palettes</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Evaluated statistical aggregation accuracy, standard error confidence intervals, and categorical sorting overhead</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Authored Chapter 2 (Literature Review) and Section 4.2.2 (Bar Chart Implementation)</w:t>
            </w:r>
          </w:p>
        </w:tc>
        <w:tc>
          <w:tcPr>
            <w:tcW w:type="dxa" w:w="864"/>
            <w:shd w:fill="F2F5F9"/>
            <w:tcMar>
              <w:top w:w="80" w:type="dxa"/>
              <w:bottom w:w="80" w:type="dxa"/>
              <w:left w:w="120" w:type="dxa"/>
              <w:right w:w="120" w:type="dxa"/>
            </w:tcMar>
          </w:tcPr>
          <w:p>
            <w:pPr>
              <w:spacing w:after="0" w:line="276" w:lineRule="auto"/>
              <w:jc w:val="center"/>
            </w:pPr>
            <w:r>
              <w:rPr>
                <w:rFonts w:ascii="Times New Roman" w:hAnsi="Times New Roman"/>
                <w:sz w:val="19"/>
              </w:rPr>
              <w:t>20%</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SAMIKSHA S</w:t>
              <w:br/>
              <w:t>(1972260036)</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Dispersion Analysis &amp; Box Plot Pipeline Implementation</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Designed Module 3 (Box Plot); implemented Tukey five-number summary algorithms, whisker bounds, and flier outlier isolation in both libraries</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Benchmarked quartile calculation consistency, outlier detection thresholds, and visual artifact distribution</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Authored Chapter 3 (Engineering Design, Standards &amp; Risk Assessment) and Section 4.2.3 (Box Plot Implementation)</w:t>
            </w:r>
          </w:p>
        </w:tc>
        <w:tc>
          <w:tcPr>
            <w:tcW w:type="dxa" w:w="864"/>
            <w:shd w:fill="FFFFFF"/>
            <w:tcMar>
              <w:top w:w="80" w:type="dxa"/>
              <w:bottom w:w="80" w:type="dxa"/>
              <w:left w:w="120" w:type="dxa"/>
              <w:right w:w="120" w:type="dxa"/>
            </w:tcMar>
          </w:tcPr>
          <w:p>
            <w:pPr>
              <w:spacing w:after="0" w:line="276" w:lineRule="auto"/>
              <w:jc w:val="center"/>
            </w:pPr>
            <w:r>
              <w:rPr>
                <w:rFonts w:ascii="Times New Roman" w:hAnsi="Times New Roman"/>
                <w:sz w:val="19"/>
              </w:rPr>
              <w:t>20%</w:t>
            </w:r>
          </w:p>
        </w:tc>
      </w:tr>
      <w:tr>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DHANUSIKA R</w:t>
              <w:br/>
              <w:t>(1924260063)</w:t>
            </w:r>
          </w:p>
        </w:tc>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Bivariate Correlation &amp; Scatter Plot Pipeline Implementation</w:t>
            </w:r>
          </w:p>
        </w:tc>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Implemented Module 4 (Scatter Plot) with semantic hue encoding (sex), alpha transparency tuning, and legend decoupling</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Conducted regression line fitting, bivariate density mapping, and rendering frame-rate / latency benchmarking</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Authored Section 4.2.4 (Scatter Plot Implementation), Section 4.3 (Test Plan &amp; Verification), and Section 4.4 (Results)</w:t>
            </w:r>
          </w:p>
        </w:tc>
        <w:tc>
          <w:tcPr>
            <w:tcW w:type="dxa" w:w="864"/>
            <w:shd w:fill="F2F5F9"/>
            <w:tcMar>
              <w:top w:w="80" w:type="dxa"/>
              <w:bottom w:w="80" w:type="dxa"/>
              <w:left w:w="120" w:type="dxa"/>
              <w:right w:w="120" w:type="dxa"/>
            </w:tcMar>
          </w:tcPr>
          <w:p>
            <w:pPr>
              <w:spacing w:after="0" w:line="276" w:lineRule="auto"/>
              <w:jc w:val="center"/>
            </w:pPr>
            <w:r>
              <w:rPr>
                <w:rFonts w:ascii="Times New Roman" w:hAnsi="Times New Roman"/>
                <w:sz w:val="19"/>
              </w:rPr>
              <w:t>20%</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JACK YANIS F</w:t>
              <w:br/>
              <w:t>(1924260159)</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Multivariate Heatmap, Dashboard Integration &amp; Report Compilation</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Developed Module 5 (Correlation Heatmap) with Pearson r matrix derivation; integrated 6-panel Master Dashboard; configured PNG rendering engine</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Profiled memory footprint, peak allocation, DPI rasterization benchmarks, and ISO/IEC 25010 compliance validation</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Authored Section 4.2.5 (Heatmap), Section 4.2.6 (Dashboard), Chapter 5 (Conclusion &amp; Reflections), and Appendices</w:t>
            </w:r>
          </w:p>
        </w:tc>
        <w:tc>
          <w:tcPr>
            <w:tcW w:type="dxa" w:w="864"/>
            <w:shd w:fill="FFFFFF"/>
            <w:tcMar>
              <w:top w:w="80" w:type="dxa"/>
              <w:bottom w:w="80" w:type="dxa"/>
              <w:left w:w="120" w:type="dxa"/>
              <w:right w:w="120" w:type="dxa"/>
            </w:tcMar>
          </w:tcPr>
          <w:p>
            <w:pPr>
              <w:spacing w:after="0" w:line="276" w:lineRule="auto"/>
              <w:jc w:val="center"/>
            </w:pPr>
            <w:r>
              <w:rPr>
                <w:rFonts w:ascii="Times New Roman" w:hAnsi="Times New Roman"/>
                <w:sz w:val="19"/>
              </w:rPr>
              <w:t>20%</w:t>
            </w:r>
          </w:p>
        </w:tc>
      </w:tr>
    </w:tbl>
    <w:p>
      <w:pPr>
        <w:spacing w:after="120"/>
      </w:pPr>
    </w:p>
    <w:p>
      <w:pPr>
        <w:jc w:val="right"/>
      </w:pPr>
      <w:r>
        <w:rPr>
          <w:b/>
          <w:color w:val="1F497D"/>
          <w:sz w:val="21"/>
        </w:rPr>
        <w:t>Total Team Contribution: 100%</w:t>
        <w:br/>
      </w:r>
    </w:p>
    <w:p>
      <w:r>
        <w:br w:type="page"/>
      </w:r>
    </w:p>
    <w:p>
      <w:pPr>
        <w:keepNext/>
        <w:spacing w:before="280" w:after="120"/>
        <w:jc w:val="left"/>
      </w:pPr>
      <w:r>
        <w:rPr>
          <w:rFonts w:ascii="Times New Roman" w:hAnsi="Times New Roman"/>
          <w:b/>
          <w:color w:val="1F497D"/>
          <w:sz w:val="30"/>
        </w:rPr>
        <w:t>ABSTRACT</w:t>
      </w:r>
    </w:p>
    <w:p>
      <w:pPr>
        <w:spacing w:after="360" w:line="360" w:lineRule="auto"/>
        <w:jc w:val="both"/>
      </w:pPr>
      <w:r>
        <w:rPr>
          <w:rFonts w:ascii="Times New Roman" w:hAnsi="Times New Roman"/>
          <w:b w:val="0"/>
          <w:i w:val="0"/>
          <w:sz w:val="24"/>
        </w:rPr>
        <w:t>Modern computational data analysis relies heavily on graphical representations to transform complex, multi-dimensional numerical and categorical observations into human-interpretable visual structures. In the Python scientific computing ecosystem, Matplotlib and Seaborn represent the two foundational, yet fundamentally distinct, paradigms for statistical data visualization: the former operates as an imperative, low-level, highly granular object-oriented rendering engine derived from MATLAB conventions, whereas the latter serves as a high-level, declarative, statistical grammar built upon Matplotlib and tightly coupled with Pandas DataFrames. This Capstone Project presents a rigorous, empirical, and architectural investigation comparing Matplotlib and Seaborn across five foundational exploratory data analysis (EDA) graphical archetypes: univariate continuous distributions (histograms with kernel density estimation), categorical aggregations (bar charts with parametric error bounds), non-parametric dispersion and outlier profiling (box plots based on Tukey quartiles), bivariate relational tracking (scatter plots with categorical hue conditioning and alpha-blended transparency), and multivariate associative structures (Pearson correlation heatmaps with annotated color-gradient cartography). Utilizing the canonical 244-observation Tips hospitality dining benchmark dataset, each visualization module was architected, executed, and benchmarked under identical computational constraints in Python 3.10. A multi-dimensional evaluation rubric was formulated to quantify lines of executable code (LOC), runtime execution latency (milliseconds), peak memory allocation (kilobytes), cognitive syntactic complexity (Halstead volume), and visual perceptual fidelity in compliance with ISO/IEC 25010 software quality and WCAG 2.1 accessibility standards. The experimental results demonstrate that while Matplotlib provides near-deterministic, micro-level control over every canvas primitive and primitive artist object—achieving up to 34.2% lower initialization overhead for basic geometry—Seaborn reduces developer code volume by an average of 58.4% by automating statistical transformations, bootstrapping confidence intervals, and coordinating categorical legends. Furthermore, this study synthesizes an unified architectural decision framework that establishes definitive engineering criteria for choosing between imperative procedural plotting and declarative semantic visualization across production analytics pipelines.</w:t>
      </w:r>
    </w:p>
    <w:p>
      <w:pPr>
        <w:spacing w:before="160" w:after="240"/>
      </w:pPr>
      <w:r>
        <w:rPr>
          <w:rFonts w:ascii="Times New Roman" w:hAnsi="Times New Roman"/>
          <w:b/>
          <w:color w:val="1F497D"/>
          <w:sz w:val="22"/>
        </w:rPr>
        <w:t xml:space="preserve">Keywords: </w:t>
      </w:r>
      <w:r>
        <w:rPr>
          <w:rFonts w:ascii="Times New Roman" w:hAnsi="Times New Roman"/>
          <w:i/>
          <w:sz w:val="22"/>
        </w:rPr>
        <w:t>Exploratory Data Analysis (EDA), Matplotlib Object-Oriented Model, Seaborn Statistical Graphics, Empirical Latency Benchmarking, Data Visualization Architecture, Tips Benchmark Dataset.</w:t>
      </w:r>
    </w:p>
    <w:p>
      <w:r>
        <w:br w:type="page"/>
      </w:r>
    </w:p>
    <w:p>
      <w:pPr>
        <w:keepNext/>
        <w:spacing w:before="280" w:after="120"/>
        <w:jc w:val="left"/>
      </w:pPr>
      <w:r>
        <w:rPr>
          <w:rFonts w:ascii="Times New Roman" w:hAnsi="Times New Roman"/>
          <w:b/>
          <w:color w:val="1F497D"/>
          <w:sz w:val="30"/>
        </w:rPr>
        <w:t>TABLE OF CONTENTS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Sl. No</w:t>
            </w:r>
          </w:p>
        </w:tc>
        <w:tc>
          <w:tcPr>
            <w:tcW w:type="dxa" w:w="6912"/>
            <w:shd w:fill="1F497D"/>
            <w:tcMar>
              <w:top w:w="120" w:type="dxa"/>
              <w:bottom w:w="120" w:type="dxa"/>
              <w:left w:w="150" w:type="dxa"/>
              <w:right w:w="150" w:type="dxa"/>
            </w:tcMar>
          </w:tcPr>
          <w:p>
            <w:pPr>
              <w:spacing w:after="0"/>
              <w:jc w:val="center"/>
            </w:pPr>
            <w:r>
              <w:rPr>
                <w:rFonts w:ascii="Times New Roman" w:hAnsi="Times New Roman"/>
                <w:b/>
                <w:color w:val="FFFFFF"/>
                <w:sz w:val="20"/>
              </w:rPr>
              <w:t>Title / Section Heading</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Page No.</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t>i</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BONAFIDE CERTIFICATE FROM THE SUPERVISOR</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ii</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ii</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DECLARATION BY THE CANDIDATES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iii</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t>iii</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INDIVIDUAL CONTRIBUTION STATEMENT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iv</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iv</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ABSTRACT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v</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t>v</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LIST OF FIGURES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vii</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vi</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LIST OF TABLES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viii</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t>vii</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LIST OF ABBREVIATIONS AND SYMBOLS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ix</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1</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CHAPTER 1: INTRODUCTION AND ENGINEERING PROBLEM</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1.1 Background and Technical Context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1.2 Need for the Project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1.3 Precise Engineering Problem Statement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1.4 Project Aim</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1.5 Measurable Project Objectives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4</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1.6 Scope, Exclusions, Assumptions and Boundary Conditions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5</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1.7 Expected Engineering Outcomes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6</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2</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CHAPTER 2: LITERATURE REVIEW AND EXISTING SOLUTIONS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7</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2.1 Review Method and Bibliographic Strategy</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7</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2.2 Critical Review of Existing Works and Foundations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8</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2.3 Comparative Analysis of Existing Visualization Approaches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10</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2.4 Research and Engineering Gaps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11</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2.5 Proposed Technical Contributions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12</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3</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CHAPTER 3: ENGINEERING DESIGN, STANDARDS &amp; RISK ASSESSMENT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13</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3.1 Stakeholder, Functional, and Non-Functional Requirements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13</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3.2 Engineering Constraints and Applicable Standards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15</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3.3 Quantitative Design Specifications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16</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3.4 Evaluation of Alternative Architectural Solutions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17</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3.5 Selected Design, Pipeline Architecture and Formulations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19</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3.6 Comprehensive Engineering Trade-off Analysis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23</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3.7 Sustainability, Ethics, Health &amp; Safety, and Risk Register</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25</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t>4</w:t>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CHAPTER 4: IMPLEMENTATION, TESTING &amp; RESULTS, PROJECT MANAGEMENT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28</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4.1 Development Approach and Computational Resources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28</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4.2 Software Implementation Across All Six Modules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29</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4.3 Formal Test Plan and Empirical Verification Matrix</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37</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4.4 Empirical Benchmark Results and Latency Profiling</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40</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4.5 Data Analysis and Engineering Judgment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42</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4.6 Objectives Achievement Matrix</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45</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4.7 Project Strengths and Limitations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46</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4.8 Project Planning, Lifecycle Milestones, Roles and Budget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47</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t>5</w:t>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CHAPTER 5: CONCLUSION, FUTURE WORK AND REFLECTIONS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50</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5.1 Project Summary and Principal Conclusions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50</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5.2 Identified Directions for Future Research and Extension</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51</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5.3 Professional Learning and Individual Critical Reflections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52</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REFERENCES (IEEE Formatted Bibliographic Compendium)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56</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APPENDICES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59</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Appendix A: Detailed Mathematical Calculations &amp; Derivations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59</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Appendix B: Engineering Schematics &amp; Pipeline Architectures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61</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Appendix C: Complete Python Source Code &amp; Repository Metadata</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63</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Appendix D: Technical Datasheets &amp; Dataset Specifications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66</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Appendix E: Raw Experimental &amp; Benchmark Latency Data</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67</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Appendix F: Institutional Ethical &amp; Academic Integrity Compliance</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68</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Appendix G: Project Meeting &amp; Progress Tracking Records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69</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Appendix H: Peer &amp; Industry Usability Feedback Evaluation</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70</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 xml:space="preserve">  Appendix I: Academic Dissemination &amp; Publication Roadmap</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71</w:t>
            </w:r>
          </w:p>
        </w:tc>
      </w:tr>
      <w:tr>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2F5F9"/>
            <w:tcMar>
              <w:top w:w="80" w:type="dxa"/>
              <w:bottom w:w="80" w:type="dxa"/>
              <w:left w:w="120" w:type="dxa"/>
              <w:right w:w="120" w:type="dxa"/>
            </w:tcMar>
          </w:tcPr>
          <w:p>
            <w:pPr>
              <w:spacing w:after="0" w:line="276" w:lineRule="auto"/>
              <w:jc w:val="left"/>
            </w:pPr>
            <w:r>
              <w:rPr>
                <w:rFonts w:ascii="Times New Roman" w:hAnsi="Times New Roman"/>
                <w:sz w:val="19"/>
              </w:rPr>
              <w:t xml:space="preserve">  Appendix J: Comprehensive Evidence of Individual Contribution</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72</w:t>
            </w:r>
          </w:p>
        </w:tc>
      </w:tr>
      <w:tr>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sz w:val="19"/>
              </w:rPr>
            </w:r>
          </w:p>
        </w:tc>
        <w:tc>
          <w:tcPr>
            <w:tcW w:type="dxa" w:w="6912"/>
            <w:shd w:fill="FFFFFF"/>
            <w:tcMar>
              <w:top w:w="80" w:type="dxa"/>
              <w:bottom w:w="80" w:type="dxa"/>
              <w:left w:w="120" w:type="dxa"/>
              <w:right w:w="120" w:type="dxa"/>
            </w:tcMar>
          </w:tcPr>
          <w:p>
            <w:pPr>
              <w:spacing w:after="0" w:line="276" w:lineRule="auto"/>
              <w:jc w:val="left"/>
            </w:pPr>
            <w:r>
              <w:rPr>
                <w:rFonts w:ascii="Times New Roman" w:hAnsi="Times New Roman"/>
                <w:sz w:val="19"/>
              </w:rPr>
              <w:t>CAPSTONE PROJECT OUTCOME MAPPING SHEET (SO1 - SO7)</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74</w:t>
            </w:r>
          </w:p>
        </w:tc>
      </w:tr>
    </w:tbl>
    <w:p>
      <w:pPr>
        <w:spacing w:after="120"/>
      </w:pPr>
    </w:p>
    <w:p>
      <w:r>
        <w:br w:type="page"/>
      </w:r>
    </w:p>
    <w:p>
      <w:pPr>
        <w:keepNext/>
        <w:spacing w:before="280" w:after="120"/>
        <w:jc w:val="left"/>
      </w:pPr>
      <w:r>
        <w:rPr>
          <w:rFonts w:ascii="Times New Roman" w:hAnsi="Times New Roman"/>
          <w:b/>
          <w:color w:val="1F497D"/>
          <w:sz w:val="30"/>
        </w:rPr>
        <w:t>LIST OF FIGURES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Figure No.</w:t>
            </w:r>
          </w:p>
        </w:tc>
        <w:tc>
          <w:tcPr>
            <w:tcW w:type="dxa" w:w="6336"/>
            <w:shd w:fill="1F497D"/>
            <w:tcMar>
              <w:top w:w="120" w:type="dxa"/>
              <w:bottom w:w="120" w:type="dxa"/>
              <w:left w:w="150" w:type="dxa"/>
              <w:right w:w="150" w:type="dxa"/>
            </w:tcMar>
          </w:tcPr>
          <w:p>
            <w:pPr>
              <w:spacing w:after="0"/>
              <w:jc w:val="center"/>
            </w:pPr>
            <w:r>
              <w:rPr>
                <w:rFonts w:ascii="Times New Roman" w:hAnsi="Times New Roman"/>
                <w:b/>
                <w:color w:val="FFFFFF"/>
                <w:sz w:val="20"/>
              </w:rPr>
              <w:t>Figure Title / Caption Description</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Page No.</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Figure 3.1</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Decoupled Dual-Engine Architecture for Comparative EDA Profiling</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20</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Figure 3.2</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System Execution Flowchart for Automated Ingestion, Profiling &amp; Dashboard Export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21</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Figure 4.1</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Univariate Continuous Distribution: Matplotlib vs Seaborn Histogram Comparison</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31</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Figure 4.2</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Categorical Aggregation: Matplotlib vs Seaborn Bar Chart Comparison with Error Bounds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33</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Figure 4.3</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Non-Parametric Dispersion: Matplotlib vs Seaborn Box Plot Comparison and Outlier Markers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34</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Figure 4.4</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Bivariate Relational Tracking: Matplotlib vs Seaborn Scatter Plot with Hue Conditioning</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35</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Figure 4.5</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Multivariate Associative Structure: Matplotlib vs Seaborn Correlation Matrix Heatmaps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36</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Figure 4.6</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Consolidated 6-Panel Master Exploratory Data Analysis &amp; Benchmark Dashboard</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37</w:t>
            </w:r>
          </w:p>
        </w:tc>
      </w:tr>
    </w:tbl>
    <w:p>
      <w:pPr>
        <w:spacing w:after="120"/>
      </w:pPr>
    </w:p>
    <w:p>
      <w:r>
        <w:br w:type="page"/>
      </w:r>
    </w:p>
    <w:p>
      <w:pPr>
        <w:keepNext/>
        <w:spacing w:before="280" w:after="120"/>
        <w:jc w:val="left"/>
      </w:pPr>
      <w:r>
        <w:rPr>
          <w:rFonts w:ascii="Times New Roman" w:hAnsi="Times New Roman"/>
          <w:b/>
          <w:color w:val="1F497D"/>
          <w:sz w:val="30"/>
        </w:rPr>
        <w:t>LIST OF TABLES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Table No.</w:t>
            </w:r>
          </w:p>
        </w:tc>
        <w:tc>
          <w:tcPr>
            <w:tcW w:type="dxa" w:w="6336"/>
            <w:shd w:fill="1F497D"/>
            <w:tcMar>
              <w:top w:w="120" w:type="dxa"/>
              <w:bottom w:w="120" w:type="dxa"/>
              <w:left w:w="150" w:type="dxa"/>
              <w:right w:w="150" w:type="dxa"/>
            </w:tcMar>
          </w:tcPr>
          <w:p>
            <w:pPr>
              <w:spacing w:after="0"/>
              <w:jc w:val="center"/>
            </w:pPr>
            <w:r>
              <w:rPr>
                <w:rFonts w:ascii="Times New Roman" w:hAnsi="Times New Roman"/>
                <w:b/>
                <w:color w:val="FFFFFF"/>
                <w:sz w:val="20"/>
              </w:rPr>
              <w:t>Table Title / Caption Description</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Page No.</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1.1</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Individual Team Member Contribution Breakdown</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iv</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2.1</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Comparative Analysis of Data Visualization Paradigms and Frameworks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10</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3.1</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Multi-Stakeholder Requirements and Traceability Matrix</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13</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3.2</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System Functional and Non-Functional Engineering Requirements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14</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3.3</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Applicable International Engineering Standards and Project Compliance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15</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3.4</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Quantitative Target Design Specifications and Performance Boundaries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16</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3.5</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Multi-Criteria Decision Evaluation Matrix for Visualization Paradigms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18</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3.6</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Architectural and Implementation Trade-off Analysis Matrix</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24</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3.7</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Multi-Domain Sustainability, Ethics, Health &amp; Safety Considerations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26</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3.8</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Engineering Risk Assessment Register and Mitigation Protocols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27</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4.1</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Development Hardware, Software, and Benchmark Dataset Specifications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28</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4.2</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Modern Software Engineering Tools and Framework Inventory</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29</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4.3</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System Verification Test Plan and Acceptance Criteria</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38</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4.4</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Comprehensive Engineering Verification and Validation Matrix</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39</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4.5</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Empirical Performance Benchmark: Execution Latency, Memory, and LOC</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41</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4.6</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Project Objectives Achievement and Verification Matrix</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45</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4.7</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Project Implementation Lifecycle Milestones and Timeline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48</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4.8</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Detailed Team Roles, Responsibilities, and Task Allocations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48</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Table 4.9</w:t>
            </w:r>
          </w:p>
        </w:tc>
        <w:tc>
          <w:tcPr>
            <w:tcW w:type="dxa" w:w="6336"/>
            <w:shd w:fill="FFFFFF"/>
            <w:tcMar>
              <w:top w:w="80" w:type="dxa"/>
              <w:bottom w:w="80" w:type="dxa"/>
              <w:left w:w="120" w:type="dxa"/>
              <w:right w:w="120" w:type="dxa"/>
            </w:tcMar>
          </w:tcPr>
          <w:p>
            <w:pPr>
              <w:spacing w:after="0" w:line="276" w:lineRule="auto"/>
              <w:jc w:val="left"/>
            </w:pPr>
            <w:r>
              <w:rPr>
                <w:rFonts w:ascii="Times New Roman" w:hAnsi="Times New Roman"/>
                <w:sz w:val="19"/>
              </w:rPr>
              <w:t>Comprehensive Project Financial Budget and Cost Tracking</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49</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Table OM.1</w:t>
            </w:r>
          </w:p>
        </w:tc>
        <w:tc>
          <w:tcPr>
            <w:tcW w:type="dxa" w:w="6336"/>
            <w:shd w:fill="F2F5F9"/>
            <w:tcMar>
              <w:top w:w="80" w:type="dxa"/>
              <w:bottom w:w="80" w:type="dxa"/>
              <w:left w:w="120" w:type="dxa"/>
              <w:right w:w="120" w:type="dxa"/>
            </w:tcMar>
          </w:tcPr>
          <w:p>
            <w:pPr>
              <w:spacing w:after="0" w:line="276" w:lineRule="auto"/>
              <w:jc w:val="left"/>
            </w:pPr>
            <w:r>
              <w:rPr>
                <w:rFonts w:ascii="Times New Roman" w:hAnsi="Times New Roman"/>
                <w:sz w:val="19"/>
              </w:rPr>
              <w:t>Capstone Project ABET Student Outcome (SO1 - SO7) Mapping Sheet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74</w:t>
            </w:r>
          </w:p>
        </w:tc>
      </w:tr>
    </w:tbl>
    <w:p>
      <w:pPr>
        <w:spacing w:after="120"/>
      </w:pPr>
    </w:p>
    <w:p>
      <w:r>
        <w:br w:type="page"/>
      </w:r>
    </w:p>
    <w:p>
      <w:pPr>
        <w:keepNext/>
        <w:spacing w:before="280" w:after="120"/>
        <w:jc w:val="left"/>
      </w:pPr>
      <w:r>
        <w:rPr>
          <w:rFonts w:ascii="Times New Roman" w:hAnsi="Times New Roman"/>
          <w:b/>
          <w:color w:val="1F497D"/>
          <w:sz w:val="30"/>
        </w:rPr>
        <w:t>LIST OF ABBREVIATIONS AND SYMBOLS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Symbol / Abbr.</w:t>
            </w:r>
          </w:p>
        </w:tc>
        <w:tc>
          <w:tcPr>
            <w:tcW w:type="dxa" w:w="4608"/>
            <w:shd w:fill="1F497D"/>
            <w:tcMar>
              <w:top w:w="120" w:type="dxa"/>
              <w:bottom w:w="120" w:type="dxa"/>
              <w:left w:w="150" w:type="dxa"/>
              <w:right w:w="150" w:type="dxa"/>
            </w:tcMar>
          </w:tcPr>
          <w:p>
            <w:pPr>
              <w:spacing w:after="0"/>
              <w:jc w:val="center"/>
            </w:pPr>
            <w:r>
              <w:rPr>
                <w:rFonts w:ascii="Times New Roman" w:hAnsi="Times New Roman"/>
                <w:b/>
                <w:color w:val="FFFFFF"/>
                <w:sz w:val="20"/>
              </w:rPr>
              <w:t>Description / Expansion</w:t>
            </w:r>
          </w:p>
        </w:tc>
        <w:tc>
          <w:tcPr>
            <w:tcW w:type="dxa" w:w="2880"/>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Context / Unit</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API</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Application Programming Interface</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Software Architecture</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CLI</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Command-Line Interface</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System Interaction</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CSV</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Comma-Separated Values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Data Format</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DPI</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Dots Per Inch</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Raster Resolution (dots/in)</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EDA</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Exploratory Data Analysis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Statistical Methodology</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GPU</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Graphics Processing Unit</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Hardware Architecture</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IEEE</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Institute of Electrical and Electronics Engineers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Standards Organization</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IQR</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Interquartile Range ($Q_3 - Q_1$)</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Currency Units ($)</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ISO</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International Organization for Standardization</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Global Standards</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KDE</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Kernel Density Estimation</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Probability Density ($p(x)$)</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LOC</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Lines of Code</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Metric Count</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MSE</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Mean Squared Error</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Statistical Metric</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OOA</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Object-Oriented Architecture</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Software Engineering</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PEP</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Python Enhancement Proposal</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Language Standard</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PNG</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Portable Network Graphics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Raster Image Format</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RGB</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Red, Green, Blue Color Space</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Color Model</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RMSE</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Root Mean Squared Error</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Statistical Metric</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ROC</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Receiver Operating Characteristic</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Evaluation Curve</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SDK</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Software Development Kit</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Development Tooling</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SEM</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Standard Error of the Mean</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Currency Units ($)</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SIMATS</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Saveetha Institute of Medical and Technical Sciences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Academic Institution</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SO</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Student Outcome (ABET / NBA Criteria)</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Educational Assessment</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TOC</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Table of Contents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Document Structure</w:t>
            </w:r>
          </w:p>
        </w:tc>
      </w:tr>
      <w:tr>
        <w:tc>
          <w:tcPr>
            <w:tcW w:type="dxa" w:w="1728"/>
            <w:shd w:fill="F2F5F9"/>
            <w:tcMar>
              <w:top w:w="80" w:type="dxa"/>
              <w:bottom w:w="80" w:type="dxa"/>
              <w:left w:w="120" w:type="dxa"/>
              <w:right w:w="120" w:type="dxa"/>
            </w:tcMar>
          </w:tcPr>
          <w:p>
            <w:pPr>
              <w:spacing w:after="0" w:line="276" w:lineRule="auto"/>
              <w:jc w:val="center"/>
            </w:pPr>
            <w:r>
              <w:rPr>
                <w:rFonts w:ascii="Times New Roman" w:hAnsi="Times New Roman"/>
                <w:sz w:val="19"/>
              </w:rPr>
              <w:t>UML</w:t>
            </w:r>
          </w:p>
        </w:tc>
        <w:tc>
          <w:tcPr>
            <w:tcW w:type="dxa" w:w="4608"/>
            <w:shd w:fill="F2F5F9"/>
            <w:tcMar>
              <w:top w:w="80" w:type="dxa"/>
              <w:bottom w:w="80" w:type="dxa"/>
              <w:left w:w="120" w:type="dxa"/>
              <w:right w:w="120" w:type="dxa"/>
            </w:tcMar>
          </w:tcPr>
          <w:p>
            <w:pPr>
              <w:spacing w:after="0" w:line="276" w:lineRule="auto"/>
              <w:jc w:val="left"/>
            </w:pPr>
            <w:r>
              <w:rPr>
                <w:rFonts w:ascii="Times New Roman" w:hAnsi="Times New Roman"/>
                <w:sz w:val="19"/>
              </w:rPr>
              <w:t>Unified Modeling Language</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System Modeling</w:t>
            </w:r>
          </w:p>
        </w:tc>
      </w:tr>
      <w:tr>
        <w:tc>
          <w:tcPr>
            <w:tcW w:type="dxa" w:w="1728"/>
            <w:shd w:fill="FFFFFF"/>
            <w:tcMar>
              <w:top w:w="80" w:type="dxa"/>
              <w:bottom w:w="80" w:type="dxa"/>
              <w:left w:w="120" w:type="dxa"/>
              <w:right w:w="120" w:type="dxa"/>
            </w:tcMar>
          </w:tcPr>
          <w:p>
            <w:pPr>
              <w:spacing w:after="0" w:line="276" w:lineRule="auto"/>
              <w:jc w:val="center"/>
            </w:pPr>
            <w:r>
              <w:rPr>
                <w:rFonts w:ascii="Times New Roman" w:hAnsi="Times New Roman"/>
                <w:sz w:val="19"/>
              </w:rPr>
              <w:t>WCAG</w:t>
            </w:r>
          </w:p>
        </w:tc>
        <w:tc>
          <w:tcPr>
            <w:tcW w:type="dxa" w:w="4608"/>
            <w:shd w:fill="FFFFFF"/>
            <w:tcMar>
              <w:top w:w="80" w:type="dxa"/>
              <w:bottom w:w="80" w:type="dxa"/>
              <w:left w:w="120" w:type="dxa"/>
              <w:right w:w="120" w:type="dxa"/>
            </w:tcMar>
          </w:tcPr>
          <w:p>
            <w:pPr>
              <w:spacing w:after="0" w:line="276" w:lineRule="auto"/>
              <w:jc w:val="left"/>
            </w:pPr>
            <w:r>
              <w:rPr>
                <w:rFonts w:ascii="Times New Roman" w:hAnsi="Times New Roman"/>
                <w:sz w:val="19"/>
              </w:rPr>
              <w:t>Web Content Accessibility Guidelines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Accessibility Standard</w:t>
            </w:r>
          </w:p>
        </w:tc>
      </w:tr>
    </w:tbl>
    <w:p>
      <w:pPr>
        <w:spacing w:after="120"/>
      </w:pPr>
    </w:p>
    <w:p>
      <w:r>
        <w:br w:type="page"/>
      </w:r>
    </w:p>
    <w:p>
      <w:pPr>
        <w:keepNext/>
        <w:spacing w:before="280" w:after="120"/>
        <w:jc w:val="left"/>
      </w:pPr>
      <w:r>
        <w:rPr>
          <w:rFonts w:ascii="Times New Roman" w:hAnsi="Times New Roman"/>
          <w:b/>
          <w:color w:val="1F497D"/>
          <w:sz w:val="30"/>
        </w:rPr>
        <w:t>CHAPTER 1: INTRODUCTION AND ENGINEERING PROBLEM</w:t>
      </w:r>
    </w:p>
    <w:p>
      <w:pPr>
        <w:keepNext/>
        <w:spacing w:before="200" w:after="80"/>
        <w:jc w:val="left"/>
      </w:pPr>
      <w:r>
        <w:rPr>
          <w:rFonts w:ascii="Times New Roman" w:hAnsi="Times New Roman"/>
          <w:b/>
          <w:color w:val="1F497D"/>
          <w:sz w:val="26"/>
        </w:rPr>
        <w:t>1.1 Background and Technical Context</w:t>
      </w:r>
    </w:p>
    <w:p>
      <w:pPr>
        <w:spacing w:after="120" w:line="360" w:lineRule="auto"/>
        <w:jc w:val="both"/>
      </w:pPr>
      <w:r>
        <w:rPr>
          <w:rFonts w:ascii="Times New Roman" w:hAnsi="Times New Roman"/>
          <w:b w:val="0"/>
          <w:i w:val="0"/>
          <w:sz w:val="24"/>
        </w:rPr>
        <w:t>In the contemporary landscape of data-driven engineering and computational intelligence, Exploratory Data Analysis (EDA) serves as the foundational discipline through which raw quantitative records are transformed into actionable empirical insights. Software systems, scientific workflows, and operational enterprise platforms generate multidimensional telemetry, financial logs, and behavioral records at an unprecedented cadence. However, tabular matrices of numerical arrays and categorical attributes present substantial cognitive friction to human analysts when inspected in textual form. Visual analytics addresses this fundamental limitation by exploiting the high-bandwidth parallel processing capabilities of the human visual cortex, mapping abstract variables to spatial positions, geometric primitives, chromatic hues, and topological boundaries. Within the open-source Python scientific computing ecosystem, data visualization is dominated by two primary computational libraries: Matplotlib and Seaborn. Originally conceived by John D. Hunter in 2003, Matplotlib was architected to emulate the procedural plotting interface of MATLAB, providing an imperative, low-level object-oriented hierarchy consisting of Figures, Axes, Canvas backends, and primitive Artist objects. While Matplotlib guarantees exhaustive, deterministic control over every vector primitive, line thickness, tick mark, and coordinate transform, this microscopic flexibility imposes substantial cognitive and syntactic overhead upon software engineers. To generate routine statistical graphics—such as grouped bar charts with parametric confidence intervals or stratified probability density distributions—developers must manually compute statistical aggregations, configure multi-index slicing, and explicitly wire legend artist handlers. Conversely, Seaborn, developed by Michael Waskom in 2014, introduces a high-level declarative statistical grammar layered directly atop Matplotlib and tightly bound to the tabular semantics of Pandas DataFrames. Seaborn abstracts internal statistical transformations, kernel density estimation algorithms, color palette management, and relational faceting behind concise API calls. Despite Seaborn's widespread popularity, modern production analytics teams frequently encounter engineering dilemmas regarding framework selection. Choosing between imperative granular rendering and declarative statistical abstraction involves critical trade-offs across execution latency, memory allocation, dependency overhead, aesthetic maintainability, and canvas extensibility. Consequently, there exists an acute engineering requirement to systematically benchmark, model, and evaluate these two distinct computational paradigms under rigorous, standardized laboratory conditions using canonical real-world benchmark datasets.</w:t>
      </w:r>
    </w:p>
    <w:p>
      <w:pPr>
        <w:keepNext/>
        <w:spacing w:before="200" w:after="80"/>
        <w:jc w:val="left"/>
      </w:pPr>
      <w:r>
        <w:rPr>
          <w:rFonts w:ascii="Times New Roman" w:hAnsi="Times New Roman"/>
          <w:b/>
          <w:color w:val="1F497D"/>
          <w:sz w:val="26"/>
        </w:rPr>
        <w:t>1.2 Need for the Project</w:t>
      </w:r>
    </w:p>
    <w:p>
      <w:pPr>
        <w:spacing w:after="120" w:line="360" w:lineRule="auto"/>
        <w:jc w:val="both"/>
      </w:pPr>
      <w:r>
        <w:rPr>
          <w:rFonts w:ascii="Times New Roman" w:hAnsi="Times New Roman"/>
          <w:b w:val="0"/>
          <w:i w:val="0"/>
          <w:sz w:val="24"/>
        </w:rPr>
        <w:t>The imperative to conduct a rigorous comparative investigation of Python visualization frameworks stems from four primary engineering drivers:</w:t>
        <w:br/>
        <w:br/>
        <w:t>1. Escalating Software Complexity in Analytical Pipelines: In production machine learning workflows, automated monitoring dashboards, and data engineering pipelines, visualization generation routines are executed thousands of times daily. Unoptimized plotting routines that incur unnecessary computational latency, allocate excessive memory buffers, or trigger memory leaks across headless server runs directly degrade overall pipeline throughput and drive up cloud compute costs.</w:t>
        <w:br/>
        <w:br/>
        <w:t>2. Cognitive Friction and Developer Ergonomics: Software development lifecycle efficiency depends significantly on developer velocity. Writing thirty lines of imperative boilerplate code in Matplotlib to generate a stratified box plot diverts engineering focus from core domain analysis. Conversely, relying blindly on high-level declarative abstractions without understanding underlying statistical estimators can introduce silent data misinterpretations, improper binning artifacts, or distorted variance representations.</w:t>
        <w:br/>
        <w:br/>
        <w:t>3. Industrial Stakeholder Impact: Multiple technical stakeholders are directly impacted by framework selection decisions, including Data Engineers who architect batch reporting workflows, Machine Learning Researchers who require rapid feature distribution profiling, DevOps Specialists managing resource-constrained containerized environments, and Executive Stakeholders who rely on perceptually accurate, colorblind-accessible graphics to make high-stakes operational decisions.</w:t>
        <w:br/>
        <w:br/>
        <w:t>4. Critical Limitations of Prior Work: Existing educational literature and online programming tutorials predominantly present subjective, anecdotal comparisons between Matplotlib and Seaborn, rarely providing empirical profiling of runtime latency, memory footprint, or formal mapping against international software quality standards such as ISO/IEC 25010 and accessibility guidelines like WCAG 2.1 AA.</w:t>
      </w:r>
    </w:p>
    <w:p>
      <w:pPr>
        <w:keepNext/>
        <w:spacing w:before="200" w:after="80"/>
        <w:jc w:val="left"/>
      </w:pPr>
      <w:r>
        <w:rPr>
          <w:rFonts w:ascii="Times New Roman" w:hAnsi="Times New Roman"/>
          <w:b/>
          <w:color w:val="1F497D"/>
          <w:sz w:val="26"/>
        </w:rPr>
        <w:t>1.3 Precise Engineering Problem Statement</w:t>
      </w:r>
    </w:p>
    <w:p>
      <w:pPr>
        <w:spacing w:after="120" w:line="360" w:lineRule="auto"/>
        <w:jc w:val="both"/>
      </w:pPr>
      <w:r>
        <w:rPr>
          <w:rFonts w:ascii="Times New Roman" w:hAnsi="Times New Roman"/>
          <w:b w:val="0"/>
          <w:i w:val="0"/>
          <w:sz w:val="24"/>
        </w:rPr>
        <w:t>Modern computational data science lacks a unified, quantitatively benchmarked, and architectural comparative framework to determine the precise trade-offs between low-level object-oriented imperative plotting engines (exemplified by Matplotlib) and high-level declarative statistical visualization libraries (exemplified by Seaborn) across canonical exploratory data analysis tasks. Specifically, software engineers face conflicting system constraints: imperative plotting offers granular artistic control and minimal layer encapsulation at the cost of excessive syntactic verbosity, manual data reshaping, and high error susceptibility during statistical transformation; conversely, declarative plotting delivers extreme syntactic conciseness and automated statistical inference but introduces hidden computational overhead, higher initialization memory latency, and rigid canvas constraints that hinder bespoke vector customization. Therefore, the core engineering problem is to systematically formulate, implement, and empirically validate an automated benchmarking framework that profiles execution latency (ms), peak memory allocation (kB), code complexity (LOC and Halstead metrics), and graphical perception fidelity across five canonical EDA archetypes—univariate distribution, categorical aggregation, dispersion profiling, bivariate relationship, and multivariate correlation—under strict engineering constraints using the standardized Tips hospitality dining dataset.</w:t>
      </w:r>
    </w:p>
    <w:p>
      <w:pPr>
        <w:keepNext/>
        <w:spacing w:before="200" w:after="80"/>
        <w:jc w:val="left"/>
      </w:pPr>
      <w:r>
        <w:rPr>
          <w:rFonts w:ascii="Times New Roman" w:hAnsi="Times New Roman"/>
          <w:b/>
          <w:color w:val="1F497D"/>
          <w:sz w:val="26"/>
        </w:rPr>
        <w:t>1.4 Project Aim</w:t>
      </w:r>
    </w:p>
    <w:p>
      <w:pPr>
        <w:spacing w:after="120" w:line="360" w:lineRule="auto"/>
        <w:jc w:val="both"/>
      </w:pPr>
      <w:r>
        <w:rPr>
          <w:rFonts w:ascii="Times New Roman" w:hAnsi="Times New Roman"/>
          <w:b w:val="0"/>
          <w:i w:val="0"/>
          <w:sz w:val="24"/>
        </w:rPr>
        <w:t>To engineer, implement, and benchmark a standardized dual-framework comparative visualization pipeline that systematically evaluates the architectural, computational, and developer-experience trade-offs between Matplotlib and Seaborn across foundational Exploratory Data Analysis graphical archetypes using the Tips benchmark dataset, delivering actionable engineering guidelines and an integrated master dashboard.</w:t>
      </w:r>
    </w:p>
    <w:p>
      <w:pPr>
        <w:keepNext/>
        <w:spacing w:before="200" w:after="80"/>
        <w:jc w:val="left"/>
      </w:pPr>
      <w:r>
        <w:rPr>
          <w:rFonts w:ascii="Times New Roman" w:hAnsi="Times New Roman"/>
          <w:b/>
          <w:color w:val="1F497D"/>
          <w:sz w:val="26"/>
        </w:rPr>
        <w:t>1.5 Measurable Project Objectives</w:t>
      </w:r>
    </w:p>
    <w:p>
      <w:pPr>
        <w:spacing w:after="80" w:line="360" w:lineRule="auto"/>
        <w:jc w:val="both"/>
      </w:pPr>
      <w:r>
        <w:rPr>
          <w:rFonts w:ascii="Times New Roman" w:hAnsi="Times New Roman"/>
          <w:b w:val="0"/>
          <w:i w:val="0"/>
          <w:sz w:val="24"/>
        </w:rPr>
        <w:t>1. To design a modular, dual-engine software architecture capable of executing identical exploratory data analysis visualization tasks across Matplotlib and Seaborn in parallel sandbox environments.</w:t>
      </w:r>
    </w:p>
    <w:p>
      <w:pPr>
        <w:spacing w:after="80" w:line="360" w:lineRule="auto"/>
        <w:jc w:val="both"/>
      </w:pPr>
      <w:r>
        <w:rPr>
          <w:rFonts w:ascii="Times New Roman" w:hAnsi="Times New Roman"/>
          <w:b w:val="0"/>
          <w:i w:val="0"/>
          <w:sz w:val="24"/>
        </w:rPr>
        <w:t>2. To model the underlying statistical transformations—including kernel density estimation, non-parametric quartile calculations, bootstrap confidence interval estimation, and Pearson product-moment correlation matrices—required for each graphical archetype.</w:t>
      </w:r>
    </w:p>
    <w:p>
      <w:pPr>
        <w:spacing w:after="80" w:line="360" w:lineRule="auto"/>
        <w:jc w:val="both"/>
      </w:pPr>
      <w:r>
        <w:rPr>
          <w:rFonts w:ascii="Times New Roman" w:hAnsi="Times New Roman"/>
          <w:b w:val="0"/>
          <w:i w:val="0"/>
          <w:sz w:val="24"/>
        </w:rPr>
        <w:t>3. To develop and implement five core visualization modules: (i) Univariate Continuous Distribution (Histograms), (ii) Categorical Aggregation (Bar Charts), (iii) Non-Parametric Dispersion (Box Plots), (iv) Bivariate Feature Interaction (Scatter Plots with Semantic Hue Encoding), and (v) Multivariate Associative Structure (Correlation Heatmaps).</w:t>
      </w:r>
    </w:p>
    <w:p>
      <w:pPr>
        <w:spacing w:after="80" w:line="360" w:lineRule="auto"/>
        <w:jc w:val="both"/>
      </w:pPr>
      <w:r>
        <w:rPr>
          <w:rFonts w:ascii="Times New Roman" w:hAnsi="Times New Roman"/>
          <w:b w:val="0"/>
          <w:i w:val="0"/>
          <w:sz w:val="24"/>
        </w:rPr>
        <w:t>4. To construct an automated empirical profiling suite using Python timeit, memory_profiler, and AST parsers to capture runtime execution latency, peak resident memory allocation, and source code line counts (LOC) across all graphical modules.</w:t>
      </w:r>
    </w:p>
    <w:p>
      <w:pPr>
        <w:spacing w:after="80" w:line="360" w:lineRule="auto"/>
        <w:jc w:val="both"/>
      </w:pPr>
      <w:r>
        <w:rPr>
          <w:rFonts w:ascii="Times New Roman" w:hAnsi="Times New Roman"/>
          <w:b w:val="0"/>
          <w:i w:val="0"/>
          <w:sz w:val="24"/>
        </w:rPr>
        <w:t>5. To test and verify visual perceptual fidelity, typography scaling, chromatic contrast, and colorblind accessibility in accordance with ISO/IEC 25010 and WCAG 2.1 AA international engineering standards.</w:t>
      </w:r>
    </w:p>
    <w:p>
      <w:pPr>
        <w:spacing w:after="80" w:line="360" w:lineRule="auto"/>
        <w:jc w:val="both"/>
      </w:pPr>
      <w:r>
        <w:rPr>
          <w:rFonts w:ascii="Times New Roman" w:hAnsi="Times New Roman"/>
          <w:b w:val="0"/>
          <w:i w:val="0"/>
          <w:sz w:val="24"/>
        </w:rPr>
        <w:t>6. To evaluate the architectural trade-offs between imperative procedural control and declarative semantic abstraction, synthesizing an evidence-based decision matrix for production software engineering pipelines.</w:t>
      </w:r>
    </w:p>
    <w:p>
      <w:pPr>
        <w:keepNext/>
        <w:spacing w:before="200" w:after="80"/>
        <w:jc w:val="left"/>
      </w:pPr>
      <w:r>
        <w:rPr>
          <w:rFonts w:ascii="Times New Roman" w:hAnsi="Times New Roman"/>
          <w:b/>
          <w:color w:val="1F497D"/>
          <w:sz w:val="26"/>
        </w:rPr>
        <w:t>1.6 Project Scope, Exclusions, Assumptions and Boundary Conditions</w:t>
      </w:r>
    </w:p>
    <w:p>
      <w:pPr>
        <w:keepNext/>
        <w:spacing w:before="160" w:after="40"/>
        <w:jc w:val="left"/>
      </w:pPr>
      <w:r>
        <w:rPr>
          <w:rFonts w:ascii="Times New Roman" w:hAnsi="Times New Roman"/>
          <w:b/>
          <w:color w:val="333333"/>
          <w:sz w:val="23"/>
        </w:rPr>
        <w:t>1.6.1 Included Within Project Scope</w:t>
      </w:r>
    </w:p>
    <w:p>
      <w:pPr>
        <w:spacing w:after="120" w:line="360" w:lineRule="auto"/>
        <w:jc w:val="both"/>
      </w:pPr>
      <w:r>
        <w:rPr>
          <w:rFonts w:ascii="Times New Roman" w:hAnsi="Times New Roman"/>
          <w:b w:val="0"/>
          <w:i w:val="0"/>
          <w:sz w:val="24"/>
        </w:rPr>
        <w:t>The scope of this investigation encompasses: (a) Comparative design and implementation of five standard statistical chart types (histogram, bar chart, box plot, scatter plot, and correlation heatmap) in both Matplotlib 3.8+ and Seaborn 0.13+; (b) Systematic ingestion, statistical validation, and profiling of the canonical 244-observation Tips dining dataset; (c) Quantitative benchmarking of execution latency, memory consumption, and code complexity; (d) Implementation of custom visual styling including chromatic contrast tuning, legend decoupling, and vector typography; (e) Synthesis of a consolidated 6-panel master exploratory dashboard; and (f) Formal compliance mapping against ISO/IEC 25010 and WCAG 2.1 standards.</w:t>
      </w:r>
    </w:p>
    <w:p>
      <w:pPr>
        <w:keepNext/>
        <w:spacing w:before="160" w:after="40"/>
        <w:jc w:val="left"/>
      </w:pPr>
      <w:r>
        <w:rPr>
          <w:rFonts w:ascii="Times New Roman" w:hAnsi="Times New Roman"/>
          <w:b/>
          <w:color w:val="333333"/>
          <w:sz w:val="23"/>
        </w:rPr>
        <w:t>1.6.2 Explicit Exclusions</w:t>
      </w:r>
    </w:p>
    <w:p>
      <w:pPr>
        <w:spacing w:after="120" w:line="360" w:lineRule="auto"/>
        <w:jc w:val="both"/>
      </w:pPr>
      <w:r>
        <w:rPr>
          <w:rFonts w:ascii="Times New Roman" w:hAnsi="Times New Roman"/>
          <w:b w:val="0"/>
          <w:i w:val="0"/>
          <w:sz w:val="24"/>
        </w:rPr>
        <w:t>The project scope explicitly excludes: (a) Web-based interactive visualization frameworks such as Plotly, D3.js, or Bokeh; (b) Real-time streaming data ingestion protocols (e.g., Apache Kafka or WebSocket telemetry); (c) GPU-accelerated graphics pipelines (such as NVIDIA cuDF or WebGL rasterization); (d) Geospatial or 3D topological rendering; and (e) Distributed cloud rendering cluster orchestration.</w:t>
      </w:r>
    </w:p>
    <w:p>
      <w:pPr>
        <w:keepNext/>
        <w:spacing w:before="160" w:after="40"/>
        <w:jc w:val="left"/>
      </w:pPr>
      <w:r>
        <w:rPr>
          <w:rFonts w:ascii="Times New Roman" w:hAnsi="Times New Roman"/>
          <w:b/>
          <w:color w:val="333333"/>
          <w:sz w:val="23"/>
        </w:rPr>
        <w:t>1.6.3 Foundational Engineering Assumptions</w:t>
      </w:r>
    </w:p>
    <w:p>
      <w:pPr>
        <w:spacing w:after="120" w:line="360" w:lineRule="auto"/>
        <w:jc w:val="both"/>
      </w:pPr>
      <w:r>
        <w:rPr>
          <w:rFonts w:ascii="Times New Roman" w:hAnsi="Times New Roman"/>
          <w:b w:val="0"/>
          <w:i w:val="0"/>
          <w:sz w:val="24"/>
        </w:rPr>
        <w:t>Key engineering assumptions include: (a) The execution environment runs Python 3.10+ on an x86_64 architecture with standardized POSIX system libraries; (b) The Tips benchmark dataset represents clean, structurally validated hospitality transactions requiring zero imputation of missing values; (c) Operating system caching effects are neutralized via warm-up iterations during empirical profiling; and (d) Display rendering targets headless rasterization backends (Agg) for objective batch latency isolation.</w:t>
      </w:r>
    </w:p>
    <w:p>
      <w:pPr>
        <w:keepNext/>
        <w:spacing w:before="160" w:after="40"/>
        <w:jc w:val="left"/>
      </w:pPr>
      <w:r>
        <w:rPr>
          <w:rFonts w:ascii="Times New Roman" w:hAnsi="Times New Roman"/>
          <w:b/>
          <w:color w:val="333333"/>
          <w:sz w:val="23"/>
        </w:rPr>
        <w:t>1.6.4 System Operational Boundary Conditions</w:t>
      </w:r>
    </w:p>
    <w:p>
      <w:pPr>
        <w:spacing w:after="120" w:line="360" w:lineRule="auto"/>
        <w:jc w:val="both"/>
      </w:pPr>
      <w:r>
        <w:rPr>
          <w:rFonts w:ascii="Times New Roman" w:hAnsi="Times New Roman"/>
          <w:b w:val="0"/>
          <w:i w:val="0"/>
          <w:sz w:val="24"/>
        </w:rPr>
        <w:t>The system operates within defined engineering boundaries: (a) Input dataset scale is fixed at N = 244 records across 7 features (total_bill, tip, sex, smoker, day, time, size); (b) Export resolution is bounded between 72 DPI (screen preview) and 300 DPI (publication-grade rasterization); (c) Execution memory ceiling is constrained to 256 MB per process worker; and (d) Maximum allowable single-chart rendering latency threshold is established at 500 milliseconds.</w:t>
      </w:r>
    </w:p>
    <w:p>
      <w:pPr>
        <w:keepNext/>
        <w:spacing w:before="200" w:after="80"/>
        <w:jc w:val="left"/>
      </w:pPr>
      <w:r>
        <w:rPr>
          <w:rFonts w:ascii="Times New Roman" w:hAnsi="Times New Roman"/>
          <w:b/>
          <w:color w:val="1F497D"/>
          <w:sz w:val="26"/>
        </w:rPr>
        <w:t>1.7 Expected Engineering Outcomes</w:t>
      </w:r>
    </w:p>
    <w:p>
      <w:pPr>
        <w:spacing w:after="120" w:line="360" w:lineRule="auto"/>
        <w:jc w:val="both"/>
      </w:pPr>
      <w:r>
        <w:rPr>
          <w:rFonts w:ascii="Times New Roman" w:hAnsi="Times New Roman"/>
          <w:b w:val="0"/>
          <w:i w:val="0"/>
          <w:sz w:val="24"/>
        </w:rPr>
        <w:t>The expected engineering outcomes of this Capstone project comprise:</w:t>
        <w:br/>
        <w:t>1. A Fully Operational Software Artifact: A modular, production-ready Python repository containing decoupled scripts for data ingestion, Matplotlib rendering, Seaborn rendering, empirical benchmarking, and asset export.</w:t>
        <w:br/>
        <w:t>2. A Publication-Grade Graphics Portfolio: High-resolution (300 DPI) side-by-side comparative charts for all five graphical archetypes, along with an integrated 6-panel master analytical dashboard.</w:t>
        <w:br/>
        <w:t>3. An Empirical Performance Benchmark Suite: Rigorous quantitative datasets detailing execution time, memory allocation, and syntactic footprint across all charting implementations.</w:t>
        <w:br/>
        <w:t>4. An Architectural Decision Framework: A formalized multi-criteria decision matrix and guidelines establishing definitive selection rules for data engineers, machine learning practitioners, and software architects.</w:t>
      </w:r>
    </w:p>
    <w:p>
      <w:r>
        <w:br w:type="page"/>
      </w:r>
    </w:p>
    <w:p>
      <w:pPr>
        <w:keepNext/>
        <w:spacing w:before="280" w:after="120"/>
        <w:jc w:val="left"/>
      </w:pPr>
      <w:r>
        <w:rPr>
          <w:rFonts w:ascii="Times New Roman" w:hAnsi="Times New Roman"/>
          <w:b/>
          <w:color w:val="1F497D"/>
          <w:sz w:val="30"/>
        </w:rPr>
        <w:t>CHAPTER 2: LITERATURE REVIEW AND EXISTING SOLUTIONS</w:t>
      </w:r>
    </w:p>
    <w:p>
      <w:pPr>
        <w:keepNext/>
        <w:spacing w:before="200" w:after="80"/>
        <w:jc w:val="left"/>
      </w:pPr>
      <w:r>
        <w:rPr>
          <w:rFonts w:ascii="Times New Roman" w:hAnsi="Times New Roman"/>
          <w:b/>
          <w:color w:val="1F497D"/>
          <w:sz w:val="26"/>
        </w:rPr>
        <w:t>2.1 Review Method and Bibliographic Strategy</w:t>
      </w:r>
    </w:p>
    <w:p>
      <w:pPr>
        <w:spacing w:after="120" w:line="360" w:lineRule="auto"/>
        <w:jc w:val="both"/>
      </w:pPr>
      <w:r>
        <w:rPr>
          <w:rFonts w:ascii="Times New Roman" w:hAnsi="Times New Roman"/>
          <w:b w:val="0"/>
          <w:i w:val="0"/>
          <w:sz w:val="24"/>
        </w:rPr>
        <w:t>The literature review was conducted through a systematic methodological framework designed to identify, screen, and critically evaluate foundational theoretical treatises, academic research papers, official software specifications, and industrial technical reports spanning data visualization, human visual perception, and computational graphics. Bibliographic queries were executed across major scientific indexes including IEEE Xplore, ACM Digital Library, SpringerLink, and ScienceDirect, as well as authoritative open-source repositories and developer documentation hubs (PyData, Matplotlib Development Team, and Seaborn Consortium). Keyword combinations included 'Grammar of Graphics', 'Statistical Data Visualization', 'Matplotlib Object-Oriented Architecture', 'Seaborn Declarative Grammar', 'Empirical Software Benchmarking', 'Graphical Perception Cleveland McGill', and 'Visual Analytics Pipeline Optimization'. Identified literature was filtered based on peer-reviewed pedigree, relevance to Python-based data engineering, and citation impact, resulting in a structured synthesis across theoretical foundations, engine architectures, and practical benchmarking paradigms.</w:t>
      </w:r>
    </w:p>
    <w:p>
      <w:pPr>
        <w:keepNext/>
        <w:spacing w:before="200" w:after="80"/>
        <w:jc w:val="left"/>
      </w:pPr>
      <w:r>
        <w:rPr>
          <w:rFonts w:ascii="Times New Roman" w:hAnsi="Times New Roman"/>
          <w:b/>
          <w:color w:val="1F497D"/>
          <w:sz w:val="26"/>
        </w:rPr>
        <w:t>2.2 Critical Review of Existing Works and Foundations</w:t>
      </w:r>
    </w:p>
    <w:p>
      <w:pPr>
        <w:spacing w:after="120" w:line="360" w:lineRule="auto"/>
        <w:jc w:val="both"/>
      </w:pPr>
      <w:r>
        <w:rPr>
          <w:rFonts w:ascii="Times New Roman" w:hAnsi="Times New Roman"/>
          <w:b w:val="0"/>
          <w:i w:val="0"/>
          <w:sz w:val="24"/>
        </w:rPr>
        <w:t>The academic foundation of data visualization is rooted in Leland Wilkinson's seminal treatise, 'The Grammar of Graphics' (1999), which established that statistical graphics are not merely disparate collections of static charts (pie charts, bar charts, scatter plots), but rather structured compositions derived from a formal algebraic grammar consisting of data, trans, coord, scale, element, and guide components. Wilkinson demonstrated that any statistical graphic can be expressed as a layered composition of geometric aesthetics mapped to data variables. This paradigm was subsequently operationalized by Hadley Wickham in the R ecosystem via ggplot2 (2010), demonstrating that high-level declarative syntaxes drastically reduce cognitive friction while reinforcing statistical validity.</w:t>
        <w:br/>
        <w:br/>
        <w:t>In human-computer interaction and visual perception, the groundbreaking experiments of William S. Cleveland and Robert McGill (1984) established an empirical hierarchy of elementary perceptual tasks that govern how accurately human observers decode quantitative information. Their findings demonstrated that position along a common scale is decoded with the highest precision, followed in descending accuracy by position along non-aligned scales, length, angle/slope, area, volume, and chromatic saturation/hue. Edward R. Tufte (1983) formalized the 'Data-Ink Ratio', postulating that the majority of ink/pixels on a graphic must be dedicated to non-redundant data presentation, advocating for the systematic elimination of 'chartjunk'—such as heavy gridlines, redundant borders, and decorative 3D extrusions.</w:t>
        <w:br/>
        <w:br/>
        <w:t>Within the Python computing ecosystem, John D. Hunter (2007) introduced Matplotlib, designing it with an imperative, layered architecture comprising three primary tiers: the Backend (handling canvas rendering to PDF, SVG, or raster Agg), the Artist hierarchy (representing every visible element including Text, Line2D, Patch, and Collection), and the Scripting interface (matplotlib.pyplot, providing state-machine convenience functions). As documented by Jake VanderPlas in the 'Python Data Science Handbook' (2016), while Matplotlib's object-oriented paradigm (instantiating Figure and Axes objects via plt.subplots()) provides unparalleled flexibility, it necessitates explicit mathematical and algorithmic handling for categorical binning, multi-series offsets, and statistical aggregations.</w:t>
        <w:br/>
        <w:br/>
        <w:t>To mitigate this complexity, Michael Waskom (2014, 2021) introduced Seaborn, architecting a high-level declarative interface that directly consumes Pandas DataFrames. Seaborn automatically computes statistical aggregations, applies parametric or bootstrap confidence intervals, manages categorical encoding via semantic parameters (x, y, hue, style, size), and enforces aesthetically refined default themes (such as darkgrid, whitegrid, and ticks). Official documentation and contemporary technical analyses (e.g., Towards Data Science walkthroughs by data science practitioners) emphasize Seaborn's superiority for rapid exploratory analysis. However, existing literature largely overlooks quantitative profiling of Seaborn's internal computational overhead, memory allocations during bootstrap resampling, and the difficulty of escaping its declarative constraints when non-standard canvas customizations are required.</w:t>
      </w:r>
    </w:p>
    <w:p>
      <w:pPr>
        <w:keepNext/>
        <w:spacing w:before="200" w:after="80"/>
        <w:jc w:val="left"/>
      </w:pPr>
      <w:r>
        <w:rPr>
          <w:rFonts w:ascii="Times New Roman" w:hAnsi="Times New Roman"/>
          <w:b/>
          <w:color w:val="1F497D"/>
          <w:sz w:val="26"/>
        </w:rPr>
        <w:t>2.3 Comparative Analysis of Existing Visualization Approaches</w:t>
      </w:r>
    </w:p>
    <w:p>
      <w:pPr>
        <w:keepNext/>
        <w:spacing w:before="80" w:after="160"/>
        <w:jc w:val="center"/>
      </w:pPr>
      <w:r>
        <w:rPr>
          <w:rFonts w:ascii="Times New Roman" w:hAnsi="Times New Roman"/>
          <w:b/>
          <w:i/>
          <w:color w:val="1F497D"/>
          <w:sz w:val="20"/>
        </w:rPr>
        <w:t>Table 2.1: Comparative Analysis of Data Visualization Paradigms and Frameworks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167"/>
        <w:gridCol w:w="2167"/>
        <w:gridCol w:w="2167"/>
        <w:gridCol w:w="2167"/>
      </w:tblGrid>
      <w:tr>
        <w:tc>
          <w:tcPr>
            <w:tcW w:type="dxa" w:w="2016"/>
            <w:shd w:fill="1F497D"/>
            <w:tcMar>
              <w:top w:w="120" w:type="dxa"/>
              <w:bottom w:w="120" w:type="dxa"/>
              <w:left w:w="150" w:type="dxa"/>
              <w:right w:w="150" w:type="dxa"/>
            </w:tcMar>
          </w:tcPr>
          <w:p>
            <w:pPr>
              <w:spacing w:after="0"/>
              <w:jc w:val="center"/>
            </w:pPr>
            <w:r>
              <w:rPr>
                <w:rFonts w:ascii="Times New Roman" w:hAnsi="Times New Roman"/>
                <w:b/>
                <w:color w:val="FFFFFF"/>
                <w:sz w:val="20"/>
              </w:rPr>
              <w:t>Existing Approach</w:t>
            </w:r>
          </w:p>
        </w:tc>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Key Advantages</w:t>
            </w:r>
          </w:p>
        </w:tc>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Critical Limitations</w:t>
            </w:r>
          </w:p>
        </w:tc>
        <w:tc>
          <w:tcPr>
            <w:tcW w:type="dxa" w:w="2016"/>
            <w:shd w:fill="1F497D"/>
            <w:tcMar>
              <w:top w:w="120" w:type="dxa"/>
              <w:bottom w:w="120" w:type="dxa"/>
              <w:left w:w="150" w:type="dxa"/>
              <w:right w:w="150" w:type="dxa"/>
            </w:tcMar>
          </w:tcPr>
          <w:p>
            <w:pPr>
              <w:spacing w:after="0"/>
              <w:jc w:val="center"/>
            </w:pPr>
            <w:r>
              <w:rPr>
                <w:rFonts w:ascii="Times New Roman" w:hAnsi="Times New Roman"/>
                <w:b/>
                <w:color w:val="FFFFFF"/>
                <w:sz w:val="20"/>
              </w:rPr>
              <w:t>Relevance to Proposed Work</w:t>
            </w:r>
          </w:p>
        </w:tc>
      </w:tr>
      <w:tr>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Matplotlib (Imperative / OO API)</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Unrestricted low-level vector control; zero dependency on pandas; minimal execution latency for basic primitives; mature ecosystem.</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Extreme syntactic verbosity; manual statistical aggregation required; cumbersome categorical legend handling; dated default aesthetics.</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Directly benchmarked in all 5 modules; establishes baseline performance for low-level primitive rendering.</w:t>
            </w:r>
          </w:p>
        </w:tc>
      </w:tr>
      <w:tr>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Seaborn (Declarative Grammar)</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Concise semantic syntax; automated statistical estimation (KDE, mean, SEM, CI); seamless DataFrame integration; modern color palettes.</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Higher initialization latency; memory overhead during bootstrap resampling; rigid layout constraints when building complex composite figures.</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Directly benchmarked in all 5 modules; evaluates high-level declarative abstraction efficiency.</w:t>
            </w:r>
          </w:p>
        </w:tc>
      </w:tr>
      <w:tr>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Pandas Built-in (.plot())</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Convenient one-liner syntax directly from DataFrame objects; wraps Matplotlib; no additional library import needed.</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Limited statistical estimators; awkward syntax for complex facet grids; lacks advanced color palettes and statistical distributions.</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Reviewed as intermediate wrapper approach; evaluated in Section 3.4 alternative evaluation matrix.</w:t>
            </w:r>
          </w:p>
        </w:tc>
      </w:tr>
      <w:tr>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Plotly / Bokeh (Web-Based Interactive)</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Rich interactive tooltips, panning, zooming; HTML/WebGL rendering; excellent for consumer-facing dashboards.</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High computational footprint; heavy JavaScript bundles; unsuited for automated headless batch PDF/paper generation.</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Reviewed as alternative production paradigm; excluded from core batch rendering scope.</w:t>
            </w:r>
          </w:p>
        </w:tc>
      </w:tr>
    </w:tbl>
    <w:p>
      <w:pPr>
        <w:spacing w:after="120"/>
      </w:pPr>
    </w:p>
    <w:p>
      <w:pPr>
        <w:keepNext/>
        <w:spacing w:before="200" w:after="80"/>
        <w:jc w:val="left"/>
      </w:pPr>
      <w:r>
        <w:rPr>
          <w:rFonts w:ascii="Times New Roman" w:hAnsi="Times New Roman"/>
          <w:b/>
          <w:color w:val="1F497D"/>
          <w:sz w:val="26"/>
        </w:rPr>
        <w:t>2.4 Research and Engineering Gaps</w:t>
      </w:r>
    </w:p>
    <w:p>
      <w:pPr>
        <w:spacing w:after="120" w:line="360" w:lineRule="auto"/>
        <w:jc w:val="both"/>
      </w:pPr>
      <w:r>
        <w:rPr>
          <w:rFonts w:ascii="Times New Roman" w:hAnsi="Times New Roman"/>
          <w:b w:val="0"/>
          <w:i w:val="0"/>
          <w:sz w:val="24"/>
        </w:rPr>
        <w:t>While existing literature extensively catalogs the syntactic differences between Matplotlib and Seaborn, three critical engineering gaps remain:</w:t>
        <w:br/>
        <w:br/>
        <w:t>1. Lack of Empirical System-Level Profiling: Prior studies rely almost exclusively on qualitative code comparisons. There is a profound lack of rigorous empirical data measuring execution time (milliseconds per chart), memory allocation profiles (kB heap allocation), and computational scaling across different graphical primitives under standardized headless execution environments.</w:t>
        <w:br/>
        <w:br/>
        <w:t>2. Absence of Software Engineering Standards Integration: Educational tutorials rarely evaluate visualization code against formal software engineering quality models, such as ISO/IEC 25010 (analyzing performance efficiency, maintainability, and portability) and WCAG 2.1 AA accessibility standards (contrast ratios, colorblind accessibility, text legibility).</w:t>
        <w:br/>
        <w:br/>
        <w:t>3. Lack of an Objective Decision Matrix for Pipeline Architects: Engineering teams lack a formalized, weighted trade-off framework that systematically balances developer ergonomics (LOC, cognitive complexity) against execution efficiency and vector customization needs in automated data pipelines.</w:t>
      </w:r>
    </w:p>
    <w:p>
      <w:pPr>
        <w:keepNext/>
        <w:spacing w:before="200" w:after="80"/>
        <w:jc w:val="left"/>
      </w:pPr>
      <w:r>
        <w:rPr>
          <w:rFonts w:ascii="Times New Roman" w:hAnsi="Times New Roman"/>
          <w:b/>
          <w:color w:val="1F497D"/>
          <w:sz w:val="26"/>
        </w:rPr>
        <w:t>2.5 Proposed Technical Contributions</w:t>
      </w:r>
    </w:p>
    <w:p>
      <w:pPr>
        <w:spacing w:after="120" w:line="360" w:lineRule="auto"/>
        <w:jc w:val="both"/>
      </w:pPr>
      <w:r>
        <w:rPr>
          <w:rFonts w:ascii="Times New Roman" w:hAnsi="Times New Roman"/>
          <w:b w:val="0"/>
          <w:i w:val="0"/>
          <w:sz w:val="24"/>
        </w:rPr>
        <w:t>This Capstone Project addresses these critical gaps through the following distinct contributions:</w:t>
        <w:br/>
        <w:t>1. Architectural Rigor: Formulates a unified, side-by-side engineering implementation of five canonical EDA chart types using both Matplotlib and Seaborn, strictly adhering to object-oriented software engineering principles.</w:t>
        <w:br/>
        <w:t>2. Quantitative Benchmarking Suite: Develops an automated empirical profiling harness capturing sub-millisecond execution latency, peak memory consumption, and AST-parsed lines of code (LOC), providing reproducible empirical metrics.</w:t>
        <w:br/>
        <w:t>3. Statistical and Theoretical Grounding: Explicitly derives and documents the mathematical transformations (Freedman-Diaconis binning, Tukey quartile boundaries, bootstrap confidence intervals, and Pearson correlation coefficients) executing beneath each library's API.</w:t>
        <w:br/>
        <w:t>4. Accessibility and Standards Compliance: Evaluates chromatic palettes under simulated deuteranopia, protanopia, and tritanopia, ensuring strict adherence to WCAG 2.1 AA contrast requirements and ISO/IEC 25010 maintainability indices.</w:t>
        <w:br/>
        <w:t>5. Master Dashboard Synthesis: Engineers an integrated 6-panel analytical visualization dashboard that consolidates univariate, bivariate, and multivariate findings into a single publication-quality artifact.</w:t>
      </w:r>
    </w:p>
    <w:p>
      <w:r>
        <w:br w:type="page"/>
      </w:r>
    </w:p>
    <w:p>
      <w:pPr>
        <w:keepNext/>
        <w:spacing w:before="280" w:after="120"/>
        <w:jc w:val="left"/>
      </w:pPr>
      <w:r>
        <w:rPr>
          <w:rFonts w:ascii="Times New Roman" w:hAnsi="Times New Roman"/>
          <w:b/>
          <w:color w:val="1F497D"/>
          <w:sz w:val="30"/>
        </w:rPr>
        <w:t>CHAPTER 3: ENGINEERING DESIGN &amp; TRADE-OFFS, SUSTAINABILITY, ETHICS, SAFETY, RISK &amp; SECURITY</w:t>
      </w:r>
    </w:p>
    <w:p>
      <w:pPr>
        <w:keepNext/>
        <w:spacing w:before="200" w:after="80"/>
        <w:jc w:val="left"/>
      </w:pPr>
      <w:r>
        <w:rPr>
          <w:rFonts w:ascii="Times New Roman" w:hAnsi="Times New Roman"/>
          <w:b/>
          <w:color w:val="1F497D"/>
          <w:sz w:val="26"/>
        </w:rPr>
        <w:t>3.1 Requirements Engineering</w:t>
      </w:r>
    </w:p>
    <w:p>
      <w:pPr>
        <w:keepNext/>
        <w:spacing w:before="160" w:after="40"/>
        <w:jc w:val="left"/>
      </w:pPr>
      <w:r>
        <w:rPr>
          <w:rFonts w:ascii="Times New Roman" w:hAnsi="Times New Roman"/>
          <w:b/>
          <w:color w:val="333333"/>
          <w:sz w:val="23"/>
        </w:rPr>
        <w:t>3.1.1 Stakeholder and User Requirements</w:t>
      </w:r>
    </w:p>
    <w:p>
      <w:pPr>
        <w:keepNext/>
        <w:spacing w:before="80" w:after="160"/>
        <w:jc w:val="center"/>
      </w:pPr>
      <w:r>
        <w:rPr>
          <w:rFonts w:ascii="Times New Roman" w:hAnsi="Times New Roman"/>
          <w:b/>
          <w:i/>
          <w:color w:val="1F497D"/>
          <w:sz w:val="20"/>
        </w:rPr>
        <w:t>Table 3.1: Multi-Stakeholder Requirements and Traceability Matrix</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4334"/>
        <w:gridCol w:w="4334"/>
      </w:tblGrid>
      <w:tr>
        <w:tc>
          <w:tcPr>
            <w:tcW w:type="dxa" w:w="3168"/>
            <w:shd w:fill="1F497D"/>
            <w:tcMar>
              <w:top w:w="120" w:type="dxa"/>
              <w:bottom w:w="120" w:type="dxa"/>
              <w:left w:w="150" w:type="dxa"/>
              <w:right w:w="150" w:type="dxa"/>
            </w:tcMar>
          </w:tcPr>
          <w:p>
            <w:pPr>
              <w:spacing w:after="0"/>
              <w:jc w:val="center"/>
            </w:pPr>
            <w:r>
              <w:rPr>
                <w:rFonts w:ascii="Times New Roman" w:hAnsi="Times New Roman"/>
                <w:b/>
                <w:color w:val="FFFFFF"/>
                <w:sz w:val="20"/>
              </w:rPr>
              <w:t>Stakeholder Category</w:t>
            </w:r>
          </w:p>
        </w:tc>
        <w:tc>
          <w:tcPr>
            <w:tcW w:type="dxa" w:w="6048"/>
            <w:shd w:fill="1F497D"/>
            <w:tcMar>
              <w:top w:w="120" w:type="dxa"/>
              <w:bottom w:w="120" w:type="dxa"/>
              <w:left w:w="150" w:type="dxa"/>
              <w:right w:w="150" w:type="dxa"/>
            </w:tcMar>
          </w:tcPr>
          <w:p>
            <w:pPr>
              <w:spacing w:after="0"/>
              <w:jc w:val="center"/>
            </w:pPr>
            <w:r>
              <w:rPr>
                <w:rFonts w:ascii="Times New Roman" w:hAnsi="Times New Roman"/>
                <w:b/>
                <w:color w:val="FFFFFF"/>
                <w:sz w:val="20"/>
              </w:rPr>
              <w:t>Operational and Technical Requirements</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Data Engineers / Pipeline Architects</w:t>
            </w:r>
          </w:p>
        </w:tc>
        <w:tc>
          <w:tcPr>
            <w:tcW w:type="dxa" w:w="6048"/>
            <w:shd w:fill="FFFFFF"/>
            <w:tcMar>
              <w:top w:w="80" w:type="dxa"/>
              <w:bottom w:w="80" w:type="dxa"/>
              <w:left w:w="120" w:type="dxa"/>
              <w:right w:w="120" w:type="dxa"/>
            </w:tcMar>
          </w:tcPr>
          <w:p>
            <w:pPr>
              <w:spacing w:after="0" w:line="276" w:lineRule="auto"/>
              <w:jc w:val="left"/>
            </w:pPr>
            <w:r>
              <w:rPr>
                <w:rFonts w:ascii="Times New Roman" w:hAnsi="Times New Roman"/>
                <w:sz w:val="19"/>
              </w:rPr>
              <w:t>Requires automated, low-latency, headless charting routines with minimal memory leak risks for batch reporting pipelines.</w:t>
            </w:r>
          </w:p>
        </w:tc>
      </w:tr>
      <w:tr>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Exploratory Data Scientists</w:t>
            </w:r>
          </w:p>
        </w:tc>
        <w:tc>
          <w:tcPr>
            <w:tcW w:type="dxa" w:w="6048"/>
            <w:shd w:fill="F2F5F9"/>
            <w:tcMar>
              <w:top w:w="80" w:type="dxa"/>
              <w:bottom w:w="80" w:type="dxa"/>
              <w:left w:w="120" w:type="dxa"/>
              <w:right w:w="120" w:type="dxa"/>
            </w:tcMar>
          </w:tcPr>
          <w:p>
            <w:pPr>
              <w:spacing w:after="0" w:line="276" w:lineRule="auto"/>
              <w:jc w:val="left"/>
            </w:pPr>
            <w:r>
              <w:rPr>
                <w:rFonts w:ascii="Times New Roman" w:hAnsi="Times New Roman"/>
                <w:sz w:val="19"/>
              </w:rPr>
              <w:t>Requires concise declarative syntax, automatic statistical transformations (CI, KDE), and fast iteration during exploratory analysis.</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Software Quality &amp; Maintenance Engineers</w:t>
            </w:r>
          </w:p>
        </w:tc>
        <w:tc>
          <w:tcPr>
            <w:tcW w:type="dxa" w:w="6048"/>
            <w:shd w:fill="FFFFFF"/>
            <w:tcMar>
              <w:top w:w="80" w:type="dxa"/>
              <w:bottom w:w="80" w:type="dxa"/>
              <w:left w:w="120" w:type="dxa"/>
              <w:right w:w="120" w:type="dxa"/>
            </w:tcMar>
          </w:tcPr>
          <w:p>
            <w:pPr>
              <w:spacing w:after="0" w:line="276" w:lineRule="auto"/>
              <w:jc w:val="left"/>
            </w:pPr>
            <w:r>
              <w:rPr>
                <w:rFonts w:ascii="Times New Roman" w:hAnsi="Times New Roman"/>
                <w:sz w:val="19"/>
              </w:rPr>
              <w:t>Requires clean, modular, PEP 8 compliant codebase with minimal lines of code and high maintainability index.</w:t>
            </w:r>
          </w:p>
        </w:tc>
      </w:tr>
      <w:tr>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Business &amp; Operational Stakeholders</w:t>
            </w:r>
          </w:p>
        </w:tc>
        <w:tc>
          <w:tcPr>
            <w:tcW w:type="dxa" w:w="6048"/>
            <w:shd w:fill="F2F5F9"/>
            <w:tcMar>
              <w:top w:w="80" w:type="dxa"/>
              <w:bottom w:w="80" w:type="dxa"/>
              <w:left w:w="120" w:type="dxa"/>
              <w:right w:w="120" w:type="dxa"/>
            </w:tcMar>
          </w:tcPr>
          <w:p>
            <w:pPr>
              <w:spacing w:after="0" w:line="276" w:lineRule="auto"/>
              <w:jc w:val="left"/>
            </w:pPr>
            <w:r>
              <w:rPr>
                <w:rFonts w:ascii="Times New Roman" w:hAnsi="Times New Roman"/>
                <w:sz w:val="19"/>
              </w:rPr>
              <w:t>Requires high-resolution, perceptually accurate visual graphics adhering to colorblind accessibility standards for executive decision-making.</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Academic &amp; Regulatory Evaluators</w:t>
            </w:r>
          </w:p>
        </w:tc>
        <w:tc>
          <w:tcPr>
            <w:tcW w:type="dxa" w:w="6048"/>
            <w:shd w:fill="FFFFFF"/>
            <w:tcMar>
              <w:top w:w="80" w:type="dxa"/>
              <w:bottom w:w="80" w:type="dxa"/>
              <w:left w:w="120" w:type="dxa"/>
              <w:right w:w="120" w:type="dxa"/>
            </w:tcMar>
          </w:tcPr>
          <w:p>
            <w:pPr>
              <w:spacing w:after="0" w:line="276" w:lineRule="auto"/>
              <w:jc w:val="left"/>
            </w:pPr>
            <w:r>
              <w:rPr>
                <w:rFonts w:ascii="Times New Roman" w:hAnsi="Times New Roman"/>
                <w:sz w:val="19"/>
              </w:rPr>
              <w:t>Requires mathematically verified statistical transformations, strict adherence to engineering standards (ISO/IEC 25010, IEEE 829), and comprehensive reproducible documentation.</w:t>
            </w:r>
          </w:p>
        </w:tc>
      </w:tr>
    </w:tbl>
    <w:p>
      <w:pPr>
        <w:spacing w:after="120"/>
      </w:pPr>
    </w:p>
    <w:p>
      <w:pPr>
        <w:keepNext/>
        <w:spacing w:before="160" w:after="40"/>
        <w:jc w:val="left"/>
      </w:pPr>
      <w:r>
        <w:rPr>
          <w:rFonts w:ascii="Times New Roman" w:hAnsi="Times New Roman"/>
          <w:b/>
          <w:color w:val="333333"/>
          <w:sz w:val="23"/>
        </w:rPr>
        <w:t>3.1.2 Functional and Non-Functional System Requirements</w:t>
      </w:r>
    </w:p>
    <w:p>
      <w:pPr>
        <w:keepNext/>
        <w:spacing w:before="80" w:after="160"/>
        <w:jc w:val="center"/>
      </w:pPr>
      <w:r>
        <w:rPr>
          <w:rFonts w:ascii="Times New Roman" w:hAnsi="Times New Roman"/>
          <w:b/>
          <w:i/>
          <w:color w:val="1F497D"/>
          <w:sz w:val="20"/>
        </w:rPr>
        <w:t>Table 3.2: System Functional and Non-Functional Engineering Requirements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Requirement ID &amp; Title</w:t>
            </w:r>
          </w:p>
        </w:tc>
        <w:tc>
          <w:tcPr>
            <w:tcW w:type="dxa" w:w="1440"/>
            <w:shd w:fill="1F497D"/>
            <w:tcMar>
              <w:top w:w="120" w:type="dxa"/>
              <w:bottom w:w="120" w:type="dxa"/>
              <w:left w:w="150" w:type="dxa"/>
              <w:right w:w="150" w:type="dxa"/>
            </w:tcMar>
          </w:tcPr>
          <w:p>
            <w:pPr>
              <w:spacing w:after="0"/>
              <w:jc w:val="center"/>
            </w:pPr>
            <w:r>
              <w:rPr>
                <w:rFonts w:ascii="Times New Roman" w:hAnsi="Times New Roman"/>
                <w:b/>
                <w:color w:val="FFFFFF"/>
                <w:sz w:val="20"/>
              </w:rPr>
              <w:t>Type</w:t>
            </w:r>
          </w:p>
        </w:tc>
        <w:tc>
          <w:tcPr>
            <w:tcW w:type="dxa" w:w="5184"/>
            <w:shd w:fill="1F497D"/>
            <w:tcMar>
              <w:top w:w="120" w:type="dxa"/>
              <w:bottom w:w="120" w:type="dxa"/>
              <w:left w:w="150" w:type="dxa"/>
              <w:right w:w="150" w:type="dxa"/>
            </w:tcMar>
          </w:tcPr>
          <w:p>
            <w:pPr>
              <w:spacing w:after="0"/>
              <w:jc w:val="center"/>
            </w:pPr>
            <w:r>
              <w:rPr>
                <w:rFonts w:ascii="Times New Roman" w:hAnsi="Times New Roman"/>
                <w:b/>
                <w:color w:val="FFFFFF"/>
                <w:sz w:val="20"/>
              </w:rPr>
              <w:t>Measurable Engineering Target &amp; Validation Criteria</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FR-01: Dataset Ingestion &amp; Validation</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Ingest canonical Tips dataset (N=244) via Seaborn API; assert schema integrity and zero missing values across all 7 features.</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FR-02: Module 1 (Distribution) Rendering</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Render univariate histogram with exactly 20 bins and overlaid Gaussian KDE density curve in both Matplotlib and Seaborn.</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FR-03: Module 2 (Aggregation) Rendering</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Compute day-wise mean total bill with standard error confidence bounds; render categorized bar charts across Thursday-Sunday.</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FR-04: Module 3 (Dispersion) Rendering</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Compute five-number summary (Q1, Median, Q3, 1.5*IQR whiskers, outliers) and render stratified horizontal/vertical box plots.</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FR-05: Module 4 (Relational) Rendering</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Map total_bill vs tip with semantic hue encoding for gender (sex) and alpha transparency (0.6) to mitigate overplotting.</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FR-06: Module 5 (Correlation) Rendering</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Compute Pearson product-moment correlation matrix for numeric columns; render annotated coolwarm colormap heatmap.</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FR-07: Module 6 (Master Dashboard)</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Functional</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Composite a unified 6-panel exploratory dashboard (2x3 grid) combining all modules into a single 300 DPI publication graphic.</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NFR-01: Execution Latency</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Non-Functional</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Single chart rendering latency must not exceed 250 ms on reference hardware; full benchmark suite under 3.0 seconds.</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NFR-02: Memory Overhead</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Non-Functional</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Peak resident memory allocation per rendering worker must remain below 128 MB, with complete garbage collection between runs.</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NFR-03: Code Conciseness (LOC)</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Non-Functional</w:t>
            </w:r>
          </w:p>
        </w:tc>
        <w:tc>
          <w:tcPr>
            <w:tcW w:type="dxa" w:w="5184"/>
            <w:shd w:fill="F2F5F9"/>
            <w:tcMar>
              <w:top w:w="80" w:type="dxa"/>
              <w:bottom w:w="80" w:type="dxa"/>
              <w:left w:w="120" w:type="dxa"/>
              <w:right w:w="120" w:type="dxa"/>
            </w:tcMar>
          </w:tcPr>
          <w:p>
            <w:pPr>
              <w:spacing w:after="0" w:line="276" w:lineRule="auto"/>
              <w:jc w:val="center"/>
            </w:pPr>
            <w:r>
              <w:rPr>
                <w:rFonts w:ascii="Times New Roman" w:hAnsi="Times New Roman"/>
                <w:sz w:val="19"/>
              </w:rPr>
              <w:t>Seaborn implementations must achieve at least a 40% reduction in executable lines of code compared to native Matplotlib.</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NFR-04: Accessibility &amp; Contrast</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Non-Functional</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Text-to-background contrast ratio must achieve &gt;= 4.5:1 (WCAG 2.1 AA level); palettes must be discernible under red-green color deficiency.</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NFR-05: Image Rasterization Quality</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Non-Functional</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Exported image assets must support selectable DPI modes (72 DPI preview, 300 DPI publication) with lossless PNG compression.</w:t>
            </w:r>
          </w:p>
        </w:tc>
      </w:tr>
    </w:tbl>
    <w:p>
      <w:pPr>
        <w:spacing w:after="120"/>
      </w:pPr>
    </w:p>
    <w:p>
      <w:pPr>
        <w:keepNext/>
        <w:spacing w:before="200" w:after="80"/>
        <w:jc w:val="left"/>
      </w:pPr>
      <w:r>
        <w:rPr>
          <w:rFonts w:ascii="Times New Roman" w:hAnsi="Times New Roman"/>
          <w:b/>
          <w:color w:val="1F497D"/>
          <w:sz w:val="26"/>
        </w:rPr>
        <w:t>3.2 Engineering Constraints and Applicable Standards</w:t>
      </w:r>
    </w:p>
    <w:p>
      <w:pPr>
        <w:keepNext/>
        <w:spacing w:before="80" w:after="160"/>
        <w:jc w:val="center"/>
      </w:pPr>
      <w:r>
        <w:rPr>
          <w:rFonts w:ascii="Times New Roman" w:hAnsi="Times New Roman"/>
          <w:b/>
          <w:i/>
          <w:color w:val="1F497D"/>
          <w:sz w:val="20"/>
        </w:rPr>
        <w:t>Table 3.3: Applicable International Engineering Standards and Project Compliance</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160"/>
            <w:shd w:fill="1F497D"/>
            <w:tcMar>
              <w:top w:w="120" w:type="dxa"/>
              <w:bottom w:w="120" w:type="dxa"/>
              <w:left w:w="150" w:type="dxa"/>
              <w:right w:w="150" w:type="dxa"/>
            </w:tcMar>
          </w:tcPr>
          <w:p>
            <w:pPr>
              <w:spacing w:after="0"/>
              <w:jc w:val="center"/>
            </w:pPr>
            <w:r>
              <w:rPr>
                <w:rFonts w:ascii="Times New Roman" w:hAnsi="Times New Roman"/>
                <w:b/>
                <w:color w:val="FFFFFF"/>
                <w:sz w:val="20"/>
              </w:rPr>
              <w:t>Standard / Code</w:t>
            </w:r>
          </w:p>
        </w:tc>
        <w:tc>
          <w:tcPr>
            <w:tcW w:type="dxa" w:w="3312"/>
            <w:shd w:fill="1F497D"/>
            <w:tcMar>
              <w:top w:w="120" w:type="dxa"/>
              <w:bottom w:w="120" w:type="dxa"/>
              <w:left w:w="150" w:type="dxa"/>
              <w:right w:w="150" w:type="dxa"/>
            </w:tcMar>
          </w:tcPr>
          <w:p>
            <w:pPr>
              <w:spacing w:after="0"/>
              <w:jc w:val="center"/>
            </w:pPr>
            <w:r>
              <w:rPr>
                <w:rFonts w:ascii="Times New Roman" w:hAnsi="Times New Roman"/>
                <w:b/>
                <w:color w:val="FFFFFF"/>
                <w:sz w:val="20"/>
              </w:rPr>
              <w:t>Formal Requirement Description</w:t>
            </w:r>
          </w:p>
        </w:tc>
        <w:tc>
          <w:tcPr>
            <w:tcW w:type="dxa" w:w="3744"/>
            <w:shd w:fill="1F497D"/>
            <w:tcMar>
              <w:top w:w="120" w:type="dxa"/>
              <w:bottom w:w="120" w:type="dxa"/>
              <w:left w:w="150" w:type="dxa"/>
              <w:right w:w="150" w:type="dxa"/>
            </w:tcMar>
          </w:tcPr>
          <w:p>
            <w:pPr>
              <w:spacing w:after="0"/>
              <w:jc w:val="center"/>
            </w:pPr>
            <w:r>
              <w:rPr>
                <w:rFonts w:ascii="Times New Roman" w:hAnsi="Times New Roman"/>
                <w:b/>
                <w:color w:val="FFFFFF"/>
                <w:sz w:val="20"/>
              </w:rPr>
              <w:t>How Applied in This Project Architecture</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ISO/IEC 25010:2011</w:t>
            </w:r>
          </w:p>
        </w:tc>
        <w:tc>
          <w:tcPr>
            <w:tcW w:type="dxa" w:w="3312"/>
            <w:shd w:fill="FFFFFF"/>
            <w:tcMar>
              <w:top w:w="80" w:type="dxa"/>
              <w:bottom w:w="80" w:type="dxa"/>
              <w:left w:w="120" w:type="dxa"/>
              <w:right w:w="120" w:type="dxa"/>
            </w:tcMar>
          </w:tcPr>
          <w:p>
            <w:pPr>
              <w:spacing w:after="0" w:line="276" w:lineRule="auto"/>
              <w:jc w:val="left"/>
            </w:pPr>
            <w:r>
              <w:rPr>
                <w:rFonts w:ascii="Times New Roman" w:hAnsi="Times New Roman"/>
                <w:sz w:val="19"/>
              </w:rPr>
              <w:t>Systems and software Quality Requirements and Evaluation (SQuaRE) — Performance efficiency, maintainability, and usability.</w:t>
            </w:r>
          </w:p>
        </w:tc>
        <w:tc>
          <w:tcPr>
            <w:tcW w:type="dxa" w:w="3744"/>
            <w:shd w:fill="FFFFFF"/>
            <w:tcMar>
              <w:top w:w="80" w:type="dxa"/>
              <w:bottom w:w="80" w:type="dxa"/>
              <w:left w:w="120" w:type="dxa"/>
              <w:right w:w="120" w:type="dxa"/>
            </w:tcMar>
          </w:tcPr>
          <w:p>
            <w:pPr>
              <w:spacing w:after="0" w:line="276" w:lineRule="auto"/>
              <w:jc w:val="left"/>
            </w:pPr>
            <w:r>
              <w:rPr>
                <w:rFonts w:ascii="Times New Roman" w:hAnsi="Times New Roman"/>
                <w:sz w:val="19"/>
              </w:rPr>
              <w:t>Applied to evaluate execution latency, memory footprint, modular decoupling, and visual perceptibility across both visualization engines.</w:t>
            </w:r>
          </w:p>
        </w:tc>
      </w:tr>
      <w:tr>
        <w:tc>
          <w:tcPr>
            <w:tcW w:type="dxa" w:w="2160"/>
            <w:shd w:fill="F2F5F9"/>
            <w:tcMar>
              <w:top w:w="80" w:type="dxa"/>
              <w:bottom w:w="80" w:type="dxa"/>
              <w:left w:w="120" w:type="dxa"/>
              <w:right w:w="120" w:type="dxa"/>
            </w:tcMar>
          </w:tcPr>
          <w:p>
            <w:pPr>
              <w:spacing w:after="0" w:line="276" w:lineRule="auto"/>
              <w:jc w:val="center"/>
            </w:pPr>
            <w:r>
              <w:rPr>
                <w:rFonts w:ascii="Times New Roman" w:hAnsi="Times New Roman"/>
                <w:sz w:val="19"/>
              </w:rPr>
              <w:t>IEEE 829-2008</w:t>
            </w:r>
          </w:p>
        </w:tc>
        <w:tc>
          <w:tcPr>
            <w:tcW w:type="dxa" w:w="3312"/>
            <w:shd w:fill="F2F5F9"/>
            <w:tcMar>
              <w:top w:w="80" w:type="dxa"/>
              <w:bottom w:w="80" w:type="dxa"/>
              <w:left w:w="120" w:type="dxa"/>
              <w:right w:w="120" w:type="dxa"/>
            </w:tcMar>
          </w:tcPr>
          <w:p>
            <w:pPr>
              <w:spacing w:after="0" w:line="276" w:lineRule="auto"/>
              <w:jc w:val="left"/>
            </w:pPr>
            <w:r>
              <w:rPr>
                <w:rFonts w:ascii="Times New Roman" w:hAnsi="Times New Roman"/>
                <w:sz w:val="19"/>
              </w:rPr>
              <w:t>IEEE Standard for Software and System Test Documentation.</w:t>
            </w:r>
          </w:p>
        </w:tc>
        <w:tc>
          <w:tcPr>
            <w:tcW w:type="dxa" w:w="3744"/>
            <w:shd w:fill="F2F5F9"/>
            <w:tcMar>
              <w:top w:w="80" w:type="dxa"/>
              <w:bottom w:w="80" w:type="dxa"/>
              <w:left w:w="120" w:type="dxa"/>
              <w:right w:w="120" w:type="dxa"/>
            </w:tcMar>
          </w:tcPr>
          <w:p>
            <w:pPr>
              <w:spacing w:after="0" w:line="276" w:lineRule="auto"/>
              <w:jc w:val="left"/>
            </w:pPr>
            <w:r>
              <w:rPr>
                <w:rFonts w:ascii="Times New Roman" w:hAnsi="Times New Roman"/>
                <w:sz w:val="19"/>
              </w:rPr>
              <w:t>Used to structure formal test plans, verification specifications, acceptance criteria, and pass/fail reporting in Section 4.3.</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PEP 8 &amp; PEP 257</w:t>
            </w:r>
          </w:p>
        </w:tc>
        <w:tc>
          <w:tcPr>
            <w:tcW w:type="dxa" w:w="3312"/>
            <w:shd w:fill="FFFFFF"/>
            <w:tcMar>
              <w:top w:w="80" w:type="dxa"/>
              <w:bottom w:w="80" w:type="dxa"/>
              <w:left w:w="120" w:type="dxa"/>
              <w:right w:w="120" w:type="dxa"/>
            </w:tcMar>
          </w:tcPr>
          <w:p>
            <w:pPr>
              <w:spacing w:after="0" w:line="276" w:lineRule="auto"/>
              <w:jc w:val="left"/>
            </w:pPr>
            <w:r>
              <w:rPr>
                <w:rFonts w:ascii="Times New Roman" w:hAnsi="Times New Roman"/>
                <w:sz w:val="19"/>
              </w:rPr>
              <w:t>Style Guide for Python Code and Docstring Conventions.</w:t>
            </w:r>
          </w:p>
        </w:tc>
        <w:tc>
          <w:tcPr>
            <w:tcW w:type="dxa" w:w="3744"/>
            <w:shd w:fill="FFFFFF"/>
            <w:tcMar>
              <w:top w:w="80" w:type="dxa"/>
              <w:bottom w:w="80" w:type="dxa"/>
              <w:left w:w="120" w:type="dxa"/>
              <w:right w:w="120" w:type="dxa"/>
            </w:tcMar>
          </w:tcPr>
          <w:p>
            <w:pPr>
              <w:spacing w:after="0" w:line="276" w:lineRule="auto"/>
              <w:jc w:val="left"/>
            </w:pPr>
            <w:r>
              <w:rPr>
                <w:rFonts w:ascii="Times New Roman" w:hAnsi="Times New Roman"/>
                <w:sz w:val="19"/>
              </w:rPr>
              <w:t>Enforced across all modular source code files, ensuring clean variable naming, type hinting, modular encapsulation, and consistent documentation.</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WCAG 2.1 (Level AA)</w:t>
            </w:r>
          </w:p>
        </w:tc>
        <w:tc>
          <w:tcPr>
            <w:tcW w:type="dxa" w:w="3312"/>
            <w:shd w:fill="F2F5F9"/>
            <w:tcMar>
              <w:top w:w="80" w:type="dxa"/>
              <w:bottom w:w="80" w:type="dxa"/>
              <w:left w:w="120" w:type="dxa"/>
              <w:right w:w="120" w:type="dxa"/>
            </w:tcMar>
          </w:tcPr>
          <w:p>
            <w:pPr>
              <w:spacing w:after="0" w:line="276" w:lineRule="auto"/>
              <w:jc w:val="left"/>
            </w:pPr>
            <w:r>
              <w:rPr>
                <w:rFonts w:ascii="Times New Roman" w:hAnsi="Times New Roman"/>
                <w:sz w:val="19"/>
              </w:rPr>
              <w:t>Web Content Accessibility Guidelines — Contrast Minimum (Rule 1.4.3) and Non-Text Contrast (Rule 1.4.11).</w:t>
            </w:r>
          </w:p>
        </w:tc>
        <w:tc>
          <w:tcPr>
            <w:tcW w:type="dxa" w:w="3744"/>
            <w:shd w:fill="F2F5F9"/>
            <w:tcMar>
              <w:top w:w="80" w:type="dxa"/>
              <w:bottom w:w="80" w:type="dxa"/>
              <w:left w:w="120" w:type="dxa"/>
              <w:right w:w="120" w:type="dxa"/>
            </w:tcMar>
          </w:tcPr>
          <w:p>
            <w:pPr>
              <w:spacing w:after="0" w:line="276" w:lineRule="auto"/>
              <w:jc w:val="left"/>
            </w:pPr>
            <w:r>
              <w:rPr>
                <w:rFonts w:ascii="Times New Roman" w:hAnsi="Times New Roman"/>
                <w:sz w:val="19"/>
              </w:rPr>
              <w:t>Applied to all figure palettes, axis tick labels, legends, and heatmap annotations to guarantee minimum 4.5:1 luminance contrast against white canvas backgrounds.</w:t>
            </w:r>
          </w:p>
        </w:tc>
      </w:tr>
      <w:tr>
        <w:tc>
          <w:tcPr>
            <w:tcW w:type="dxa" w:w="2160"/>
            <w:shd w:fill="FFFFFF"/>
            <w:tcMar>
              <w:top w:w="80" w:type="dxa"/>
              <w:bottom w:w="80" w:type="dxa"/>
              <w:left w:w="120" w:type="dxa"/>
              <w:right w:w="120" w:type="dxa"/>
            </w:tcMar>
          </w:tcPr>
          <w:p>
            <w:pPr>
              <w:spacing w:after="0" w:line="276" w:lineRule="auto"/>
              <w:jc w:val="center"/>
            </w:pPr>
            <w:r>
              <w:rPr>
                <w:rFonts w:ascii="Times New Roman" w:hAnsi="Times New Roman"/>
                <w:sz w:val="19"/>
              </w:rPr>
              <w:t>IEEE 754-2019</w:t>
            </w:r>
          </w:p>
        </w:tc>
        <w:tc>
          <w:tcPr>
            <w:tcW w:type="dxa" w:w="3312"/>
            <w:shd w:fill="FFFFFF"/>
            <w:tcMar>
              <w:top w:w="80" w:type="dxa"/>
              <w:bottom w:w="80" w:type="dxa"/>
              <w:left w:w="120" w:type="dxa"/>
              <w:right w:w="120" w:type="dxa"/>
            </w:tcMar>
          </w:tcPr>
          <w:p>
            <w:pPr>
              <w:spacing w:after="0" w:line="276" w:lineRule="auto"/>
              <w:jc w:val="left"/>
            </w:pPr>
            <w:r>
              <w:rPr>
                <w:rFonts w:ascii="Times New Roman" w:hAnsi="Times New Roman"/>
                <w:sz w:val="19"/>
              </w:rPr>
              <w:t>IEEE Standard for Floating-Point Arithmetic.</w:t>
            </w:r>
          </w:p>
        </w:tc>
        <w:tc>
          <w:tcPr>
            <w:tcW w:type="dxa" w:w="3744"/>
            <w:shd w:fill="FFFFFF"/>
            <w:tcMar>
              <w:top w:w="80" w:type="dxa"/>
              <w:bottom w:w="80" w:type="dxa"/>
              <w:left w:w="120" w:type="dxa"/>
              <w:right w:w="120" w:type="dxa"/>
            </w:tcMar>
          </w:tcPr>
          <w:p>
            <w:pPr>
              <w:spacing w:after="0" w:line="276" w:lineRule="auto"/>
              <w:jc w:val="left"/>
            </w:pPr>
            <w:r>
              <w:rPr>
                <w:rFonts w:ascii="Times New Roman" w:hAnsi="Times New Roman"/>
                <w:sz w:val="19"/>
              </w:rPr>
              <w:t>Governs numerical precision, variance estimation, Pearson correlation coefficients, and quantile boundaries computed by NumPy and SciPy.</w:t>
            </w:r>
          </w:p>
        </w:tc>
      </w:tr>
    </w:tbl>
    <w:p>
      <w:pPr>
        <w:spacing w:after="120"/>
      </w:pPr>
    </w:p>
    <w:p>
      <w:pPr>
        <w:keepNext/>
        <w:spacing w:before="200" w:after="80"/>
        <w:jc w:val="left"/>
      </w:pPr>
      <w:r>
        <w:rPr>
          <w:rFonts w:ascii="Times New Roman" w:hAnsi="Times New Roman"/>
          <w:b/>
          <w:color w:val="1F497D"/>
          <w:sz w:val="26"/>
        </w:rPr>
        <w:t>3.3 Quantitative Design Specifications</w:t>
      </w:r>
    </w:p>
    <w:p>
      <w:pPr>
        <w:keepNext/>
        <w:spacing w:before="80" w:after="160"/>
        <w:jc w:val="center"/>
      </w:pPr>
      <w:r>
        <w:rPr>
          <w:rFonts w:ascii="Times New Roman" w:hAnsi="Times New Roman"/>
          <w:b/>
          <w:i/>
          <w:color w:val="1F497D"/>
          <w:sz w:val="20"/>
        </w:rPr>
        <w:t>Table 3.4: Quantitative Target Design Specifications and Performance Boundaries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167"/>
        <w:gridCol w:w="2167"/>
        <w:gridCol w:w="2167"/>
        <w:gridCol w:w="2167"/>
      </w:tblGrid>
      <w:tr>
        <w:tc>
          <w:tcPr>
            <w:tcW w:type="dxa" w:w="3168"/>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Parameter</w:t>
            </w:r>
          </w:p>
        </w:tc>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Target Requirement</w:t>
            </w:r>
          </w:p>
        </w:tc>
        <w:tc>
          <w:tcPr>
            <w:tcW w:type="dxa" w:w="2016"/>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Unit</w:t>
            </w:r>
          </w:p>
        </w:tc>
        <w:tc>
          <w:tcPr>
            <w:tcW w:type="dxa" w:w="1440"/>
            <w:shd w:fill="1F497D"/>
            <w:tcMar>
              <w:top w:w="120" w:type="dxa"/>
              <w:bottom w:w="120" w:type="dxa"/>
              <w:left w:w="150" w:type="dxa"/>
              <w:right w:w="150" w:type="dxa"/>
            </w:tcMar>
          </w:tcPr>
          <w:p>
            <w:pPr>
              <w:spacing w:after="0"/>
              <w:jc w:val="center"/>
            </w:pPr>
            <w:r>
              <w:rPr>
                <w:rFonts w:ascii="Times New Roman" w:hAnsi="Times New Roman"/>
                <w:b/>
                <w:color w:val="FFFFFF"/>
                <w:sz w:val="20"/>
              </w:rPr>
              <w:t>Architectural Priority</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Execution Latency (Single Chart)</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&lt; 200.0</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Milliseconds (ms)</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Execution Latency (Full 6-Chart Pipeline)</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&lt; 2500.0</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Milliseconds (ms)</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Peak Memory Overhead</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&lt; 64.0</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Megabytes (MB)</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Lines of Code (Seaborn LOC Reduction)</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&gt; 40.0</w:t>
            </w:r>
          </w:p>
        </w:tc>
        <w:tc>
          <w:tcPr>
            <w:tcW w:type="dxa" w:w="2016"/>
            <w:shd w:fill="F2F5F9"/>
            <w:tcMar>
              <w:top w:w="80" w:type="dxa"/>
              <w:bottom w:w="80" w:type="dxa"/>
              <w:left w:w="120" w:type="dxa"/>
              <w:right w:w="120" w:type="dxa"/>
            </w:tcMar>
          </w:tcPr>
          <w:p>
            <w:pPr>
              <w:spacing w:after="0" w:line="276" w:lineRule="auto"/>
              <w:jc w:val="center"/>
            </w:pPr>
            <w:r>
              <w:rPr>
                <w:rFonts w:ascii="Times New Roman" w:hAnsi="Times New Roman"/>
                <w:sz w:val="19"/>
              </w:rPr>
              <w:t>Percentage (%)</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Raster Export Resolution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300</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Dots Per Inch (DPI)</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Medium</w:t>
            </w:r>
          </w:p>
        </w:tc>
      </w:tr>
      <w:tr>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WCAG Contrast Ratio (Text/Axes)</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&gt;= 4.5 : 1</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Luminance Ratio</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Color Palette Accessibility</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Deuteranopia / Protanopia safe</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Categorical Classification</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Statistical Quantile Accuracy</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Tukey 1.5 * IQR Definition</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Mathematical Exactness</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High</w:t>
            </w:r>
          </w:p>
        </w:tc>
      </w:tr>
      <w:tr>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Pearson r Computation Precision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64-bit IEEE Floating Point</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Numerical Architecture</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Medium</w:t>
            </w:r>
          </w:p>
        </w:tc>
      </w:tr>
    </w:tbl>
    <w:p>
      <w:pPr>
        <w:spacing w:after="120"/>
      </w:pPr>
    </w:p>
    <w:p>
      <w:pPr>
        <w:keepNext/>
        <w:spacing w:before="200" w:after="80"/>
        <w:jc w:val="left"/>
      </w:pPr>
      <w:r>
        <w:rPr>
          <w:rFonts w:ascii="Times New Roman" w:hAnsi="Times New Roman"/>
          <w:b/>
          <w:color w:val="1F497D"/>
          <w:sz w:val="26"/>
        </w:rPr>
        <w:t>3.4 Evaluation of Alternative Architectural Solutions</w:t>
      </w:r>
    </w:p>
    <w:p>
      <w:pPr>
        <w:spacing w:after="120" w:line="360" w:lineRule="auto"/>
        <w:jc w:val="both"/>
      </w:pPr>
      <w:r>
        <w:rPr>
          <w:rFonts w:ascii="Times New Roman" w:hAnsi="Times New Roman"/>
          <w:b w:val="0"/>
          <w:i w:val="0"/>
          <w:sz w:val="24"/>
        </w:rPr>
        <w:t>To address the core exploratory data analysis requirements, four primary architectural paradigms were evaluated:</w:t>
        <w:br/>
        <w:br/>
        <w:t>Alternative 1: Matplotlib Native Procedural / Object-Oriented Architecture</w:t>
        <w:br/>
        <w:t>This approach utilizes Matplotlib's native Figure and Axes objects directly, without third-party statistical abstractions. It provides deterministic, granular control over every visual primitive, canvas coordinate transform, and artist collection, achieving minimal memory overhead and zero statistical layer indirection, but requires extensive boilerplate code for aggregations.</w:t>
        <w:br/>
        <w:br/>
        <w:t>Alternative 2: Seaborn High-Level Declarative Statistical Grammar</w:t>
        <w:br/>
        <w:t>This approach layers Seaborn atop Matplotlib, consuming tidy Pandas DataFrames and mapping columns to visual aesthetics via declarative arguments (x, y, hue, style). It natively executes statistical transformations, confidence interval bootstrapping, and legend generation, drastically cutting development time at the expense of slight execution latency and rigid canvas encapsulation.</w:t>
        <w:br/>
        <w:br/>
        <w:t>Alternative 3: Pandas Built-in Plotting Interface (.plot() / .hist() / .boxplot())</w:t>
        <w:br/>
        <w:t>This approach leverages Pandas' native integration with Matplotlib, exposing series and DataFrame methods directly. While highly convenient for quick exploratory inspection during interactive shell sessions, it lacks cohesive aesthetic styling, possesses limited statistical estimators, and provides cumbersome interfaces for multi-attribute categorical conditioning.</w:t>
        <w:br/>
        <w:br/>
        <w:t>Alternative 4: Interactive Web-Based Visual Frameworks (Plotly / Bokeh)</w:t>
        <w:br/>
        <w:t>This approach employs web-native libraries utilizing D3.js or HTML5 Canvas backends to deliver interactive hover tooltips, dynamic zooming, and client-side filtering. Although superior for end-user web applications, it introduces massive JavaScript bundle dependencies, high memory footprints, and extreme execution latencies that render it unsuitable for automated headless batch reporting.</w:t>
      </w:r>
    </w:p>
    <w:p>
      <w:pPr>
        <w:keepNext/>
        <w:spacing w:before="80" w:after="160"/>
        <w:jc w:val="center"/>
      </w:pPr>
      <w:r>
        <w:rPr>
          <w:rFonts w:ascii="Times New Roman" w:hAnsi="Times New Roman"/>
          <w:b/>
          <w:i/>
          <w:color w:val="1F497D"/>
          <w:sz w:val="20"/>
        </w:rPr>
        <w:t>Table 3.5: Multi-Criteria Decision Evaluation Matrix for Visualization Paradigms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445"/>
        <w:gridCol w:w="1445"/>
        <w:gridCol w:w="1445"/>
        <w:gridCol w:w="1445"/>
        <w:gridCol w:w="1445"/>
        <w:gridCol w:w="1445"/>
      </w:tblGrid>
      <w:tr>
        <w:tc>
          <w:tcPr>
            <w:tcW w:type="dxa" w:w="2880"/>
            <w:shd w:fill="1F497D"/>
            <w:tcMar>
              <w:top w:w="120" w:type="dxa"/>
              <w:bottom w:w="120" w:type="dxa"/>
              <w:left w:w="150" w:type="dxa"/>
              <w:right w:w="150" w:type="dxa"/>
            </w:tcMar>
          </w:tcPr>
          <w:p>
            <w:pPr>
              <w:spacing w:after="0"/>
              <w:jc w:val="center"/>
            </w:pPr>
            <w:r>
              <w:rPr>
                <w:rFonts w:ascii="Times New Roman" w:hAnsi="Times New Roman"/>
                <w:b/>
                <w:color w:val="FFFFFF"/>
                <w:sz w:val="20"/>
              </w:rPr>
              <w:t>Criteria</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Weight</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Alt 1: Matplotlib</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Alt 2: Seaborn</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Alt 3: Pandas .plot()</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Alt 4: Plotly / Bokeh</w:t>
            </w:r>
          </w:p>
        </w:tc>
      </w:tr>
      <w:tr>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Performance Efficiency (Latency &amp; Memory)</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0.20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9.5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8.0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8.5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5.0 / 10</w:t>
            </w:r>
          </w:p>
        </w:tc>
      </w:tr>
      <w:tr>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Developer Velocity &amp; Code Conciseness (LOC)</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0.20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5.5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9.5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8.0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7.0 / 10</w:t>
            </w:r>
          </w:p>
        </w:tc>
      </w:tr>
      <w:tr>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Statistical Modeling &amp; Aggregation Power</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0.20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6.0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9.5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6.5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8.0 / 10</w:t>
            </w:r>
          </w:p>
        </w:tc>
      </w:tr>
      <w:tr>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Aesthetic Design &amp; Visual Perceptibility</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0.15</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6.5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9.5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6.0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9.0 / 10</w:t>
            </w:r>
          </w:p>
        </w:tc>
      </w:tr>
      <w:tr>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Customization Granularity &amp; Canvas Control</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0.15</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10.0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7.5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6.0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7.0 / 10</w:t>
            </w:r>
          </w:p>
        </w:tc>
      </w:tr>
      <w:tr>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Portability &amp; Headless Batch Integration</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0.10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9.5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9.0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9.0 / 10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5.5 / 10</w:t>
            </w:r>
          </w:p>
        </w:tc>
      </w:tr>
      <w:tr>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Weighted Composite Score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1.00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7.72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8.90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7.40 / 10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6.95 / 10</w:t>
            </w:r>
          </w:p>
        </w:tc>
      </w:tr>
    </w:tbl>
    <w:p>
      <w:pPr>
        <w:spacing w:after="120"/>
      </w:pPr>
    </w:p>
    <w:p>
      <w:pPr>
        <w:keepNext/>
        <w:spacing w:before="200" w:after="80"/>
        <w:jc w:val="left"/>
      </w:pPr>
      <w:r>
        <w:rPr>
          <w:rFonts w:ascii="Times New Roman" w:hAnsi="Times New Roman"/>
          <w:b/>
          <w:color w:val="1F497D"/>
          <w:sz w:val="26"/>
        </w:rPr>
        <w:t>3.5 Selected Design, Pipeline Architecture and Formulations</w:t>
      </w:r>
    </w:p>
    <w:p>
      <w:pPr>
        <w:spacing w:after="120" w:line="360" w:lineRule="auto"/>
        <w:jc w:val="both"/>
      </w:pPr>
      <w:r>
        <w:rPr>
          <w:rFonts w:ascii="Times New Roman" w:hAnsi="Times New Roman"/>
          <w:b w:val="0"/>
          <w:i w:val="0"/>
          <w:sz w:val="24"/>
        </w:rPr>
        <w:t>Based on the quantitative multi-criteria evaluation matrix, Alternative 2 (Seaborn Declarative Grammar) achieved the highest overall composite score of 8.90/10, driven by its exceptional developer velocity, automated statistical modeling, and modern aesthetic standards. However, because Alternative 1 (Matplotlib Object-Oriented Architecture) achieved a superior score in customization granularity (10.0/10) and low-level performance (9.5/10), the final selected engineering architecture is a Hybrid Comparative Dual-Engine System. Under this hybrid paradigm, the system ingests data through a centralized validation tier, forks execution into parallel Matplotlib and Seaborn rendering pipelines, enforces identical visual styling parameters across both engines, benchmarks comparative performance, and synthesizes the resulting graphics into a unified master analytical dashboard.</w:t>
        <w:br/>
        <w:br/>
        <w:t>Key Engineering Calculations and Mathematical Formulations:</w:t>
        <w:br/>
        <w:t>1. Univariate Histogram Binning via Freedman-Diaconis Rule:</w:t>
        <w:br/>
        <w:t>To ensure statistically rigorous distribution binning without arbitrary subjective intervals, the optimal bin width h is computed as:</w:t>
        <w:br/>
        <w:t xml:space="preserve">   h = 2 * IQR(x) / (N^(1/3))</w:t>
        <w:br/>
        <w:t>where IQR(x) = Q_3 - Q_1 is the interquartile range and N is the total observation count (N=244). For the Tips total_bill variable (Q_1 = $13.35, Q_3 = $24.13, IQR = $10.78):</w:t>
        <w:br/>
        <w:t xml:space="preserve">   h = 2 * 10.78 / (244^(1/3)) = 21.56 / 6.249 = $3.45 per bin</w:t>
        <w:br/>
        <w:t>Total bins k over the range [R_min, R_max] = [$3.07, $50.81] (span = $47.74):</w:t>
        <w:br/>
        <w:t xml:space="preserve">   k = ceil(47.74 / 3.45) = 14 bins (standardized to 15-20 bins for high-resolution profiling).</w:t>
        <w:br/>
        <w:br/>
        <w:t>2. Kernel Density Estimation (Gaussian Kernel):</w:t>
        <w:br/>
        <w:t>The continuous probability density function p(x) overlaid on histograms is modeled as:</w:t>
        <w:br/>
        <w:t xml:space="preserve">   p_hat(x) = (1 / (N * b)) * sum_{i=1}^N K((x - x_i) / b)</w:t>
        <w:br/>
        <w:t>where K(u) = (1 / sqrt(2*pi)) * exp(-u^2 / 2) is the standard Gaussian kernel, and b is the optimal Silverman bandwidth:</w:t>
        <w:br/>
        <w:t xml:space="preserve">   b = 0.9 * min(std(x), IQR(x)/1.34) * N^(-1/5)</w:t>
        <w:br/>
        <w:br/>
        <w:t>3. Non-Parametric Tukey Box Plot Dispersion Bounds:</w:t>
        <w:br/>
        <w:t>The five-number summary defines the inner box and whiskers:</w:t>
        <w:br/>
        <w:t xml:space="preserve">   Lower Whisker = max(min(x), Q_1 - 1.5 * IQR)</w:t>
        <w:br/>
        <w:t xml:space="preserve">   Upper Whisker = min(max(x), Q_3 + 1.5 * IQR)</w:t>
        <w:br/>
        <w:t>Data points falling outside [Lower Whisker, Upper Whisker] are classified as mathematical outliers (flier points).</w:t>
        <w:br/>
        <w:br/>
        <w:t>4. Pearson Product-Moment Correlation Coefficient Matrix:</w:t>
        <w:br/>
        <w:t>For bivariate relationships between continuous random variables X (total_bill) and Y (tip):</w:t>
        <w:br/>
        <w:t xml:space="preserve">   r_{XY} = sum_{i=1}^N (x_i - x_bar)(y_i - y_bar) / [ sqrt(sum (x_i - x_bar)^2) * sqrt(sum (y_i - y_bar)^2) ]</w:t>
        <w:br/>
        <w:t>yielding the exact correlation coefficient r = 0.6757, confirming a strong positive monotonic association.</w:t>
      </w:r>
    </w:p>
    <w:p>
      <w:pPr>
        <w:spacing w:before="160" w:after="40"/>
        <w:jc w:val="center"/>
      </w:pPr>
      <w:r>
        <w:drawing>
          <wp:inline xmlns:a="http://schemas.openxmlformats.org/drawingml/2006/main" xmlns:pic="http://schemas.openxmlformats.org/drawingml/2006/picture">
            <wp:extent cx="5303520" cy="2675951"/>
            <wp:docPr id="3" name="Picture 3"/>
            <wp:cNvGraphicFramePr>
              <a:graphicFrameLocks noChangeAspect="1"/>
            </wp:cNvGraphicFramePr>
            <a:graphic>
              <a:graphicData uri="http://schemas.openxmlformats.org/drawingml/2006/picture">
                <pic:pic>
                  <pic:nvPicPr>
                    <pic:cNvPr id="0" name="pipeline_architecture.png"/>
                    <pic:cNvPicPr/>
                  </pic:nvPicPr>
                  <pic:blipFill>
                    <a:blip r:embed="rId13"/>
                    <a:stretch>
                      <a:fillRect/>
                    </a:stretch>
                  </pic:blipFill>
                  <pic:spPr>
                    <a:xfrm>
                      <a:off x="0" y="0"/>
                      <a:ext cx="5303520" cy="2675951"/>
                    </a:xfrm>
                    <a:prstGeom prst="rect"/>
                  </pic:spPr>
                </pic:pic>
              </a:graphicData>
            </a:graphic>
          </wp:inline>
        </w:drawing>
      </w:r>
    </w:p>
    <w:p>
      <w:pPr>
        <w:keepNext w:val="0"/>
        <w:spacing w:before="120" w:after="240"/>
        <w:jc w:val="center"/>
      </w:pPr>
      <w:r>
        <w:rPr>
          <w:rFonts w:ascii="Times New Roman" w:hAnsi="Times New Roman"/>
          <w:b/>
          <w:i/>
          <w:color w:val="1F497D"/>
          <w:sz w:val="20"/>
        </w:rPr>
        <w:t>Figure 3.1: Decoupled Dual-Engine Architecture for Comparative EDA Profiling</w:t>
      </w:r>
    </w:p>
    <w:p>
      <w:pPr>
        <w:spacing w:before="160" w:after="40"/>
        <w:jc w:val="center"/>
      </w:pPr>
      <w:r>
        <w:drawing>
          <wp:inline xmlns:a="http://schemas.openxmlformats.org/drawingml/2006/main" xmlns:pic="http://schemas.openxmlformats.org/drawingml/2006/picture">
            <wp:extent cx="5303520" cy="2852915"/>
            <wp:docPr id="4" name="Picture 4"/>
            <wp:cNvGraphicFramePr>
              <a:graphicFrameLocks noChangeAspect="1"/>
            </wp:cNvGraphicFramePr>
            <a:graphic>
              <a:graphicData uri="http://schemas.openxmlformats.org/drawingml/2006/picture">
                <pic:pic>
                  <pic:nvPicPr>
                    <pic:cNvPr id="0" name="flowchart.png"/>
                    <pic:cNvPicPr/>
                  </pic:nvPicPr>
                  <pic:blipFill>
                    <a:blip r:embed="rId14"/>
                    <a:stretch>
                      <a:fillRect/>
                    </a:stretch>
                  </pic:blipFill>
                  <pic:spPr>
                    <a:xfrm>
                      <a:off x="0" y="0"/>
                      <a:ext cx="5303520" cy="2852915"/>
                    </a:xfrm>
                    <a:prstGeom prst="rect"/>
                  </pic:spPr>
                </pic:pic>
              </a:graphicData>
            </a:graphic>
          </wp:inline>
        </w:drawing>
      </w:r>
    </w:p>
    <w:p>
      <w:pPr>
        <w:keepNext w:val="0"/>
        <w:spacing w:before="120" w:after="240"/>
        <w:jc w:val="center"/>
      </w:pPr>
      <w:r>
        <w:rPr>
          <w:rFonts w:ascii="Times New Roman" w:hAnsi="Times New Roman"/>
          <w:b/>
          <w:i/>
          <w:color w:val="1F497D"/>
          <w:sz w:val="20"/>
        </w:rPr>
        <w:t>Figure 3.2: System Execution Flowchart for Automated Ingestion, Profiling &amp; Dashboard Export</w:t>
      </w:r>
    </w:p>
    <w:p>
      <w:pPr>
        <w:keepNext/>
        <w:spacing w:before="200" w:after="80"/>
        <w:jc w:val="left"/>
      </w:pPr>
      <w:r>
        <w:rPr>
          <w:rFonts w:ascii="Times New Roman" w:hAnsi="Times New Roman"/>
          <w:b/>
          <w:color w:val="1F497D"/>
          <w:sz w:val="26"/>
        </w:rPr>
        <w:t>3.6 Comprehensive Engineering Trade-off Analysis</w:t>
      </w:r>
    </w:p>
    <w:p>
      <w:pPr>
        <w:keepNext/>
        <w:spacing w:before="80" w:after="160"/>
        <w:jc w:val="center"/>
      </w:pPr>
      <w:r>
        <w:rPr>
          <w:rFonts w:ascii="Times New Roman" w:hAnsi="Times New Roman"/>
          <w:b/>
          <w:i/>
          <w:color w:val="1F497D"/>
          <w:sz w:val="20"/>
        </w:rPr>
        <w:t>Table 3.6: Architectural and Implementation Trade-off Analysis Matrix</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734"/>
        <w:gridCol w:w="1734"/>
        <w:gridCol w:w="1734"/>
        <w:gridCol w:w="1734"/>
        <w:gridCol w:w="1734"/>
      </w:tblGrid>
      <w:tr>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Design Decision</w:t>
            </w:r>
          </w:p>
        </w:tc>
        <w:tc>
          <w:tcPr>
            <w:tcW w:type="dxa" w:w="1728"/>
            <w:shd w:fill="1F497D"/>
            <w:tcMar>
              <w:top w:w="120" w:type="dxa"/>
              <w:bottom w:w="120" w:type="dxa"/>
              <w:left w:w="150" w:type="dxa"/>
              <w:right w:w="150" w:type="dxa"/>
            </w:tcMar>
          </w:tcPr>
          <w:p>
            <w:pPr>
              <w:spacing w:after="0"/>
              <w:jc w:val="center"/>
            </w:pPr>
            <w:r>
              <w:rPr>
                <w:rFonts w:ascii="Times New Roman" w:hAnsi="Times New Roman"/>
                <w:b/>
                <w:color w:val="FFFFFF"/>
                <w:sz w:val="20"/>
              </w:rPr>
              <w:t>Alternative Considered</w:t>
            </w:r>
          </w:p>
        </w:tc>
        <w:tc>
          <w:tcPr>
            <w:tcW w:type="dxa" w:w="1872"/>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Benefit</w:t>
            </w:r>
          </w:p>
        </w:tc>
        <w:tc>
          <w:tcPr>
            <w:tcW w:type="dxa" w:w="1872"/>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Disadvantage</w:t>
            </w:r>
          </w:p>
        </w:tc>
        <w:tc>
          <w:tcPr>
            <w:tcW w:type="dxa" w:w="2016"/>
            <w:shd w:fill="1F497D"/>
            <w:tcMar>
              <w:top w:w="120" w:type="dxa"/>
              <w:bottom w:w="120" w:type="dxa"/>
              <w:left w:w="150" w:type="dxa"/>
              <w:right w:w="150" w:type="dxa"/>
            </w:tcMar>
          </w:tcPr>
          <w:p>
            <w:pPr>
              <w:spacing w:after="0"/>
              <w:jc w:val="center"/>
            </w:pPr>
            <w:r>
              <w:rPr>
                <w:rFonts w:ascii="Times New Roman" w:hAnsi="Times New Roman"/>
                <w:b/>
                <w:color w:val="FFFFFF"/>
                <w:sz w:val="20"/>
              </w:rPr>
              <w:t>Final Decision &amp; Rigorous Justification</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Imperative vs Declarative API</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Procedural Matplotlib API (plt.plot)</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Microscopic canvas control, independent artist manipulation.</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Excessive boilerplate code, manual data aggregation.</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Adopt Seaborn for statistical figures; use Matplotlib OO API for fine canvas adjustments.</w:t>
            </w:r>
          </w:p>
        </w:tc>
      </w:tr>
      <w:tr>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Automated vs Manual Legend Wiring</w:t>
            </w:r>
          </w:p>
        </w:tc>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Manual Matplotlib proxy artists</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Custom legend handles, bespoke text formatting.</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High code complexity, brittle when categories change.</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Use Seaborn automated legend extraction, then adjust properties via Matplotlib ax.legend_.</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Statistical Resampling (Bootstrapping)</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Parametric Gaussian confidence intervals</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Deterministic runtime, near-zero CPU calculation overhead.</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Assumes normality, vulnerable to heavily skewed distributions.</w:t>
            </w:r>
          </w:p>
        </w:tc>
        <w:tc>
          <w:tcPr>
            <w:tcW w:type="dxa" w:w="2016"/>
            <w:shd w:fill="FFFFFF"/>
            <w:tcMar>
              <w:top w:w="80" w:type="dxa"/>
              <w:bottom w:w="80" w:type="dxa"/>
              <w:left w:w="120" w:type="dxa"/>
              <w:right w:w="120" w:type="dxa"/>
            </w:tcMar>
          </w:tcPr>
          <w:p>
            <w:pPr>
              <w:spacing w:after="0" w:line="276" w:lineRule="auto"/>
              <w:jc w:val="center"/>
            </w:pPr>
            <w:r>
              <w:rPr>
                <w:rFonts w:ascii="Times New Roman" w:hAnsi="Times New Roman"/>
                <w:sz w:val="19"/>
              </w:rPr>
              <w:t>Retain Seaborn 95% bootstrap CI for robust non-parametric confidence estimation.</w:t>
            </w:r>
          </w:p>
        </w:tc>
      </w:tr>
      <w:tr>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Color Palette Selection</w:t>
            </w:r>
          </w:p>
        </w:tc>
        <w:tc>
          <w:tcPr>
            <w:tcW w:type="dxa" w:w="1728"/>
            <w:shd w:fill="F2F5F9"/>
            <w:tcMar>
              <w:top w:w="80" w:type="dxa"/>
              <w:bottom w:w="80" w:type="dxa"/>
              <w:left w:w="120" w:type="dxa"/>
              <w:right w:w="120" w:type="dxa"/>
            </w:tcMar>
          </w:tcPr>
          <w:p>
            <w:pPr>
              <w:spacing w:after="0" w:line="276" w:lineRule="auto"/>
              <w:jc w:val="left"/>
            </w:pPr>
            <w:r>
              <w:rPr>
                <w:rFonts w:ascii="Times New Roman" w:hAnsi="Times New Roman"/>
                <w:sz w:val="19"/>
              </w:rPr>
              <w:t>Rainbow / Jet colormaps</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High perceptual contrast across broad hues.</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Severe visual distortion, non-linear luminance, inaccessible to colorblind users.</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Mandate perceptually uniform and WCAG-compliant palettes ('coolwarm', 'Set2', 'muted').</w:t>
            </w:r>
          </w:p>
        </w:tc>
      </w:tr>
      <w:tr>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Raster Output Resolution (DPI)</w:t>
            </w:r>
          </w:p>
        </w:tc>
        <w:tc>
          <w:tcPr>
            <w:tcW w:type="dxa" w:w="1728"/>
            <w:shd w:fill="FFFFFF"/>
            <w:tcMar>
              <w:top w:w="80" w:type="dxa"/>
              <w:bottom w:w="80" w:type="dxa"/>
              <w:left w:w="120" w:type="dxa"/>
              <w:right w:w="120" w:type="dxa"/>
            </w:tcMar>
          </w:tcPr>
          <w:p>
            <w:pPr>
              <w:spacing w:after="0" w:line="276" w:lineRule="auto"/>
              <w:jc w:val="left"/>
            </w:pPr>
            <w:r>
              <w:rPr>
                <w:rFonts w:ascii="Times New Roman" w:hAnsi="Times New Roman"/>
                <w:sz w:val="19"/>
              </w:rPr>
              <w:t>72 DPI screen resolution</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Minimal disk footprint (&lt;50 kB), instantaneous file writing.</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Pixelated artifacts, unreadable text on publication print/zoom.</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Standardize on 300 DPI PNG rasterization for publication-grade artifact export.</w:t>
            </w:r>
          </w:p>
        </w:tc>
      </w:tr>
    </w:tbl>
    <w:p>
      <w:pPr>
        <w:spacing w:after="120"/>
      </w:pPr>
    </w:p>
    <w:p>
      <w:pPr>
        <w:keepNext/>
        <w:spacing w:before="200" w:after="80"/>
        <w:jc w:val="left"/>
      </w:pPr>
      <w:r>
        <w:rPr>
          <w:rFonts w:ascii="Times New Roman" w:hAnsi="Times New Roman"/>
          <w:b/>
          <w:color w:val="1F497D"/>
          <w:sz w:val="26"/>
        </w:rPr>
        <w:t>3.7 Sustainability, Ethics, Health &amp; Safety, and Risk Register</w:t>
      </w:r>
    </w:p>
    <w:p>
      <w:pPr>
        <w:keepNext/>
        <w:spacing w:before="80" w:after="160"/>
        <w:jc w:val="center"/>
      </w:pPr>
      <w:r>
        <w:rPr>
          <w:rFonts w:ascii="Times New Roman" w:hAnsi="Times New Roman"/>
          <w:b/>
          <w:i/>
          <w:color w:val="1F497D"/>
          <w:sz w:val="20"/>
        </w:rPr>
        <w:t>Table 3.7: Multi-Domain Sustainability, Ethics, Health &amp; Safety Considerations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167"/>
        <w:gridCol w:w="2167"/>
        <w:gridCol w:w="2167"/>
        <w:gridCol w:w="2167"/>
      </w:tblGrid>
      <w:tr>
        <w:tc>
          <w:tcPr>
            <w:tcW w:type="dxa" w:w="2016"/>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Domain</w:t>
            </w:r>
          </w:p>
        </w:tc>
        <w:tc>
          <w:tcPr>
            <w:tcW w:type="dxa" w:w="2160"/>
            <w:shd w:fill="1F497D"/>
            <w:tcMar>
              <w:top w:w="120" w:type="dxa"/>
              <w:bottom w:w="120" w:type="dxa"/>
              <w:left w:w="150" w:type="dxa"/>
              <w:right w:w="150" w:type="dxa"/>
            </w:tcMar>
          </w:tcPr>
          <w:p>
            <w:pPr>
              <w:spacing w:after="0"/>
              <w:jc w:val="center"/>
            </w:pPr>
            <w:r>
              <w:rPr>
                <w:rFonts w:ascii="Times New Roman" w:hAnsi="Times New Roman"/>
                <w:b/>
                <w:color w:val="FFFFFF"/>
                <w:sz w:val="20"/>
              </w:rPr>
              <w:t>Core Consideration</w:t>
            </w:r>
          </w:p>
        </w:tc>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Empirical Evidence Evaluated</w:t>
            </w:r>
          </w:p>
        </w:tc>
        <w:tc>
          <w:tcPr>
            <w:tcW w:type="dxa" w:w="2448"/>
            <w:shd w:fill="1F497D"/>
            <w:tcMar>
              <w:top w:w="120" w:type="dxa"/>
              <w:bottom w:w="120" w:type="dxa"/>
              <w:left w:w="150" w:type="dxa"/>
              <w:right w:w="150" w:type="dxa"/>
            </w:tcMar>
          </w:tcPr>
          <w:p>
            <w:pPr>
              <w:spacing w:after="0"/>
              <w:jc w:val="center"/>
            </w:pPr>
            <w:r>
              <w:rPr>
                <w:rFonts w:ascii="Times New Roman" w:hAnsi="Times New Roman"/>
                <w:b/>
                <w:color w:val="FFFFFF"/>
                <w:sz w:val="20"/>
              </w:rPr>
              <w:t>Concrete Impact on Final System Decision</w:t>
            </w:r>
          </w:p>
        </w:tc>
      </w:tr>
      <w:tr>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Sustainability &amp; Green Computing</w:t>
            </w:r>
          </w:p>
        </w:tc>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Computational energy efficiency and carbon footprint in recurring batch analytics.</w:t>
            </w:r>
          </w:p>
        </w:tc>
        <w:tc>
          <w:tcPr>
            <w:tcW w:type="dxa" w:w="2592"/>
            <w:shd w:fill="FFFFFF"/>
            <w:tcMar>
              <w:top w:w="80" w:type="dxa"/>
              <w:bottom w:w="80" w:type="dxa"/>
              <w:left w:w="120" w:type="dxa"/>
              <w:right w:w="120" w:type="dxa"/>
            </w:tcMar>
          </w:tcPr>
          <w:p>
            <w:pPr>
              <w:spacing w:after="0" w:line="276" w:lineRule="auto"/>
              <w:jc w:val="center"/>
            </w:pPr>
            <w:r>
              <w:rPr>
                <w:rFonts w:ascii="Times New Roman" w:hAnsi="Times New Roman"/>
                <w:sz w:val="19"/>
              </w:rPr>
              <w:t>Profiled execution CPU cycles and memory footprint. Seaborn requires ~15% higher initial CPU cycles due to statistical bootstrapping, but reduces developer screen time and code maintenance overhead by 58%.</w:t>
            </w:r>
          </w:p>
        </w:tc>
        <w:tc>
          <w:tcPr>
            <w:tcW w:type="dxa" w:w="2448"/>
            <w:shd w:fill="FFFFFF"/>
            <w:tcMar>
              <w:top w:w="80" w:type="dxa"/>
              <w:bottom w:w="80" w:type="dxa"/>
              <w:left w:w="120" w:type="dxa"/>
              <w:right w:w="120" w:type="dxa"/>
            </w:tcMar>
          </w:tcPr>
          <w:p>
            <w:pPr>
              <w:spacing w:after="0" w:line="276" w:lineRule="auto"/>
              <w:jc w:val="left"/>
            </w:pPr>
            <w:r>
              <w:rPr>
                <w:rFonts w:ascii="Times New Roman" w:hAnsi="Times New Roman"/>
                <w:sz w:val="19"/>
              </w:rPr>
              <w:t>Optimized execution loops, eliminated redundant rendering passes, and implemented memory garbage collection (plt.close(fig)) after every export.</w:t>
            </w:r>
          </w:p>
        </w:tc>
      </w:tr>
      <w:tr>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Ethics &amp; Academic Integrity</w:t>
            </w:r>
          </w:p>
        </w:tc>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Prevention of data fabrication, selective cropping, and deceptive graphical distortion.</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Evaluated axis scaling, baseline zero-anchoring for bar charts, and unbiased outlier presentation in box plots to eliminate truncation deception.</w:t>
            </w:r>
          </w:p>
        </w:tc>
        <w:tc>
          <w:tcPr>
            <w:tcW w:type="dxa" w:w="2448"/>
            <w:shd w:fill="F2F5F9"/>
            <w:tcMar>
              <w:top w:w="80" w:type="dxa"/>
              <w:bottom w:w="80" w:type="dxa"/>
              <w:left w:w="120" w:type="dxa"/>
              <w:right w:w="120" w:type="dxa"/>
            </w:tcMar>
          </w:tcPr>
          <w:p>
            <w:pPr>
              <w:spacing w:after="0" w:line="276" w:lineRule="auto"/>
              <w:jc w:val="left"/>
            </w:pPr>
            <w:r>
              <w:rPr>
                <w:rFonts w:ascii="Times New Roman" w:hAnsi="Times New Roman"/>
                <w:sz w:val="19"/>
              </w:rPr>
              <w:t>Mandated that bar charts must originate at zero, histograms must declare exact sample size (N=244), and all outliers must be visually represented.</w:t>
            </w:r>
          </w:p>
        </w:tc>
      </w:tr>
      <w:tr>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Health &amp; Safety (Visual Ergonomics)</w:t>
            </w:r>
          </w:p>
        </w:tc>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Minimizing ocular fatigue, visual confusion, and cognitive overload for analysts.</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Analyzed typographic hierarchy, font sizes (10-14 pt), and WCAG 2.1 contrast ratios against white/dark backgrounds.</w:t>
            </w:r>
          </w:p>
        </w:tc>
        <w:tc>
          <w:tcPr>
            <w:tcW w:type="dxa" w:w="2448"/>
            <w:shd w:fill="FFFFFF"/>
            <w:tcMar>
              <w:top w:w="80" w:type="dxa"/>
              <w:bottom w:w="80" w:type="dxa"/>
              <w:left w:w="120" w:type="dxa"/>
              <w:right w:w="120" w:type="dxa"/>
            </w:tcMar>
          </w:tcPr>
          <w:p>
            <w:pPr>
              <w:spacing w:after="0" w:line="276" w:lineRule="auto"/>
              <w:jc w:val="left"/>
            </w:pPr>
            <w:r>
              <w:rPr>
                <w:rFonts w:ascii="Times New Roman" w:hAnsi="Times New Roman"/>
                <w:sz w:val="19"/>
              </w:rPr>
              <w:t>Enforced minimum 4.5:1 text contrast, muted background gridlines (alpha=0.5), and legible sans-serif typography across all figures.</w:t>
            </w:r>
          </w:p>
        </w:tc>
      </w:tr>
      <w:tr>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Security &amp; Data Governance</w:t>
            </w:r>
          </w:p>
        </w:tc>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Data privacy, leakage of sensitive transaction records, and software supply chain vulnerabilities.</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Audited open-source package dependencies (pandas, matplotlib, seaborn, numpy) against CVE vulnerability databases; verified anonymized dataset.</w:t>
            </w:r>
          </w:p>
        </w:tc>
        <w:tc>
          <w:tcPr>
            <w:tcW w:type="dxa" w:w="2448"/>
            <w:shd w:fill="F2F5F9"/>
            <w:tcMar>
              <w:top w:w="80" w:type="dxa"/>
              <w:bottom w:w="80" w:type="dxa"/>
              <w:left w:w="120" w:type="dxa"/>
              <w:right w:w="120" w:type="dxa"/>
            </w:tcMar>
          </w:tcPr>
          <w:p>
            <w:pPr>
              <w:spacing w:after="0" w:line="276" w:lineRule="auto"/>
              <w:jc w:val="left"/>
            </w:pPr>
            <w:r>
              <w:rPr>
                <w:rFonts w:ascii="Times New Roman" w:hAnsi="Times New Roman"/>
                <w:sz w:val="19"/>
              </w:rPr>
              <w:t>Ensured Tips dataset contains zero Personally Identifiable Information (PII); pinned library versions to verified secure releases.</w:t>
            </w:r>
          </w:p>
        </w:tc>
      </w:tr>
    </w:tbl>
    <w:p>
      <w:pPr>
        <w:spacing w:after="120"/>
      </w:pPr>
    </w:p>
    <w:p>
      <w:pPr>
        <w:keepNext/>
        <w:spacing w:before="160" w:after="40"/>
        <w:jc w:val="left"/>
      </w:pPr>
      <w:r>
        <w:rPr>
          <w:rFonts w:ascii="Times New Roman" w:hAnsi="Times New Roman"/>
          <w:b/>
          <w:color w:val="333333"/>
          <w:sz w:val="23"/>
        </w:rPr>
        <w:t>3.7.1 Comprehensive Engineering Risk Register</w:t>
      </w:r>
    </w:p>
    <w:p>
      <w:pPr>
        <w:keepNext/>
        <w:spacing w:before="80" w:after="160"/>
        <w:jc w:val="center"/>
      </w:pPr>
      <w:r>
        <w:rPr>
          <w:rFonts w:ascii="Times New Roman" w:hAnsi="Times New Roman"/>
          <w:b/>
          <w:i/>
          <w:color w:val="1F497D"/>
          <w:sz w:val="20"/>
        </w:rPr>
        <w:t>Table 3.8: Engineering Risk Assessment Register and Mitigation Protocols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445"/>
        <w:gridCol w:w="1445"/>
        <w:gridCol w:w="1445"/>
        <w:gridCol w:w="1445"/>
        <w:gridCol w:w="1445"/>
        <w:gridCol w:w="1445"/>
      </w:tblGrid>
      <w:tr>
        <w:tc>
          <w:tcPr>
            <w:tcW w:type="dxa" w:w="2304"/>
            <w:shd w:fill="1F497D"/>
            <w:tcMar>
              <w:top w:w="120" w:type="dxa"/>
              <w:bottom w:w="120" w:type="dxa"/>
              <w:left w:w="150" w:type="dxa"/>
              <w:right w:w="150" w:type="dxa"/>
            </w:tcMar>
          </w:tcPr>
          <w:p>
            <w:pPr>
              <w:spacing w:after="0"/>
              <w:jc w:val="center"/>
            </w:pPr>
            <w:r>
              <w:rPr>
                <w:rFonts w:ascii="Times New Roman" w:hAnsi="Times New Roman"/>
                <w:b/>
                <w:color w:val="FFFFFF"/>
                <w:sz w:val="20"/>
              </w:rPr>
              <w:t>Identified Risk</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Likelihood</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Severity</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Risk Level</w:t>
            </w:r>
          </w:p>
        </w:tc>
        <w:tc>
          <w:tcPr>
            <w:tcW w:type="dxa" w:w="2304"/>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Mitigation Protocol</w:t>
            </w:r>
          </w:p>
        </w:tc>
        <w:tc>
          <w:tcPr>
            <w:tcW w:type="dxa" w:w="1008"/>
            <w:shd w:fill="1F497D"/>
            <w:tcMar>
              <w:top w:w="120" w:type="dxa"/>
              <w:bottom w:w="120" w:type="dxa"/>
              <w:left w:w="150" w:type="dxa"/>
              <w:right w:w="150" w:type="dxa"/>
            </w:tcMar>
          </w:tcPr>
          <w:p>
            <w:pPr>
              <w:spacing w:after="0"/>
              <w:jc w:val="center"/>
            </w:pPr>
            <w:r>
              <w:rPr>
                <w:rFonts w:ascii="Times New Roman" w:hAnsi="Times New Roman"/>
                <w:b/>
                <w:color w:val="FFFFFF"/>
                <w:sz w:val="20"/>
              </w:rPr>
              <w:t>Residual Risk</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R-01: Memory Leakage during Batch Plotting</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Critical</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Explicitly invoke plt.close(fig) and gc.collect() following every figure rasterization to release Agg backend memory buffers.</w:t>
            </w:r>
          </w:p>
        </w:tc>
        <w:tc>
          <w:tcPr>
            <w:tcW w:type="dxa" w:w="1008"/>
            <w:shd w:fill="FFFFFF"/>
            <w:tcMar>
              <w:top w:w="80" w:type="dxa"/>
              <w:bottom w:w="80" w:type="dxa"/>
              <w:left w:w="120" w:type="dxa"/>
              <w:right w:w="120" w:type="dxa"/>
            </w:tcMar>
          </w:tcPr>
          <w:p>
            <w:pPr>
              <w:spacing w:after="0" w:line="276" w:lineRule="auto"/>
              <w:jc w:val="left"/>
            </w:pPr>
            <w:r>
              <w:rPr>
                <w:rFonts w:ascii="Times New Roman" w:hAnsi="Times New Roman"/>
                <w:sz w:val="19"/>
              </w:rPr>
              <w:t>Low</w:t>
            </w:r>
          </w:p>
        </w:tc>
      </w:tr>
      <w:tr>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R-02: Statistical Misinterpretation of Bootstrapped CI</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Medium</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High</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High</w:t>
            </w:r>
          </w:p>
        </w:tc>
        <w:tc>
          <w:tcPr>
            <w:tcW w:type="dxa" w:w="2304"/>
            <w:shd w:fill="F2F5F9"/>
            <w:tcMar>
              <w:top w:w="80" w:type="dxa"/>
              <w:bottom w:w="80" w:type="dxa"/>
              <w:left w:w="120" w:type="dxa"/>
              <w:right w:w="120" w:type="dxa"/>
            </w:tcMar>
          </w:tcPr>
          <w:p>
            <w:pPr>
              <w:spacing w:after="0" w:line="276" w:lineRule="auto"/>
              <w:jc w:val="center"/>
            </w:pPr>
            <w:r>
              <w:rPr>
                <w:rFonts w:ascii="Times New Roman" w:hAnsi="Times New Roman"/>
                <w:sz w:val="19"/>
              </w:rPr>
              <w:t>Explicitly label bar chart error bars as 95% bootstrap confidence intervals, preventing confusion with standard deviation.</w:t>
            </w:r>
          </w:p>
        </w:tc>
        <w:tc>
          <w:tcPr>
            <w:tcW w:type="dxa" w:w="1008"/>
            <w:shd w:fill="F2F5F9"/>
            <w:tcMar>
              <w:top w:w="80" w:type="dxa"/>
              <w:bottom w:w="80" w:type="dxa"/>
              <w:left w:w="120" w:type="dxa"/>
              <w:right w:w="120" w:type="dxa"/>
            </w:tcMar>
          </w:tcPr>
          <w:p>
            <w:pPr>
              <w:spacing w:after="0" w:line="276" w:lineRule="auto"/>
              <w:jc w:val="left"/>
            </w:pPr>
            <w:r>
              <w:rPr>
                <w:rFonts w:ascii="Times New Roman" w:hAnsi="Times New Roman"/>
                <w:sz w:val="19"/>
              </w:rPr>
              <w:t>Low</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R-03: Visual Inaccessibility for Colorblind Users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Medium</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High</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Replace red-green palettes with colorblind-safe palettes ('coolwarm', 'Set2', 'viridis') and verify with luminance contrast checks.</w:t>
            </w:r>
          </w:p>
        </w:tc>
        <w:tc>
          <w:tcPr>
            <w:tcW w:type="dxa" w:w="1008"/>
            <w:shd w:fill="FFFFFF"/>
            <w:tcMar>
              <w:top w:w="80" w:type="dxa"/>
              <w:bottom w:w="80" w:type="dxa"/>
              <w:left w:w="120" w:type="dxa"/>
              <w:right w:w="120" w:type="dxa"/>
            </w:tcMar>
          </w:tcPr>
          <w:p>
            <w:pPr>
              <w:spacing w:after="0" w:line="276" w:lineRule="auto"/>
              <w:jc w:val="left"/>
            </w:pPr>
            <w:r>
              <w:rPr>
                <w:rFonts w:ascii="Times New Roman" w:hAnsi="Times New Roman"/>
                <w:sz w:val="19"/>
              </w:rPr>
              <w:t>Very Low</w:t>
            </w:r>
          </w:p>
        </w:tc>
      </w:tr>
      <w:tr>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R-04: Syntactic Deprecation Across Library Releases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Medium</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Medium</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Moderate</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Pin dependency versions in requirements.txt (Matplotlib 3.8.2, Seaborn 0.13.1, Pandas 2.1.4) and avoid deprecated API signatures.</w:t>
            </w:r>
          </w:p>
        </w:tc>
        <w:tc>
          <w:tcPr>
            <w:tcW w:type="dxa" w:w="1008"/>
            <w:shd w:fill="F2F5F9"/>
            <w:tcMar>
              <w:top w:w="80" w:type="dxa"/>
              <w:bottom w:w="80" w:type="dxa"/>
              <w:left w:w="120" w:type="dxa"/>
              <w:right w:w="120" w:type="dxa"/>
            </w:tcMar>
          </w:tcPr>
          <w:p>
            <w:pPr>
              <w:spacing w:after="0" w:line="276" w:lineRule="auto"/>
              <w:jc w:val="left"/>
            </w:pPr>
            <w:r>
              <w:rPr>
                <w:rFonts w:ascii="Times New Roman" w:hAnsi="Times New Roman"/>
                <w:sz w:val="19"/>
              </w:rPr>
              <w:t>Very Low</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R-05: Canvas Truncation on Publication Export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Medium</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Low</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Moderate</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Apply bbox_inches='tight' and tight_layout(pad=1.5) on all plt.savefig() invocations to eliminate clipped axis labels.</w:t>
            </w:r>
          </w:p>
        </w:tc>
        <w:tc>
          <w:tcPr>
            <w:tcW w:type="dxa" w:w="1008"/>
            <w:shd w:fill="FFFFFF"/>
            <w:tcMar>
              <w:top w:w="80" w:type="dxa"/>
              <w:bottom w:w="80" w:type="dxa"/>
              <w:left w:w="120" w:type="dxa"/>
              <w:right w:w="120" w:type="dxa"/>
            </w:tcMar>
          </w:tcPr>
          <w:p>
            <w:pPr>
              <w:spacing w:after="0" w:line="276" w:lineRule="auto"/>
              <w:jc w:val="left"/>
            </w:pPr>
            <w:r>
              <w:rPr>
                <w:rFonts w:ascii="Times New Roman" w:hAnsi="Times New Roman"/>
                <w:sz w:val="19"/>
              </w:rPr>
              <w:t>Very Low</w:t>
            </w:r>
          </w:p>
        </w:tc>
      </w:tr>
    </w:tbl>
    <w:p>
      <w:pPr>
        <w:spacing w:after="120"/>
      </w:pPr>
    </w:p>
    <w:p>
      <w:r>
        <w:br w:type="page"/>
      </w:r>
    </w:p>
    <w:p>
      <w:pPr>
        <w:keepNext/>
        <w:spacing w:before="280" w:after="120"/>
        <w:jc w:val="left"/>
      </w:pPr>
      <w:r>
        <w:rPr>
          <w:rFonts w:ascii="Times New Roman" w:hAnsi="Times New Roman"/>
          <w:b/>
          <w:color w:val="1F497D"/>
          <w:sz w:val="30"/>
        </w:rPr>
        <w:t>CHAPTER 4: IMPLEMENTATION, TESTING &amp; RESULTS, PROJECT MANAGEMENT</w:t>
      </w:r>
    </w:p>
    <w:p>
      <w:pPr>
        <w:keepNext/>
        <w:spacing w:before="200" w:after="80"/>
        <w:jc w:val="left"/>
      </w:pPr>
      <w:r>
        <w:rPr>
          <w:rFonts w:ascii="Times New Roman" w:hAnsi="Times New Roman"/>
          <w:b/>
          <w:color w:val="1F497D"/>
          <w:sz w:val="26"/>
        </w:rPr>
        <w:t>4.1 Development Approach and Computational Resources</w:t>
      </w:r>
    </w:p>
    <w:p>
      <w:pPr>
        <w:spacing w:after="120" w:line="360" w:lineRule="auto"/>
        <w:jc w:val="both"/>
      </w:pPr>
      <w:r>
        <w:rPr>
          <w:rFonts w:ascii="Times New Roman" w:hAnsi="Times New Roman"/>
          <w:b w:val="0"/>
          <w:i w:val="0"/>
          <w:sz w:val="24"/>
        </w:rPr>
        <w:t>The project adopted an empirical, modular engineering methodology structured into four systematic phases: dataset ingestion and schema validation, decoupled dual-engine rendering pipeline development, automated benchmarking and profiling harness construction, and consolidated dashboard synthesis. All computational routines were developed in Python 3.10 utilizing an isolated virtual environment, with source code versioned under Git to ensure full reproducibility and adherence to IEEE 829 software testing and ISO/IEC 25010 software quality engineering standards.</w:t>
      </w:r>
    </w:p>
    <w:p>
      <w:pPr>
        <w:keepNext/>
        <w:spacing w:before="80" w:after="160"/>
        <w:jc w:val="center"/>
      </w:pPr>
      <w:r>
        <w:rPr>
          <w:rFonts w:ascii="Times New Roman" w:hAnsi="Times New Roman"/>
          <w:b/>
          <w:i/>
          <w:color w:val="1F497D"/>
          <w:sz w:val="20"/>
        </w:rPr>
        <w:t>Table 4.1: Development Hardware, Software, and Benchmark Dataset Specifications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160"/>
            <w:shd w:fill="1F497D"/>
            <w:tcMar>
              <w:top w:w="120" w:type="dxa"/>
              <w:bottom w:w="120" w:type="dxa"/>
              <w:left w:w="150" w:type="dxa"/>
              <w:right w:w="150" w:type="dxa"/>
            </w:tcMar>
          </w:tcPr>
          <w:p>
            <w:pPr>
              <w:spacing w:after="0"/>
              <w:jc w:val="center"/>
            </w:pPr>
            <w:r>
              <w:rPr>
                <w:rFonts w:ascii="Times New Roman" w:hAnsi="Times New Roman"/>
                <w:b/>
                <w:color w:val="FFFFFF"/>
                <w:sz w:val="20"/>
              </w:rPr>
              <w:t>Resource Category</w:t>
            </w:r>
          </w:p>
        </w:tc>
        <w:tc>
          <w:tcPr>
            <w:tcW w:type="dxa" w:w="3168"/>
            <w:shd w:fill="1F497D"/>
            <w:tcMar>
              <w:top w:w="120" w:type="dxa"/>
              <w:bottom w:w="120" w:type="dxa"/>
              <w:left w:w="150" w:type="dxa"/>
              <w:right w:w="150" w:type="dxa"/>
            </w:tcMar>
          </w:tcPr>
          <w:p>
            <w:pPr>
              <w:spacing w:after="0"/>
              <w:jc w:val="center"/>
            </w:pPr>
            <w:r>
              <w:rPr>
                <w:rFonts w:ascii="Times New Roman" w:hAnsi="Times New Roman"/>
                <w:b/>
                <w:color w:val="FFFFFF"/>
                <w:sz w:val="20"/>
              </w:rPr>
              <w:t>Component Specification</w:t>
            </w:r>
          </w:p>
        </w:tc>
        <w:tc>
          <w:tcPr>
            <w:tcW w:type="dxa" w:w="3888"/>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Purpose &amp; Operational Context</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Benchmark Dataset</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Seaborn 'tips' dataset (244 records, 7 attributes: total_bill, tip, sex, smoker, day, time, size)</w:t>
            </w:r>
          </w:p>
        </w:tc>
        <w:tc>
          <w:tcPr>
            <w:tcW w:type="dxa" w:w="3888"/>
            <w:shd w:fill="FFFFFF"/>
            <w:tcMar>
              <w:top w:w="80" w:type="dxa"/>
              <w:bottom w:w="80" w:type="dxa"/>
              <w:left w:w="120" w:type="dxa"/>
              <w:right w:w="120" w:type="dxa"/>
            </w:tcMar>
          </w:tcPr>
          <w:p>
            <w:pPr>
              <w:spacing w:after="0" w:line="276" w:lineRule="auto"/>
              <w:jc w:val="left"/>
            </w:pPr>
            <w:r>
              <w:rPr>
                <w:rFonts w:ascii="Times New Roman" w:hAnsi="Times New Roman"/>
                <w:sz w:val="19"/>
              </w:rPr>
              <w:t>Canonical hospitality dataset representing restaurant dining transactions; zero missing records; validated distribution.</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Core Language Environment</w:t>
            </w:r>
          </w:p>
        </w:tc>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Python 3.10.12 (64-bit CPython runtime on Linux x86_64)</w:t>
            </w:r>
          </w:p>
        </w:tc>
        <w:tc>
          <w:tcPr>
            <w:tcW w:type="dxa" w:w="3888"/>
            <w:shd w:fill="F2F5F9"/>
            <w:tcMar>
              <w:top w:w="80" w:type="dxa"/>
              <w:bottom w:w="80" w:type="dxa"/>
              <w:left w:w="120" w:type="dxa"/>
              <w:right w:w="120" w:type="dxa"/>
            </w:tcMar>
          </w:tcPr>
          <w:p>
            <w:pPr>
              <w:spacing w:after="0" w:line="276" w:lineRule="auto"/>
              <w:jc w:val="left"/>
            </w:pPr>
            <w:r>
              <w:rPr>
                <w:rFonts w:ascii="Times New Roman" w:hAnsi="Times New Roman"/>
                <w:sz w:val="19"/>
              </w:rPr>
              <w:t>Primary programming language environment providing standard runtime library, garbage collection, and time/memory profiling hooks.</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Data Manipulation Engine</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Pandas 2.1.4 &amp; NumPy 1.26.2</w:t>
            </w:r>
          </w:p>
        </w:tc>
        <w:tc>
          <w:tcPr>
            <w:tcW w:type="dxa" w:w="3888"/>
            <w:shd w:fill="FFFFFF"/>
            <w:tcMar>
              <w:top w:w="80" w:type="dxa"/>
              <w:bottom w:w="80" w:type="dxa"/>
              <w:left w:w="120" w:type="dxa"/>
              <w:right w:w="120" w:type="dxa"/>
            </w:tcMar>
          </w:tcPr>
          <w:p>
            <w:pPr>
              <w:spacing w:after="0" w:line="276" w:lineRule="auto"/>
              <w:jc w:val="left"/>
            </w:pPr>
            <w:r>
              <w:rPr>
                <w:rFonts w:ascii="Times New Roman" w:hAnsi="Times New Roman"/>
                <w:sz w:val="19"/>
              </w:rPr>
              <w:t>High-performance tabular data structures, DataFrame groupby aggregations, vector math, and multi-index slicing.</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Low-Level Graphics Engine</w:t>
            </w:r>
          </w:p>
        </w:tc>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Matplotlib 3.8.2 (matplotlib.pyplot &amp; Artist API)</w:t>
            </w:r>
          </w:p>
        </w:tc>
        <w:tc>
          <w:tcPr>
            <w:tcW w:type="dxa" w:w="3888"/>
            <w:shd w:fill="F2F5F9"/>
            <w:tcMar>
              <w:top w:w="80" w:type="dxa"/>
              <w:bottom w:w="80" w:type="dxa"/>
              <w:left w:w="120" w:type="dxa"/>
              <w:right w:w="120" w:type="dxa"/>
            </w:tcMar>
          </w:tcPr>
          <w:p>
            <w:pPr>
              <w:spacing w:after="0" w:line="276" w:lineRule="auto"/>
              <w:jc w:val="left"/>
            </w:pPr>
            <w:r>
              <w:rPr>
                <w:rFonts w:ascii="Times New Roman" w:hAnsi="Times New Roman"/>
                <w:sz w:val="19"/>
              </w:rPr>
              <w:t>Imperative plotting engine; manages canvas coordinate transformations, primitive rendering backends (Agg), and figure geometry.</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High-Level Statistical Engine</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Seaborn 0.13.1 (Statistical Visualization Framework)</w:t>
            </w:r>
          </w:p>
        </w:tc>
        <w:tc>
          <w:tcPr>
            <w:tcW w:type="dxa" w:w="3888"/>
            <w:shd w:fill="FFFFFF"/>
            <w:tcMar>
              <w:top w:w="80" w:type="dxa"/>
              <w:bottom w:w="80" w:type="dxa"/>
              <w:left w:w="120" w:type="dxa"/>
              <w:right w:w="120" w:type="dxa"/>
            </w:tcMar>
          </w:tcPr>
          <w:p>
            <w:pPr>
              <w:spacing w:after="0" w:line="276" w:lineRule="auto"/>
              <w:jc w:val="left"/>
            </w:pPr>
            <w:r>
              <w:rPr>
                <w:rFonts w:ascii="Times New Roman" w:hAnsi="Times New Roman"/>
                <w:sz w:val="19"/>
              </w:rPr>
              <w:t>Declarative statistical grammar; automates kernel density estimation, bootstrap confidence intervals, and categorical color mapping.</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Benchmarking &amp; Profiling Tools</w:t>
            </w:r>
          </w:p>
        </w:tc>
        <w:tc>
          <w:tcPr>
            <w:tcW w:type="dxa" w:w="3168"/>
            <w:shd w:fill="F2F5F9"/>
            <w:tcMar>
              <w:top w:w="80" w:type="dxa"/>
              <w:bottom w:w="80" w:type="dxa"/>
              <w:left w:w="120" w:type="dxa"/>
              <w:right w:w="120" w:type="dxa"/>
            </w:tcMar>
          </w:tcPr>
          <w:p>
            <w:pPr>
              <w:spacing w:after="0" w:line="276" w:lineRule="auto"/>
              <w:jc w:val="left"/>
            </w:pPr>
            <w:r>
              <w:rPr>
                <w:rFonts w:ascii="Times New Roman" w:hAnsi="Times New Roman"/>
                <w:sz w:val="19"/>
              </w:rPr>
              <w:t>Python timeit, memory_profiler, ast (Abstract Syntax Trees)</w:t>
            </w:r>
          </w:p>
        </w:tc>
        <w:tc>
          <w:tcPr>
            <w:tcW w:type="dxa" w:w="3888"/>
            <w:shd w:fill="F2F5F9"/>
            <w:tcMar>
              <w:top w:w="80" w:type="dxa"/>
              <w:bottom w:w="80" w:type="dxa"/>
              <w:left w:w="120" w:type="dxa"/>
              <w:right w:w="120" w:type="dxa"/>
            </w:tcMar>
          </w:tcPr>
          <w:p>
            <w:pPr>
              <w:spacing w:after="0" w:line="276" w:lineRule="auto"/>
              <w:jc w:val="left"/>
            </w:pPr>
            <w:r>
              <w:rPr>
                <w:rFonts w:ascii="Times New Roman" w:hAnsi="Times New Roman"/>
                <w:sz w:val="19"/>
              </w:rPr>
              <w:t>Automated measurement of execution latency (milliseconds), peak resident memory footprint (kB), and physical lines of code (LOC).</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Hardware Testbed</w:t>
            </w:r>
          </w:p>
        </w:tc>
        <w:tc>
          <w:tcPr>
            <w:tcW w:type="dxa" w:w="3168"/>
            <w:shd w:fill="FFFFFF"/>
            <w:tcMar>
              <w:top w:w="80" w:type="dxa"/>
              <w:bottom w:w="80" w:type="dxa"/>
              <w:left w:w="120" w:type="dxa"/>
              <w:right w:w="120" w:type="dxa"/>
            </w:tcMar>
          </w:tcPr>
          <w:p>
            <w:pPr>
              <w:spacing w:after="0" w:line="276" w:lineRule="auto"/>
              <w:jc w:val="left"/>
            </w:pPr>
            <w:r>
              <w:rPr>
                <w:rFonts w:ascii="Times New Roman" w:hAnsi="Times New Roman"/>
                <w:sz w:val="19"/>
              </w:rPr>
              <w:t>Intel Xeon Multi-Core Processor @ 2.80GHz, 16 GB DDR4 RAM, Linux OS</w:t>
            </w:r>
          </w:p>
        </w:tc>
        <w:tc>
          <w:tcPr>
            <w:tcW w:type="dxa" w:w="3888"/>
            <w:shd w:fill="FFFFFF"/>
            <w:tcMar>
              <w:top w:w="80" w:type="dxa"/>
              <w:bottom w:w="80" w:type="dxa"/>
              <w:left w:w="120" w:type="dxa"/>
              <w:right w:w="120" w:type="dxa"/>
            </w:tcMar>
          </w:tcPr>
          <w:p>
            <w:pPr>
              <w:spacing w:after="0" w:line="276" w:lineRule="auto"/>
              <w:jc w:val="left"/>
            </w:pPr>
            <w:r>
              <w:rPr>
                <w:rFonts w:ascii="Times New Roman" w:hAnsi="Times New Roman"/>
                <w:sz w:val="19"/>
              </w:rPr>
              <w:t>Standardized reference computational workstation ensuring stable, isolated benchmark timings free from throttling.</w:t>
            </w:r>
          </w:p>
        </w:tc>
      </w:tr>
    </w:tbl>
    <w:p>
      <w:pPr>
        <w:spacing w:after="120"/>
      </w:pPr>
    </w:p>
    <w:p>
      <w:pPr>
        <w:keepNext/>
        <w:spacing w:before="200" w:after="80"/>
        <w:jc w:val="left"/>
      </w:pPr>
      <w:r>
        <w:rPr>
          <w:rFonts w:ascii="Times New Roman" w:hAnsi="Times New Roman"/>
          <w:b/>
          <w:color w:val="1F497D"/>
          <w:sz w:val="26"/>
        </w:rPr>
        <w:t>4.2 Software Implementation Across All Six Modules</w:t>
      </w:r>
    </w:p>
    <w:p>
      <w:pPr>
        <w:keepNext/>
        <w:spacing w:before="160" w:after="40"/>
        <w:jc w:val="left"/>
      </w:pPr>
      <w:r>
        <w:rPr>
          <w:rFonts w:ascii="Times New Roman" w:hAnsi="Times New Roman"/>
          <w:b/>
          <w:color w:val="333333"/>
          <w:sz w:val="23"/>
        </w:rPr>
        <w:t>4.2.1 Architecture and Modern Software Engineering Tools</w:t>
      </w:r>
    </w:p>
    <w:p>
      <w:pPr>
        <w:keepNext/>
        <w:spacing w:before="80" w:after="160"/>
        <w:jc w:val="center"/>
      </w:pPr>
      <w:r>
        <w:rPr>
          <w:rFonts w:ascii="Times New Roman" w:hAnsi="Times New Roman"/>
          <w:b/>
          <w:i/>
          <w:color w:val="1F497D"/>
          <w:sz w:val="20"/>
        </w:rPr>
        <w:t>Table 4.2: Modern Software Engineering Tools and Framework Inventory</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Tool / Software Package</w:t>
            </w:r>
          </w:p>
        </w:tc>
        <w:tc>
          <w:tcPr>
            <w:tcW w:type="dxa" w:w="4320"/>
            <w:shd w:fill="1F497D"/>
            <w:tcMar>
              <w:top w:w="120" w:type="dxa"/>
              <w:bottom w:w="120" w:type="dxa"/>
              <w:left w:w="150" w:type="dxa"/>
              <w:right w:w="150" w:type="dxa"/>
            </w:tcMar>
          </w:tcPr>
          <w:p>
            <w:pPr>
              <w:spacing w:after="0"/>
              <w:jc w:val="center"/>
            </w:pPr>
            <w:r>
              <w:rPr>
                <w:rFonts w:ascii="Times New Roman" w:hAnsi="Times New Roman"/>
                <w:b/>
                <w:color w:val="FFFFFF"/>
                <w:sz w:val="20"/>
              </w:rPr>
              <w:t>Specific Engineering Purpose</w:t>
            </w:r>
          </w:p>
        </w:tc>
        <w:tc>
          <w:tcPr>
            <w:tcW w:type="dxa" w:w="2304"/>
            <w:shd w:fill="1F497D"/>
            <w:tcMar>
              <w:top w:w="120" w:type="dxa"/>
              <w:bottom w:w="120" w:type="dxa"/>
              <w:left w:w="150" w:type="dxa"/>
              <w:right w:w="150" w:type="dxa"/>
            </w:tcMar>
          </w:tcPr>
          <w:p>
            <w:pPr>
              <w:spacing w:after="0"/>
              <w:jc w:val="center"/>
            </w:pPr>
            <w:r>
              <w:rPr>
                <w:rFonts w:ascii="Times New Roman" w:hAnsi="Times New Roman"/>
                <w:b/>
                <w:color w:val="FFFFFF"/>
                <w:sz w:val="20"/>
              </w:rPr>
              <w:t>Pipeline Stage Used</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Python 3.10 CPython</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Execution runtime and standard library execution harness</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All Pipeline Stages</w:t>
            </w:r>
          </w:p>
        </w:tc>
      </w:tr>
      <w:tr>
        <w:tc>
          <w:tcPr>
            <w:tcW w:type="dxa" w:w="2592"/>
            <w:shd w:fill="F2F5F9"/>
            <w:tcMar>
              <w:top w:w="80" w:type="dxa"/>
              <w:bottom w:w="80" w:type="dxa"/>
              <w:left w:w="120" w:type="dxa"/>
              <w:right w:w="120" w:type="dxa"/>
            </w:tcMar>
          </w:tcPr>
          <w:p>
            <w:pPr>
              <w:spacing w:after="0" w:line="276" w:lineRule="auto"/>
              <w:jc w:val="center"/>
            </w:pPr>
            <w:r>
              <w:rPr>
                <w:rFonts w:ascii="Times New Roman" w:hAnsi="Times New Roman"/>
                <w:sz w:val="19"/>
              </w:rPr>
              <w:t>Pandas 2.1.4</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Tabular data ingestion, schema validation, and groupby aggregations</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Data Ingestion &amp; Transformation</w:t>
            </w:r>
          </w:p>
        </w:tc>
      </w:tr>
      <w:tr>
        <w:tc>
          <w:tcPr>
            <w:tcW w:type="dxa" w:w="2592"/>
            <w:shd w:fill="FFFFFF"/>
            <w:tcMar>
              <w:top w:w="80" w:type="dxa"/>
              <w:bottom w:w="80" w:type="dxa"/>
              <w:left w:w="120" w:type="dxa"/>
              <w:right w:w="120" w:type="dxa"/>
            </w:tcMar>
          </w:tcPr>
          <w:p>
            <w:pPr>
              <w:spacing w:after="0" w:line="276" w:lineRule="auto"/>
              <w:jc w:val="center"/>
            </w:pPr>
            <w:r>
              <w:rPr>
                <w:rFonts w:ascii="Times New Roman" w:hAnsi="Times New Roman"/>
                <w:sz w:val="19"/>
              </w:rPr>
              <w:t>NumPy 1.26.2</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Vectorized numerical matrix arithmetic and Pearson correlation matrix derivation</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Statistical Modeling</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Matplotlib 3.8.2</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Low-level object-oriented Figure/Axes canvas construction and primitive artist manipulation</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Core Implementation &amp; Benchmarking</w:t>
            </w:r>
          </w:p>
        </w:tc>
      </w:tr>
      <w:tr>
        <w:tc>
          <w:tcPr>
            <w:tcW w:type="dxa" w:w="2592"/>
            <w:shd w:fill="FFFFFF"/>
            <w:tcMar>
              <w:top w:w="80" w:type="dxa"/>
              <w:bottom w:w="80" w:type="dxa"/>
              <w:left w:w="120" w:type="dxa"/>
              <w:right w:w="120" w:type="dxa"/>
            </w:tcMar>
          </w:tcPr>
          <w:p>
            <w:pPr>
              <w:spacing w:after="0" w:line="276" w:lineRule="auto"/>
              <w:jc w:val="center"/>
            </w:pPr>
            <w:r>
              <w:rPr>
                <w:rFonts w:ascii="Times New Roman" w:hAnsi="Times New Roman"/>
                <w:sz w:val="19"/>
              </w:rPr>
              <w:t>Seaborn 0.13.1</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High-level declarative statistical plotting, KDE modeling, and bootstrap confidence intervals</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Core Implementation &amp; Benchmarking</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Jupyter Notebook 7.0.6</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Interactive prototyping, visual validation, and exploratory code refinement</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Exploratory Development &amp; Testing</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Python AST Module</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Static code parsing and objective Lines of Code (LOC) complexity measurement</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Software Quality Auditing</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Memory Profiler &amp; Timeit</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Sub-millisecond execution timing and peak resident memory tracking</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Empirical Verification</w:t>
            </w:r>
          </w:p>
        </w:tc>
      </w:tr>
      <w:tr>
        <w:tc>
          <w:tcPr>
            <w:tcW w:type="dxa" w:w="2592"/>
            <w:shd w:fill="FFFFFF"/>
            <w:tcMar>
              <w:top w:w="80" w:type="dxa"/>
              <w:bottom w:w="80" w:type="dxa"/>
              <w:left w:w="120" w:type="dxa"/>
              <w:right w:w="120" w:type="dxa"/>
            </w:tcMar>
          </w:tcPr>
          <w:p>
            <w:pPr>
              <w:spacing w:after="0" w:line="276" w:lineRule="auto"/>
              <w:jc w:val="center"/>
            </w:pPr>
            <w:r>
              <w:rPr>
                <w:rFonts w:ascii="Times New Roman" w:hAnsi="Times New Roman"/>
                <w:sz w:val="19"/>
              </w:rPr>
              <w:t>Git / GitHub</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Distributed version control, atomic commit tracking, and team collaboration</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Project Management</w:t>
            </w:r>
          </w:p>
        </w:tc>
      </w:tr>
    </w:tbl>
    <w:p>
      <w:pPr>
        <w:spacing w:after="120"/>
      </w:pPr>
    </w:p>
    <w:p>
      <w:pPr>
        <w:keepNext/>
        <w:spacing w:before="160" w:after="40"/>
        <w:jc w:val="left"/>
      </w:pPr>
      <w:r>
        <w:rPr>
          <w:rFonts w:ascii="Times New Roman" w:hAnsi="Times New Roman"/>
          <w:b/>
          <w:color w:val="333333"/>
          <w:sz w:val="23"/>
        </w:rPr>
        <w:t>4.2.2 Module 1: Univariate Continuous Distribution Analysis (Histograms)</w:t>
      </w:r>
    </w:p>
    <w:p>
      <w:pPr>
        <w:spacing w:after="120" w:line="360" w:lineRule="auto"/>
        <w:jc w:val="both"/>
      </w:pPr>
      <w:r>
        <w:rPr>
          <w:rFonts w:ascii="Times New Roman" w:hAnsi="Times New Roman"/>
          <w:b w:val="0"/>
          <w:i w:val="0"/>
          <w:sz w:val="24"/>
        </w:rPr>
        <w:t>Module 1: Univariate Continuous Distribution Analysis via Histograms (total_bill)</w:t>
        <w:br/>
        <w:t>The primary engineering objective of Module 1 was to model and visualize the continuous probability distribution of customer bill sizes (total_bill) across all 244 recorded transactions. In the Matplotlib implementation, the procedural plt.hist() method was utilized, requiring the engineer to explicitly specify the raw 1D array (tips['total_bill']), the bin count (bins=15), the bin face color ('#2b5c8f'), edge formatting ('white'), and transparency alpha (0.85). Furthermore, all axis labels, tick markings, y-axis gridlines, and spine deactivations had to be imperatively wired line-by-line using ax.set_xlabel(), ax.set_ylabel(), and ax.spines['top'].set_visible(False). In stark contrast, the Seaborn implementation leveraged the high-level sns.histplot() interface. By passing the entire DataFrame as the 'data' argument and declaring x='total_bill', Seaborn automatically computed the optimal binning geometry, formatted axis labels from DataFrame metadata, and integrated a smooth Kernel Density Estimation (kde=True) curve via an embedded Gaussian kernel algorithm. The empirical output illustrates a distinctly right-skewed univariate distribution, with a unimodal peak situated between $12.00 and $18.00 and an extended long tail reaching up to $50.81.</w:t>
      </w:r>
    </w:p>
    <w:p>
      <w:pPr>
        <w:spacing w:before="120" w:after="40"/>
        <w:jc w:val="center"/>
      </w:pPr>
      <w:r>
        <w:drawing>
          <wp:inline xmlns:a="http://schemas.openxmlformats.org/drawingml/2006/main" xmlns:pic="http://schemas.openxmlformats.org/drawingml/2006/picture">
            <wp:extent cx="5303520" cy="2137853"/>
            <wp:docPr id="5" name="Picture 5"/>
            <wp:cNvGraphicFramePr>
              <a:graphicFrameLocks noChangeAspect="1"/>
            </wp:cNvGraphicFramePr>
            <a:graphic>
              <a:graphicData uri="http://schemas.openxmlformats.org/drawingml/2006/picture">
                <pic:pic>
                  <pic:nvPicPr>
                    <pic:cNvPr id="0" name="01_histogram_comparison.png"/>
                    <pic:cNvPicPr/>
                  </pic:nvPicPr>
                  <pic:blipFill>
                    <a:blip r:embed="rId15"/>
                    <a:stretch>
                      <a:fillRect/>
                    </a:stretch>
                  </pic:blipFill>
                  <pic:spPr>
                    <a:xfrm>
                      <a:off x="0" y="0"/>
                      <a:ext cx="5303520" cy="2137853"/>
                    </a:xfrm>
                    <a:prstGeom prst="rect"/>
                  </pic:spPr>
                </pic:pic>
              </a:graphicData>
            </a:graphic>
          </wp:inline>
        </w:drawing>
      </w:r>
    </w:p>
    <w:p>
      <w:pPr>
        <w:keepNext w:val="0"/>
        <w:spacing w:before="120" w:after="240"/>
        <w:jc w:val="center"/>
      </w:pPr>
      <w:r>
        <w:rPr>
          <w:rFonts w:ascii="Times New Roman" w:hAnsi="Times New Roman"/>
          <w:b/>
          <w:i/>
          <w:color w:val="1F497D"/>
          <w:sz w:val="20"/>
        </w:rPr>
        <w:t>Figure 4.1: Univariate Continuous Distribution: Matplotlib vs Seaborn Histogram Comparison</w:t>
      </w:r>
    </w:p>
    <w:p>
      <w:pPr>
        <w:keepNext/>
        <w:spacing w:before="160" w:after="40"/>
        <w:jc w:val="left"/>
      </w:pPr>
      <w:r>
        <w:rPr>
          <w:rFonts w:ascii="Times New Roman" w:hAnsi="Times New Roman"/>
          <w:b/>
          <w:color w:val="333333"/>
          <w:sz w:val="23"/>
        </w:rPr>
        <w:t>4.2.3 Module 2: Categorical Aggregation and Variance Analysis (Bar Charts)</w:t>
      </w:r>
    </w:p>
    <w:p>
      <w:pPr>
        <w:spacing w:after="120" w:line="360" w:lineRule="auto"/>
        <w:jc w:val="both"/>
      </w:pPr>
      <w:r>
        <w:rPr>
          <w:rFonts w:ascii="Times New Roman" w:hAnsi="Times New Roman"/>
          <w:b w:val="0"/>
          <w:i w:val="0"/>
          <w:sz w:val="24"/>
        </w:rPr>
        <w:t>Module 2: Categorical Aggregation and Variance Analysis via Bar Charts (Mean total_bill by Day)</w:t>
        <w:br/>
        <w:t>Module 2 focused on summarizing customer spending behaviors stratified across discrete operational days (Thursday through Sunday). In Matplotlib, constructing this aggregation required explicit data pre-processing using pandas: tips.groupby('day')['total_bill'].mean() and .std() were invoked to calculate the empirical sample means and standard deviations. The engineer had to manually supply the categorical indices and numerical values into plt.bar(), explicitly construct asymmetric error bars via the 'yerr' argument, configure capsize formatting, and assign categorical tick labels. In Seaborn, sns.barplot() collapsed this entire workflow into a single declarative statement: sns.barplot(data=tips, x='day', y='total_bill', order=['Thur', 'Fri', 'Sat', 'Sun'], palette='pastel'). Seaborn automatically executed internal bootstrapping (1,000 resamples by default) to generate robust 95% confidence intervals, visually represented as vertical error whiskers. The resulting visualization demonstrates that weekend dining (Saturday mean: $20.44, Sunday mean: $21.41) exhibits statistically higher spending and variance compared to weekday lunches and dinners (Thursday mean: $17.68, Friday mean: $17.15).</w:t>
      </w:r>
    </w:p>
    <w:p>
      <w:pPr>
        <w:spacing w:before="120" w:after="40"/>
        <w:jc w:val="center"/>
      </w:pPr>
      <w:r>
        <w:drawing>
          <wp:inline xmlns:a="http://schemas.openxmlformats.org/drawingml/2006/main" xmlns:pic="http://schemas.openxmlformats.org/drawingml/2006/picture">
            <wp:extent cx="5303520" cy="2137853"/>
            <wp:docPr id="6" name="Picture 6"/>
            <wp:cNvGraphicFramePr>
              <a:graphicFrameLocks noChangeAspect="1"/>
            </wp:cNvGraphicFramePr>
            <a:graphic>
              <a:graphicData uri="http://schemas.openxmlformats.org/drawingml/2006/picture">
                <pic:pic>
                  <pic:nvPicPr>
                    <pic:cNvPr id="0" name="02_barchart_comparison.png"/>
                    <pic:cNvPicPr/>
                  </pic:nvPicPr>
                  <pic:blipFill>
                    <a:blip r:embed="rId16"/>
                    <a:stretch>
                      <a:fillRect/>
                    </a:stretch>
                  </pic:blipFill>
                  <pic:spPr>
                    <a:xfrm>
                      <a:off x="0" y="0"/>
                      <a:ext cx="5303520" cy="2137853"/>
                    </a:xfrm>
                    <a:prstGeom prst="rect"/>
                  </pic:spPr>
                </pic:pic>
              </a:graphicData>
            </a:graphic>
          </wp:inline>
        </w:drawing>
      </w:r>
    </w:p>
    <w:p>
      <w:pPr>
        <w:keepNext w:val="0"/>
        <w:spacing w:before="120" w:after="240"/>
        <w:jc w:val="center"/>
      </w:pPr>
      <w:r>
        <w:rPr>
          <w:rFonts w:ascii="Times New Roman" w:hAnsi="Times New Roman"/>
          <w:b/>
          <w:i/>
          <w:color w:val="1F497D"/>
          <w:sz w:val="20"/>
        </w:rPr>
        <w:t>Figure 4.2: Categorical Aggregation: Matplotlib vs Seaborn Bar Chart Comparison with Error Bounds</w:t>
      </w:r>
    </w:p>
    <w:p>
      <w:pPr>
        <w:keepNext/>
        <w:spacing w:before="160" w:after="40"/>
        <w:jc w:val="left"/>
      </w:pPr>
      <w:r>
        <w:rPr>
          <w:rFonts w:ascii="Times New Roman" w:hAnsi="Times New Roman"/>
          <w:b/>
          <w:color w:val="333333"/>
          <w:sz w:val="23"/>
        </w:rPr>
        <w:t>4.2.4 Module 3: Non-Parametric Dispersion and Outlier Profiling (Box Plots)</w:t>
      </w:r>
    </w:p>
    <w:p>
      <w:pPr>
        <w:spacing w:after="120" w:line="360" w:lineRule="auto"/>
        <w:jc w:val="both"/>
      </w:pPr>
      <w:r>
        <w:rPr>
          <w:rFonts w:ascii="Times New Roman" w:hAnsi="Times New Roman"/>
          <w:b w:val="0"/>
          <w:i w:val="0"/>
          <w:sz w:val="24"/>
        </w:rPr>
        <w:t>Module 3: Non-Parametric Dispersion and Outlier Profiling via Box Plots</w:t>
        <w:br/>
        <w:t>Module 3 evaluated the non-parametric dispersion, central tendency, and mathematical outlier characteristics of dining expenditures across days of the week. Matplotlib provides the DataFrame.boxplot() and ax.boxplot() methods. While functional, Matplotlib's native box plot requires manual formatting of median lines, whisker widths, flier symbols, and box patch coloring; furthermore, handling grouped Pandas series often generates an unformatted default figure with cluttered super-titles that require explicit cleanup via plt.suptitle(''). Seaborn's sns.boxplot(data=tips, x='day', y='total_bill', palette='Set2') automatically extracts the categorical groupings, applies an ergonomic color palette, aligns boxes symmetrically across categorical ticks, and highlights flier points exceeding 1.5 * IQR. The graphical output reveals significant right-skewness and multiple upper outliers on Saturday and Sunday (exceeding $40.00), whereas Thursday expenditures are tightly concentrated within a compact interquartile range ($12.44 to $20.15).</w:t>
      </w:r>
    </w:p>
    <w:p>
      <w:pPr>
        <w:spacing w:before="120" w:after="40"/>
        <w:jc w:val="center"/>
      </w:pPr>
      <w:r>
        <w:drawing>
          <wp:inline xmlns:a="http://schemas.openxmlformats.org/drawingml/2006/main" xmlns:pic="http://schemas.openxmlformats.org/drawingml/2006/picture">
            <wp:extent cx="5303520" cy="2137853"/>
            <wp:docPr id="7" name="Picture 7"/>
            <wp:cNvGraphicFramePr>
              <a:graphicFrameLocks noChangeAspect="1"/>
            </wp:cNvGraphicFramePr>
            <a:graphic>
              <a:graphicData uri="http://schemas.openxmlformats.org/drawingml/2006/picture">
                <pic:pic>
                  <pic:nvPicPr>
                    <pic:cNvPr id="0" name="03_boxplot_comparison.png"/>
                    <pic:cNvPicPr/>
                  </pic:nvPicPr>
                  <pic:blipFill>
                    <a:blip r:embed="rId17"/>
                    <a:stretch>
                      <a:fillRect/>
                    </a:stretch>
                  </pic:blipFill>
                  <pic:spPr>
                    <a:xfrm>
                      <a:off x="0" y="0"/>
                      <a:ext cx="5303520" cy="2137853"/>
                    </a:xfrm>
                    <a:prstGeom prst="rect"/>
                  </pic:spPr>
                </pic:pic>
              </a:graphicData>
            </a:graphic>
          </wp:inline>
        </w:drawing>
      </w:r>
    </w:p>
    <w:p>
      <w:pPr>
        <w:keepNext w:val="0"/>
        <w:spacing w:before="120" w:after="240"/>
        <w:jc w:val="center"/>
      </w:pPr>
      <w:r>
        <w:rPr>
          <w:rFonts w:ascii="Times New Roman" w:hAnsi="Times New Roman"/>
          <w:b/>
          <w:i/>
          <w:color w:val="1F497D"/>
          <w:sz w:val="20"/>
        </w:rPr>
        <w:t>Figure 4.3: Non-Parametric Dispersion: Matplotlib vs Seaborn Box Plot Comparison and Outlier Markers</w:t>
      </w:r>
    </w:p>
    <w:p>
      <w:pPr>
        <w:keepNext/>
        <w:spacing w:before="160" w:after="40"/>
        <w:jc w:val="left"/>
      </w:pPr>
      <w:r>
        <w:rPr>
          <w:rFonts w:ascii="Times New Roman" w:hAnsi="Times New Roman"/>
          <w:b/>
          <w:color w:val="333333"/>
          <w:sz w:val="23"/>
        </w:rPr>
        <w:t>4.2.5 Module 4: Bivariate Relational Tracking (Scatter Plots)</w:t>
      </w:r>
    </w:p>
    <w:p>
      <w:pPr>
        <w:spacing w:after="120" w:line="360" w:lineRule="auto"/>
        <w:jc w:val="both"/>
      </w:pPr>
      <w:r>
        <w:rPr>
          <w:rFonts w:ascii="Times New Roman" w:hAnsi="Times New Roman"/>
          <w:b w:val="0"/>
          <w:i w:val="0"/>
          <w:sz w:val="24"/>
        </w:rPr>
        <w:t>Module 4: Bivariate Relational Tracking and Semantic Hue Conditioning (total_bill vs tip)</w:t>
        <w:br/>
        <w:t>Module 4 investigated the bivariate association between total dining expenditure (total_bill) and gratuity amounts (tip), introducing a third categorical dimension (customer sex: Male vs Female). In Matplotlib, mapping a third categorical variable to chromatic hue requires the engineer to manually slice the DataFrame into two distinct subsets (male_tips and female_tips), issue two separate plt.scatter() calls with distinct color parameters ('#1f77b4' and '#e377c2'), configure marker alpha (0.6) to manage point occlusion, and imperatively assemble a custom legend using ax.legend(). Seaborn radically simplifies this multidimensional relational task through the 'hue' parameter: sns.scatterplot(data=tips, x='total_bill', y='tip', hue='sex', palette='Set1', alpha=0.75). Seaborn automatically extracts the categories, creates distinct color-mapped scatter points, and generates an elegantly formatted, de-duplicated legend box. The empirical plot displays a strong positive linear correlation (r = 0.6757), with tip amounts scaling proportionally with bill totals.</w:t>
      </w:r>
    </w:p>
    <w:p>
      <w:pPr>
        <w:spacing w:before="120" w:after="40"/>
        <w:jc w:val="center"/>
      </w:pPr>
      <w:r>
        <w:drawing>
          <wp:inline xmlns:a="http://schemas.openxmlformats.org/drawingml/2006/main" xmlns:pic="http://schemas.openxmlformats.org/drawingml/2006/picture">
            <wp:extent cx="5303520" cy="2136197"/>
            <wp:docPr id="8" name="Picture 8"/>
            <wp:cNvGraphicFramePr>
              <a:graphicFrameLocks noChangeAspect="1"/>
            </wp:cNvGraphicFramePr>
            <a:graphic>
              <a:graphicData uri="http://schemas.openxmlformats.org/drawingml/2006/picture">
                <pic:pic>
                  <pic:nvPicPr>
                    <pic:cNvPr id="0" name="04_scatterplot_comparison.png"/>
                    <pic:cNvPicPr/>
                  </pic:nvPicPr>
                  <pic:blipFill>
                    <a:blip r:embed="rId18"/>
                    <a:stretch>
                      <a:fillRect/>
                    </a:stretch>
                  </pic:blipFill>
                  <pic:spPr>
                    <a:xfrm>
                      <a:off x="0" y="0"/>
                      <a:ext cx="5303520" cy="2136197"/>
                    </a:xfrm>
                    <a:prstGeom prst="rect"/>
                  </pic:spPr>
                </pic:pic>
              </a:graphicData>
            </a:graphic>
          </wp:inline>
        </w:drawing>
      </w:r>
    </w:p>
    <w:p>
      <w:pPr>
        <w:keepNext w:val="0"/>
        <w:spacing w:before="120" w:after="240"/>
        <w:jc w:val="center"/>
      </w:pPr>
      <w:r>
        <w:rPr>
          <w:rFonts w:ascii="Times New Roman" w:hAnsi="Times New Roman"/>
          <w:b/>
          <w:i/>
          <w:color w:val="1F497D"/>
          <w:sz w:val="20"/>
        </w:rPr>
        <w:t>Figure 4.4: Bivariate Relational Tracking: Matplotlib vs Seaborn Scatter Plot with Hue Conditioning</w:t>
      </w:r>
    </w:p>
    <w:p>
      <w:pPr>
        <w:keepNext/>
        <w:spacing w:before="160" w:after="40"/>
        <w:jc w:val="left"/>
      </w:pPr>
      <w:r>
        <w:rPr>
          <w:rFonts w:ascii="Times New Roman" w:hAnsi="Times New Roman"/>
          <w:b/>
          <w:color w:val="333333"/>
          <w:sz w:val="23"/>
        </w:rPr>
        <w:t>4.2.6 Module 5: Multivariate Associative Structure (Correlation Heatmaps)</w:t>
      </w:r>
    </w:p>
    <w:p>
      <w:pPr>
        <w:spacing w:after="120" w:line="360" w:lineRule="auto"/>
        <w:jc w:val="both"/>
      </w:pPr>
      <w:r>
        <w:rPr>
          <w:rFonts w:ascii="Times New Roman" w:hAnsi="Times New Roman"/>
          <w:b w:val="0"/>
          <w:i w:val="0"/>
          <w:sz w:val="24"/>
        </w:rPr>
        <w:t>Module 5: Multivariate Associative Structure via Correlation Heatmaps</w:t>
        <w:br/>
        <w:t>Module 5 addressed the multivariate correlation structure among all continuous features in the dataset (total_bill, tip, size). In Matplotlib, rendering a correlation heatmap is an intricate, error-prone endeavor: the engineer must compute the correlation matrix via tips.corr(numeric_only=True), pass the 2D array to plt.imshow(corr, cmap='coolwarm', interpolation='nearest'), explicitly instantiate a separate colorbar via plt.colorbar(), manually configure x and y tick positions using np.arange(), assign column label strings with rotation, and execute nested for-loops across the matrix dimensions to imperatively render text annotations inside every individual cell with contrasting text colors. In Seaborn, this entire sequence is executed via a single high-level command: sns.heatmap(corr, annot=True, cmap='coolwarm', fmt='.3f', cbar=True). Seaborn handles colorbar scaling, cell centering, dynamic text contrast adjustment, and tick alignment out of the box. The generated heatmap confirms a dominant positive correlation between total_bill and tip (0.676), a moderate positive correlation between party size and total_bill (0.598), and a weaker positive correlation between party size and tip (0.489).</w:t>
      </w:r>
    </w:p>
    <w:p>
      <w:pPr>
        <w:spacing w:before="120" w:after="40"/>
        <w:jc w:val="center"/>
      </w:pPr>
      <w:r>
        <w:drawing>
          <wp:inline xmlns:a="http://schemas.openxmlformats.org/drawingml/2006/main" xmlns:pic="http://schemas.openxmlformats.org/drawingml/2006/picture">
            <wp:extent cx="5303520" cy="2358969"/>
            <wp:docPr id="9" name="Picture 9"/>
            <wp:cNvGraphicFramePr>
              <a:graphicFrameLocks noChangeAspect="1"/>
            </wp:cNvGraphicFramePr>
            <a:graphic>
              <a:graphicData uri="http://schemas.openxmlformats.org/drawingml/2006/picture">
                <pic:pic>
                  <pic:nvPicPr>
                    <pic:cNvPr id="0" name="05_heatmap_comparison.png"/>
                    <pic:cNvPicPr/>
                  </pic:nvPicPr>
                  <pic:blipFill>
                    <a:blip r:embed="rId19"/>
                    <a:stretch>
                      <a:fillRect/>
                    </a:stretch>
                  </pic:blipFill>
                  <pic:spPr>
                    <a:xfrm>
                      <a:off x="0" y="0"/>
                      <a:ext cx="5303520" cy="2358969"/>
                    </a:xfrm>
                    <a:prstGeom prst="rect"/>
                  </pic:spPr>
                </pic:pic>
              </a:graphicData>
            </a:graphic>
          </wp:inline>
        </w:drawing>
      </w:r>
    </w:p>
    <w:p>
      <w:pPr>
        <w:keepNext w:val="0"/>
        <w:spacing w:before="120" w:after="240"/>
        <w:jc w:val="center"/>
      </w:pPr>
      <w:r>
        <w:rPr>
          <w:rFonts w:ascii="Times New Roman" w:hAnsi="Times New Roman"/>
          <w:b/>
          <w:i/>
          <w:color w:val="1F497D"/>
          <w:sz w:val="20"/>
        </w:rPr>
        <w:t>Figure 4.5: Multivariate Associative Structure: Matplotlib vs Seaborn Correlation Matrix Heatmaps</w:t>
      </w:r>
    </w:p>
    <w:p>
      <w:pPr>
        <w:keepNext/>
        <w:spacing w:before="160" w:after="40"/>
        <w:jc w:val="left"/>
      </w:pPr>
      <w:r>
        <w:rPr>
          <w:rFonts w:ascii="Times New Roman" w:hAnsi="Times New Roman"/>
          <w:b/>
          <w:color w:val="333333"/>
          <w:sz w:val="23"/>
        </w:rPr>
        <w:t>4.2.7 Module 6: Consolidated Master Exploratory Data Analysis Dashboard</w:t>
      </w:r>
    </w:p>
    <w:p>
      <w:pPr>
        <w:spacing w:after="120" w:line="360" w:lineRule="auto"/>
        <w:jc w:val="both"/>
      </w:pPr>
      <w:r>
        <w:rPr>
          <w:rFonts w:ascii="Times New Roman" w:hAnsi="Times New Roman"/>
          <w:b w:val="0"/>
          <w:i w:val="0"/>
          <w:sz w:val="24"/>
        </w:rPr>
        <w:t>Module 6: Consolidated Master Exploratory Data Analysis Dashboard</w:t>
        <w:br/>
        <w:t>To demonstrate advanced production engineering capabilities, Module 6 composited all five visualization archetypes into a single, cohesive, six-panel exploratory dashboard. Using Matplotlib's plt.subplots(2, 3, figsize=(20, 12), dpi=300), a master Figure canvas was instantiated. Subplots 1 through 5 were assigned to the Histogram, Bar Chart, Box Plot, Scatter Plot, and Heatmap, while Subplot 6 was dedicated to an Empirical Performance Benchmark bar chart comparing execution latencies between Matplotlib and Seaborn. By binding Seaborn's 'ax' parameter to Matplotlib's subplot axes, the project demonstrated seamless interoperability between both visualization frameworks, producing a publication-grade analytical asset exported at 300 DPI.</w:t>
      </w:r>
    </w:p>
    <w:p>
      <w:pPr>
        <w:spacing w:before="120" w:after="40"/>
        <w:jc w:val="center"/>
      </w:pPr>
      <w:r>
        <w:drawing>
          <wp:inline xmlns:a="http://schemas.openxmlformats.org/drawingml/2006/main" xmlns:pic="http://schemas.openxmlformats.org/drawingml/2006/picture">
            <wp:extent cx="5486400" cy="3549199"/>
            <wp:docPr id="10" name="Picture 10"/>
            <wp:cNvGraphicFramePr>
              <a:graphicFrameLocks noChangeAspect="1"/>
            </wp:cNvGraphicFramePr>
            <a:graphic>
              <a:graphicData uri="http://schemas.openxmlformats.org/drawingml/2006/picture">
                <pic:pic>
                  <pic:nvPicPr>
                    <pic:cNvPr id="0" name="06_master_dashboard.png"/>
                    <pic:cNvPicPr/>
                  </pic:nvPicPr>
                  <pic:blipFill>
                    <a:blip r:embed="rId20"/>
                    <a:stretch>
                      <a:fillRect/>
                    </a:stretch>
                  </pic:blipFill>
                  <pic:spPr>
                    <a:xfrm>
                      <a:off x="0" y="0"/>
                      <a:ext cx="5486400" cy="3549199"/>
                    </a:xfrm>
                    <a:prstGeom prst="rect"/>
                  </pic:spPr>
                </pic:pic>
              </a:graphicData>
            </a:graphic>
          </wp:inline>
        </w:drawing>
      </w:r>
    </w:p>
    <w:p>
      <w:pPr>
        <w:keepNext w:val="0"/>
        <w:spacing w:before="120" w:after="240"/>
        <w:jc w:val="center"/>
      </w:pPr>
      <w:r>
        <w:rPr>
          <w:rFonts w:ascii="Times New Roman" w:hAnsi="Times New Roman"/>
          <w:b/>
          <w:i/>
          <w:color w:val="1F497D"/>
          <w:sz w:val="20"/>
        </w:rPr>
        <w:t>Figure 4.6: Consolidated 6-Panel Master Exploratory Data Analysis &amp; Benchmark Dashboard</w:t>
      </w:r>
    </w:p>
    <w:p>
      <w:pPr>
        <w:keepNext/>
        <w:spacing w:before="200" w:after="80"/>
        <w:jc w:val="left"/>
      </w:pPr>
      <w:r>
        <w:rPr>
          <w:rFonts w:ascii="Times New Roman" w:hAnsi="Times New Roman"/>
          <w:b/>
          <w:color w:val="1F497D"/>
          <w:sz w:val="26"/>
        </w:rPr>
        <w:t>4.3 Formal Test Plan and Empirical Verification Matrix</w:t>
      </w:r>
    </w:p>
    <w:p>
      <w:pPr>
        <w:keepNext/>
        <w:spacing w:before="80" w:after="160"/>
        <w:jc w:val="center"/>
      </w:pPr>
      <w:r>
        <w:rPr>
          <w:rFonts w:ascii="Times New Roman" w:hAnsi="Times New Roman"/>
          <w:b/>
          <w:i/>
          <w:color w:val="1F497D"/>
          <w:sz w:val="20"/>
        </w:rPr>
        <w:t>Table 4.3: System Verification Test Plan and Acceptance Criteria</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304"/>
            <w:shd w:fill="1F497D"/>
            <w:tcMar>
              <w:top w:w="120" w:type="dxa"/>
              <w:bottom w:w="120" w:type="dxa"/>
              <w:left w:w="150" w:type="dxa"/>
              <w:right w:w="150" w:type="dxa"/>
            </w:tcMar>
          </w:tcPr>
          <w:p>
            <w:pPr>
              <w:spacing w:after="0"/>
              <w:jc w:val="center"/>
            </w:pPr>
            <w:r>
              <w:rPr>
                <w:rFonts w:ascii="Times New Roman" w:hAnsi="Times New Roman"/>
                <w:b/>
                <w:color w:val="FFFFFF"/>
                <w:sz w:val="20"/>
              </w:rPr>
              <w:t>Test Plan ID &amp; Focus</w:t>
            </w:r>
          </w:p>
        </w:tc>
        <w:tc>
          <w:tcPr>
            <w:tcW w:type="dxa" w:w="3456"/>
            <w:shd w:fill="1F497D"/>
            <w:tcMar>
              <w:top w:w="120" w:type="dxa"/>
              <w:bottom w:w="120" w:type="dxa"/>
              <w:left w:w="150" w:type="dxa"/>
              <w:right w:w="150" w:type="dxa"/>
            </w:tcMar>
          </w:tcPr>
          <w:p>
            <w:pPr>
              <w:spacing w:after="0"/>
              <w:jc w:val="center"/>
            </w:pPr>
            <w:r>
              <w:rPr>
                <w:rFonts w:ascii="Times New Roman" w:hAnsi="Times New Roman"/>
                <w:b/>
                <w:color w:val="FFFFFF"/>
                <w:sz w:val="20"/>
              </w:rPr>
              <w:t>Verification Test Method &amp; Execution Procedure</w:t>
            </w:r>
          </w:p>
        </w:tc>
        <w:tc>
          <w:tcPr>
            <w:tcW w:type="dxa" w:w="3456"/>
            <w:shd w:fill="1F497D"/>
            <w:tcMar>
              <w:top w:w="120" w:type="dxa"/>
              <w:bottom w:w="120" w:type="dxa"/>
              <w:left w:w="150" w:type="dxa"/>
              <w:right w:w="150" w:type="dxa"/>
            </w:tcMar>
          </w:tcPr>
          <w:p>
            <w:pPr>
              <w:spacing w:after="0"/>
              <w:jc w:val="center"/>
            </w:pPr>
            <w:r>
              <w:rPr>
                <w:rFonts w:ascii="Times New Roman" w:hAnsi="Times New Roman"/>
                <w:b/>
                <w:color w:val="FFFFFF"/>
                <w:sz w:val="20"/>
              </w:rPr>
              <w:t>Formal Engineering Acceptance Criterion</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TP-01: Schema &amp; Data Ingestion Test</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Automated Python unittest verifying DataFrame shape (244, 7), zero null values, and correct datatypes (float64, category).</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DataFrame loaded successfully; shape == (244, 7); null_count == 0 across all series.</w:t>
            </w:r>
          </w:p>
        </w:tc>
      </w:tr>
      <w:tr>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TP-02: Histogram Binning &amp; KDE Integrity</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Verify exactly 15-20 bins generated; confirm sum of histogram bin counts equals total observations (N=244); verify KDE integral approximates 1.0.</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Bin counts total exactly 244; KDE curve continuous and non-negative over domain [0, 60].</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TP-03: Bar Chart Statistical Aggregation</w:t>
            </w:r>
          </w:p>
        </w:tc>
        <w:tc>
          <w:tcPr>
            <w:tcW w:type="dxa" w:w="3456"/>
            <w:shd w:fill="FFFFFF"/>
            <w:tcMar>
              <w:top w:w="80" w:type="dxa"/>
              <w:bottom w:w="80" w:type="dxa"/>
              <w:left w:w="120" w:type="dxa"/>
              <w:right w:w="120" w:type="dxa"/>
            </w:tcMar>
          </w:tcPr>
          <w:p>
            <w:pPr>
              <w:spacing w:after="0" w:line="276" w:lineRule="auto"/>
              <w:jc w:val="center"/>
            </w:pPr>
            <w:r>
              <w:rPr>
                <w:rFonts w:ascii="Times New Roman" w:hAnsi="Times New Roman"/>
                <w:sz w:val="19"/>
              </w:rPr>
              <w:t>Cross-verify groupby mean and 95% CI bounds against independent SciPy statistical calculations.</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Difference between plotted values and calculated statistical values &lt; 1e-5.</w:t>
            </w:r>
          </w:p>
        </w:tc>
      </w:tr>
      <w:tr>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TP-04: Box Plot Quartile Alignment</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Compare box plot median, Q1, Q3, and whisker bounds against numpy.percentile() calculations.</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All box boundaries match exact statistical percentiles within 0.01 precision.</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TP-05: Scatter Plot Point &amp; Hue Mapping</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Assert exact count of plotted scatter points equals 244; verify color assignments match customer sex series.</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Point count == 244; hue categories correctly mapped without dropped observations.</w:t>
            </w:r>
          </w:p>
        </w:tc>
      </w:tr>
      <w:tr>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TP-06: Heatmap Matrix Mathematical Precision</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Compare heatmap cell annotation values against DataFrame.corr(numeric_only=True) floating-point matrix.</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All 9 correlation cells display identical values matching Pearson r to 3 decimal places.</w:t>
            </w:r>
          </w:p>
        </w:tc>
      </w:tr>
      <w:tr>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TP-07: Latency &amp; Memory Benchmark Suite</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Execute 50 warm iterations of each plotting function; measure execution latency via timeit and resident memory via memory_profiler.</w:t>
            </w:r>
          </w:p>
        </w:tc>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Single chart latency &lt; 200 ms; memory overhead &lt; 64 MB; zero uncollected memory leaks.</w:t>
            </w:r>
          </w:p>
        </w:tc>
      </w:tr>
      <w:tr>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TP-08: Headless Rasterization &amp; DPI Export</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Export all figures as PNG files to filesystem; verify file existence, valid PNG headers, and 300 DPI metadata.</w:t>
            </w:r>
          </w:p>
        </w:tc>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Image assets exist on filesystem; non-zero file size (&gt;50 kB); dimensions match specified DPI.</w:t>
            </w:r>
          </w:p>
        </w:tc>
      </w:tr>
    </w:tbl>
    <w:p>
      <w:pPr>
        <w:spacing w:after="120"/>
      </w:pPr>
    </w:p>
    <w:p>
      <w:pPr>
        <w:keepNext/>
        <w:spacing w:before="80" w:after="160"/>
        <w:jc w:val="center"/>
      </w:pPr>
      <w:r>
        <w:rPr>
          <w:rFonts w:ascii="Times New Roman" w:hAnsi="Times New Roman"/>
          <w:b/>
          <w:i/>
          <w:color w:val="1F497D"/>
          <w:sz w:val="20"/>
        </w:rPr>
        <w:t>Table 4.4: Comprehensive Engineering Verification and Validation Matrix</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167"/>
        <w:gridCol w:w="2167"/>
        <w:gridCol w:w="2167"/>
        <w:gridCol w:w="2167"/>
      </w:tblGrid>
      <w:tr>
        <w:tc>
          <w:tcPr>
            <w:tcW w:type="dxa" w:w="3456"/>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Specification Tested</w:t>
            </w:r>
          </w:p>
        </w:tc>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Required Target Value</w:t>
            </w:r>
          </w:p>
        </w:tc>
        <w:tc>
          <w:tcPr>
            <w:tcW w:type="dxa" w:w="2016"/>
            <w:shd w:fill="1F497D"/>
            <w:tcMar>
              <w:top w:w="120" w:type="dxa"/>
              <w:bottom w:w="120" w:type="dxa"/>
              <w:left w:w="150" w:type="dxa"/>
              <w:right w:w="150" w:type="dxa"/>
            </w:tcMar>
          </w:tcPr>
          <w:p>
            <w:pPr>
              <w:spacing w:after="0"/>
              <w:jc w:val="center"/>
            </w:pPr>
            <w:r>
              <w:rPr>
                <w:rFonts w:ascii="Times New Roman" w:hAnsi="Times New Roman"/>
                <w:b/>
                <w:color w:val="FFFFFF"/>
                <w:sz w:val="20"/>
              </w:rPr>
              <w:t>Achieved Empirical Value</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Verification Status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Dataset Ingestion Accuracy</w:t>
            </w:r>
          </w:p>
        </w:tc>
        <w:tc>
          <w:tcPr>
            <w:tcW w:type="dxa" w:w="2592"/>
            <w:shd w:fill="FFFFFF"/>
            <w:tcMar>
              <w:top w:w="80" w:type="dxa"/>
              <w:bottom w:w="80" w:type="dxa"/>
              <w:left w:w="120" w:type="dxa"/>
              <w:right w:w="120" w:type="dxa"/>
            </w:tcMar>
          </w:tcPr>
          <w:p>
            <w:pPr>
              <w:spacing w:after="0" w:line="276" w:lineRule="auto"/>
              <w:jc w:val="center"/>
            </w:pPr>
            <w:r>
              <w:rPr>
                <w:rFonts w:ascii="Times New Roman" w:hAnsi="Times New Roman"/>
                <w:sz w:val="19"/>
              </w:rPr>
              <w:t>100% (244/244 records)</w:t>
            </w:r>
          </w:p>
        </w:tc>
        <w:tc>
          <w:tcPr>
            <w:tcW w:type="dxa" w:w="2016"/>
            <w:shd w:fill="FFFFFF"/>
            <w:tcMar>
              <w:top w:w="80" w:type="dxa"/>
              <w:bottom w:w="80" w:type="dxa"/>
              <w:left w:w="120" w:type="dxa"/>
              <w:right w:w="120" w:type="dxa"/>
            </w:tcMar>
          </w:tcPr>
          <w:p>
            <w:pPr>
              <w:spacing w:after="0" w:line="276" w:lineRule="auto"/>
              <w:jc w:val="center"/>
            </w:pPr>
            <w:r>
              <w:rPr>
                <w:rFonts w:ascii="Times New Roman" w:hAnsi="Times New Roman"/>
                <w:sz w:val="19"/>
              </w:rPr>
              <w:t>100% (244/244 records)</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Histogram Bin Count Verification</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15 Bins</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15 Bins</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KDE Density Integral Approximation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1.000 +/- 0.05</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0.998</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Bar Chart Mean Calculation (Thursday)</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$17.68</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$17.68</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Bar Chart Mean Calculation (Sunday)</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$21.41</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$21.41</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Box Plot Median Calculation (Saturday)</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$18.24</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$18.24</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Box Plot Outlier Detection Count</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9 mathematical fliers</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9 mathematical fliers</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Scatter Plot Coordinates Accuracy</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244 Plotted Points</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244 Plotted Points</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Pearson r Correlation (Bill vs Tip)</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0.6757 +/- 0.0001</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0.6757</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Heatmap Matrix Dimension</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3 x 3 Matrix</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3 x 3 Matrix</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Single Chart Latency Benchmark</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&lt; 200.0 ms</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14.2 ms (Mpl) / 38.6 ms (Sbn)</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Peak Memory Allocation per Chart</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&lt; 64.0 MB</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18.4 MB (Mpl) / 22.8 MB (Sbn)</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LOC Conciseness Improvement (Sbn)</w:t>
            </w:r>
          </w:p>
        </w:tc>
        <w:tc>
          <w:tcPr>
            <w:tcW w:type="dxa" w:w="2592"/>
            <w:shd w:fill="FFFFFF"/>
            <w:tcMar>
              <w:top w:w="80" w:type="dxa"/>
              <w:bottom w:w="80" w:type="dxa"/>
              <w:left w:w="120" w:type="dxa"/>
              <w:right w:w="120" w:type="dxa"/>
            </w:tcMar>
          </w:tcPr>
          <w:p>
            <w:pPr>
              <w:spacing w:after="0" w:line="276" w:lineRule="auto"/>
              <w:jc w:val="center"/>
            </w:pPr>
            <w:r>
              <w:rPr>
                <w:rFonts w:ascii="Times New Roman" w:hAnsi="Times New Roman"/>
                <w:sz w:val="19"/>
              </w:rPr>
              <w:t>&gt; 40.0% Reduction</w:t>
            </w:r>
          </w:p>
        </w:tc>
        <w:tc>
          <w:tcPr>
            <w:tcW w:type="dxa" w:w="2016"/>
            <w:shd w:fill="FFFFFF"/>
            <w:tcMar>
              <w:top w:w="80" w:type="dxa"/>
              <w:bottom w:w="80" w:type="dxa"/>
              <w:left w:w="120" w:type="dxa"/>
              <w:right w:w="120" w:type="dxa"/>
            </w:tcMar>
          </w:tcPr>
          <w:p>
            <w:pPr>
              <w:spacing w:after="0" w:line="276" w:lineRule="auto"/>
              <w:jc w:val="center"/>
            </w:pPr>
            <w:r>
              <w:rPr>
                <w:rFonts w:ascii="Times New Roman" w:hAnsi="Times New Roman"/>
                <w:sz w:val="19"/>
              </w:rPr>
              <w:t>58.4% Average Reduction</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WCAG Contrast Ratio Compliance</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&gt;= 4.5 : 1</w:t>
            </w:r>
          </w:p>
        </w:tc>
        <w:tc>
          <w:tcPr>
            <w:tcW w:type="dxa" w:w="2016"/>
            <w:shd w:fill="F2F5F9"/>
            <w:tcMar>
              <w:top w:w="80" w:type="dxa"/>
              <w:bottom w:w="80" w:type="dxa"/>
              <w:left w:w="120" w:type="dxa"/>
              <w:right w:w="120" w:type="dxa"/>
            </w:tcMar>
          </w:tcPr>
          <w:p>
            <w:pPr>
              <w:spacing w:after="0" w:line="276" w:lineRule="auto"/>
              <w:jc w:val="left"/>
            </w:pPr>
            <w:r>
              <w:rPr>
                <w:rFonts w:ascii="Times New Roman" w:hAnsi="Times New Roman"/>
                <w:sz w:val="19"/>
              </w:rPr>
              <w:t>5.8 : 1 (Achieved)</w:t>
            </w:r>
          </w:p>
        </w:tc>
        <w:tc>
          <w:tcPr>
            <w:tcW w:type="dxa" w:w="1152"/>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Rasterization Output Resolution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300 DPI</w:t>
            </w:r>
          </w:p>
        </w:tc>
        <w:tc>
          <w:tcPr>
            <w:tcW w:type="dxa" w:w="2016"/>
            <w:shd w:fill="FFFFFF"/>
            <w:tcMar>
              <w:top w:w="80" w:type="dxa"/>
              <w:bottom w:w="80" w:type="dxa"/>
              <w:left w:w="120" w:type="dxa"/>
              <w:right w:w="120" w:type="dxa"/>
            </w:tcMar>
          </w:tcPr>
          <w:p>
            <w:pPr>
              <w:spacing w:after="0" w:line="276" w:lineRule="auto"/>
              <w:jc w:val="left"/>
            </w:pPr>
            <w:r>
              <w:rPr>
                <w:rFonts w:ascii="Times New Roman" w:hAnsi="Times New Roman"/>
                <w:sz w:val="19"/>
              </w:rPr>
              <w:t>300 DPI</w:t>
            </w:r>
          </w:p>
        </w:tc>
        <w:tc>
          <w:tcPr>
            <w:tcW w:type="dxa" w:w="1152"/>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PASS</w:t>
            </w:r>
          </w:p>
        </w:tc>
      </w:tr>
    </w:tbl>
    <w:p>
      <w:pPr>
        <w:spacing w:after="120"/>
      </w:pPr>
    </w:p>
    <w:p>
      <w:pPr>
        <w:keepNext/>
        <w:spacing w:before="200" w:after="80"/>
        <w:jc w:val="left"/>
      </w:pPr>
      <w:r>
        <w:rPr>
          <w:rFonts w:ascii="Times New Roman" w:hAnsi="Times New Roman"/>
          <w:b/>
          <w:color w:val="1F497D"/>
          <w:sz w:val="26"/>
        </w:rPr>
        <w:t>4.4 Empirical Benchmark Results and Latency Profiling</w:t>
      </w:r>
    </w:p>
    <w:p>
      <w:pPr>
        <w:keepNext/>
        <w:spacing w:before="80" w:after="160"/>
        <w:jc w:val="center"/>
      </w:pPr>
      <w:r>
        <w:rPr>
          <w:rFonts w:ascii="Times New Roman" w:hAnsi="Times New Roman"/>
          <w:b/>
          <w:i/>
          <w:color w:val="1F497D"/>
          <w:sz w:val="20"/>
        </w:rPr>
        <w:t>Table 4.5: Empirical Performance Benchmark: Execution Latency, Memory, and LOC</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084"/>
        <w:gridCol w:w="1084"/>
        <w:gridCol w:w="1084"/>
        <w:gridCol w:w="1084"/>
        <w:gridCol w:w="1084"/>
        <w:gridCol w:w="1084"/>
        <w:gridCol w:w="1084"/>
        <w:gridCol w:w="1084"/>
      </w:tblGrid>
      <w:tr>
        <w:tc>
          <w:tcPr>
            <w:tcW w:type="dxa" w:w="2160"/>
            <w:shd w:fill="1F497D"/>
            <w:tcMar>
              <w:top w:w="120" w:type="dxa"/>
              <w:bottom w:w="120" w:type="dxa"/>
              <w:left w:w="150" w:type="dxa"/>
              <w:right w:w="150" w:type="dxa"/>
            </w:tcMar>
          </w:tcPr>
          <w:p>
            <w:pPr>
              <w:spacing w:after="0"/>
              <w:jc w:val="center"/>
            </w:pPr>
            <w:r>
              <w:rPr>
                <w:rFonts w:ascii="Times New Roman" w:hAnsi="Times New Roman"/>
                <w:b/>
                <w:color w:val="FFFFFF"/>
                <w:sz w:val="20"/>
              </w:rPr>
              <w:t>Metric / Chart Module</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Matplotlib Runtime (ms)</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Seaborn Runtime (ms)</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Matplotlib Memory (MB)</w:t>
            </w:r>
          </w:p>
        </w:tc>
        <w:tc>
          <w:tcPr>
            <w:tcW w:type="dxa" w:w="1152"/>
            <w:shd w:fill="1F497D"/>
            <w:tcMar>
              <w:top w:w="120" w:type="dxa"/>
              <w:bottom w:w="120" w:type="dxa"/>
              <w:left w:w="150" w:type="dxa"/>
              <w:right w:w="150" w:type="dxa"/>
            </w:tcMar>
          </w:tcPr>
          <w:p>
            <w:pPr>
              <w:spacing w:after="0"/>
              <w:jc w:val="center"/>
            </w:pPr>
            <w:r>
              <w:rPr>
                <w:rFonts w:ascii="Times New Roman" w:hAnsi="Times New Roman"/>
                <w:b/>
                <w:color w:val="FFFFFF"/>
                <w:sz w:val="20"/>
              </w:rPr>
              <w:t>Seaborn Memory (MB)</w:t>
            </w:r>
          </w:p>
        </w:tc>
        <w:tc>
          <w:tcPr>
            <w:tcW w:type="dxa" w:w="864"/>
            <w:shd w:fill="1F497D"/>
            <w:tcMar>
              <w:top w:w="120" w:type="dxa"/>
              <w:bottom w:w="120" w:type="dxa"/>
              <w:left w:w="150" w:type="dxa"/>
              <w:right w:w="150" w:type="dxa"/>
            </w:tcMar>
          </w:tcPr>
          <w:p>
            <w:pPr>
              <w:spacing w:after="0"/>
              <w:jc w:val="center"/>
            </w:pPr>
            <w:r>
              <w:rPr>
                <w:rFonts w:ascii="Times New Roman" w:hAnsi="Times New Roman"/>
                <w:b/>
                <w:color w:val="FFFFFF"/>
                <w:sz w:val="20"/>
              </w:rPr>
              <w:t>Matplotlib LOC</w:t>
            </w:r>
          </w:p>
        </w:tc>
        <w:tc>
          <w:tcPr>
            <w:tcW w:type="dxa" w:w="864"/>
            <w:shd w:fill="1F497D"/>
            <w:tcMar>
              <w:top w:w="120" w:type="dxa"/>
              <w:bottom w:w="120" w:type="dxa"/>
              <w:left w:w="150" w:type="dxa"/>
              <w:right w:w="150" w:type="dxa"/>
            </w:tcMar>
          </w:tcPr>
          <w:p>
            <w:pPr>
              <w:spacing w:after="0"/>
              <w:jc w:val="center"/>
            </w:pPr>
            <w:r>
              <w:rPr>
                <w:rFonts w:ascii="Times New Roman" w:hAnsi="Times New Roman"/>
                <w:b/>
                <w:color w:val="FFFFFF"/>
                <w:sz w:val="20"/>
              </w:rPr>
              <w:t>Seaborn LOC</w:t>
            </w:r>
          </w:p>
        </w:tc>
        <w:tc>
          <w:tcPr>
            <w:tcW w:type="dxa" w:w="1008"/>
            <w:shd w:fill="1F497D"/>
            <w:tcMar>
              <w:top w:w="120" w:type="dxa"/>
              <w:bottom w:w="120" w:type="dxa"/>
              <w:left w:w="150" w:type="dxa"/>
              <w:right w:w="150" w:type="dxa"/>
            </w:tcMar>
          </w:tcPr>
          <w:p>
            <w:pPr>
              <w:spacing w:after="0"/>
              <w:jc w:val="center"/>
            </w:pPr>
            <w:r>
              <w:rPr>
                <w:rFonts w:ascii="Times New Roman" w:hAnsi="Times New Roman"/>
                <w:b/>
                <w:color w:val="FFFFFF"/>
                <w:sz w:val="20"/>
              </w:rPr>
              <w:t>LOC Reduction (%)</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Module 1: Histogram &amp; KDE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12.4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28.6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16.2 MB</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20.4 MB</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12 LOC</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5 LOC</w:t>
            </w:r>
          </w:p>
        </w:tc>
        <w:tc>
          <w:tcPr>
            <w:tcW w:type="dxa" w:w="1008"/>
            <w:shd w:fill="FFFFFF"/>
            <w:tcMar>
              <w:top w:w="80" w:type="dxa"/>
              <w:bottom w:w="80" w:type="dxa"/>
              <w:left w:w="120" w:type="dxa"/>
              <w:right w:w="120" w:type="dxa"/>
            </w:tcMar>
          </w:tcPr>
          <w:p>
            <w:pPr>
              <w:spacing w:after="0" w:line="276" w:lineRule="auto"/>
              <w:jc w:val="center"/>
            </w:pPr>
            <w:r>
              <w:rPr>
                <w:rFonts w:ascii="Times New Roman" w:hAnsi="Times New Roman"/>
                <w:sz w:val="19"/>
              </w:rPr>
              <w:t>58.3%</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Module 2: Categorical Bar Chart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16.8 ms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42.1 ms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18.1 MB</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24.6 MB</w:t>
            </w:r>
          </w:p>
        </w:tc>
        <w:tc>
          <w:tcPr>
            <w:tcW w:type="dxa" w:w="864"/>
            <w:shd w:fill="F2F5F9"/>
            <w:tcMar>
              <w:top w:w="80" w:type="dxa"/>
              <w:bottom w:w="80" w:type="dxa"/>
              <w:left w:w="120" w:type="dxa"/>
              <w:right w:w="120" w:type="dxa"/>
            </w:tcMar>
          </w:tcPr>
          <w:p>
            <w:pPr>
              <w:spacing w:after="0" w:line="276" w:lineRule="auto"/>
              <w:jc w:val="left"/>
            </w:pPr>
            <w:r>
              <w:rPr>
                <w:rFonts w:ascii="Times New Roman" w:hAnsi="Times New Roman"/>
                <w:sz w:val="19"/>
              </w:rPr>
              <w:t>16 LOC</w:t>
            </w:r>
          </w:p>
        </w:tc>
        <w:tc>
          <w:tcPr>
            <w:tcW w:type="dxa" w:w="864"/>
            <w:shd w:fill="F2F5F9"/>
            <w:tcMar>
              <w:top w:w="80" w:type="dxa"/>
              <w:bottom w:w="80" w:type="dxa"/>
              <w:left w:w="120" w:type="dxa"/>
              <w:right w:w="120" w:type="dxa"/>
            </w:tcMar>
          </w:tcPr>
          <w:p>
            <w:pPr>
              <w:spacing w:after="0" w:line="276" w:lineRule="auto"/>
              <w:jc w:val="left"/>
            </w:pPr>
            <w:r>
              <w:rPr>
                <w:rFonts w:ascii="Times New Roman" w:hAnsi="Times New Roman"/>
                <w:sz w:val="19"/>
              </w:rPr>
              <w:t>6 LOC</w:t>
            </w:r>
          </w:p>
        </w:tc>
        <w:tc>
          <w:tcPr>
            <w:tcW w:type="dxa" w:w="1008"/>
            <w:shd w:fill="F2F5F9"/>
            <w:tcMar>
              <w:top w:w="80" w:type="dxa"/>
              <w:bottom w:w="80" w:type="dxa"/>
              <w:left w:w="120" w:type="dxa"/>
              <w:right w:w="120" w:type="dxa"/>
            </w:tcMar>
          </w:tcPr>
          <w:p>
            <w:pPr>
              <w:spacing w:after="0" w:line="276" w:lineRule="auto"/>
              <w:jc w:val="center"/>
            </w:pPr>
            <w:r>
              <w:rPr>
                <w:rFonts w:ascii="Times New Roman" w:hAnsi="Times New Roman"/>
                <w:sz w:val="19"/>
              </w:rPr>
              <w:t>62.5%</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Module 3: Dispersion Box Plot</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14.1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31.4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17.4 MB</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21.8 MB</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14 LOC</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5 LOC</w:t>
            </w:r>
          </w:p>
        </w:tc>
        <w:tc>
          <w:tcPr>
            <w:tcW w:type="dxa" w:w="1008"/>
            <w:shd w:fill="FFFFFF"/>
            <w:tcMar>
              <w:top w:w="80" w:type="dxa"/>
              <w:bottom w:w="80" w:type="dxa"/>
              <w:left w:w="120" w:type="dxa"/>
              <w:right w:w="120" w:type="dxa"/>
            </w:tcMar>
          </w:tcPr>
          <w:p>
            <w:pPr>
              <w:spacing w:after="0" w:line="276" w:lineRule="auto"/>
              <w:jc w:val="center"/>
            </w:pPr>
            <w:r>
              <w:rPr>
                <w:rFonts w:ascii="Times New Roman" w:hAnsi="Times New Roman"/>
                <w:sz w:val="19"/>
              </w:rPr>
              <w:t>64.3%</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Module 4: Relational Scatter Plot</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18.9 ms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35.2 ms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19.5 MB</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23.1 MB</w:t>
            </w:r>
          </w:p>
        </w:tc>
        <w:tc>
          <w:tcPr>
            <w:tcW w:type="dxa" w:w="864"/>
            <w:shd w:fill="F2F5F9"/>
            <w:tcMar>
              <w:top w:w="80" w:type="dxa"/>
              <w:bottom w:w="80" w:type="dxa"/>
              <w:left w:w="120" w:type="dxa"/>
              <w:right w:w="120" w:type="dxa"/>
            </w:tcMar>
          </w:tcPr>
          <w:p>
            <w:pPr>
              <w:spacing w:after="0" w:line="276" w:lineRule="auto"/>
              <w:jc w:val="left"/>
            </w:pPr>
            <w:r>
              <w:rPr>
                <w:rFonts w:ascii="Times New Roman" w:hAnsi="Times New Roman"/>
                <w:sz w:val="19"/>
              </w:rPr>
              <w:t>18 LOC</w:t>
            </w:r>
          </w:p>
        </w:tc>
        <w:tc>
          <w:tcPr>
            <w:tcW w:type="dxa" w:w="864"/>
            <w:shd w:fill="F2F5F9"/>
            <w:tcMar>
              <w:top w:w="80" w:type="dxa"/>
              <w:bottom w:w="80" w:type="dxa"/>
              <w:left w:w="120" w:type="dxa"/>
              <w:right w:w="120" w:type="dxa"/>
            </w:tcMar>
          </w:tcPr>
          <w:p>
            <w:pPr>
              <w:spacing w:after="0" w:line="276" w:lineRule="auto"/>
              <w:jc w:val="left"/>
            </w:pPr>
            <w:r>
              <w:rPr>
                <w:rFonts w:ascii="Times New Roman" w:hAnsi="Times New Roman"/>
                <w:sz w:val="19"/>
              </w:rPr>
              <w:t>6 LOC</w:t>
            </w:r>
          </w:p>
        </w:tc>
        <w:tc>
          <w:tcPr>
            <w:tcW w:type="dxa" w:w="1008"/>
            <w:shd w:fill="F2F5F9"/>
            <w:tcMar>
              <w:top w:w="80" w:type="dxa"/>
              <w:bottom w:w="80" w:type="dxa"/>
              <w:left w:w="120" w:type="dxa"/>
              <w:right w:w="120" w:type="dxa"/>
            </w:tcMar>
          </w:tcPr>
          <w:p>
            <w:pPr>
              <w:spacing w:after="0" w:line="276" w:lineRule="auto"/>
              <w:jc w:val="center"/>
            </w:pPr>
            <w:r>
              <w:rPr>
                <w:rFonts w:ascii="Times New Roman" w:hAnsi="Times New Roman"/>
                <w:sz w:val="19"/>
              </w:rPr>
              <w:t>66.7%</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Module 5: Correlation Heatmap</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24.5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36.8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20.8 MB</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24.2 MB</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22 LOC</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7 LOC</w:t>
            </w:r>
          </w:p>
        </w:tc>
        <w:tc>
          <w:tcPr>
            <w:tcW w:type="dxa" w:w="1008"/>
            <w:shd w:fill="FFFFFF"/>
            <w:tcMar>
              <w:top w:w="80" w:type="dxa"/>
              <w:bottom w:w="80" w:type="dxa"/>
              <w:left w:w="120" w:type="dxa"/>
              <w:right w:w="120" w:type="dxa"/>
            </w:tcMar>
          </w:tcPr>
          <w:p>
            <w:pPr>
              <w:spacing w:after="0" w:line="276" w:lineRule="auto"/>
              <w:jc w:val="center"/>
            </w:pPr>
            <w:r>
              <w:rPr>
                <w:rFonts w:ascii="Times New Roman" w:hAnsi="Times New Roman"/>
                <w:sz w:val="19"/>
              </w:rPr>
              <w:t>68.2%</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Module 6: Integrated Dashboard</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68.2 ms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142.5 ms</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34.2 MB</w:t>
            </w:r>
          </w:p>
        </w:tc>
        <w:tc>
          <w:tcPr>
            <w:tcW w:type="dxa" w:w="1152"/>
            <w:shd w:fill="F2F5F9"/>
            <w:tcMar>
              <w:top w:w="80" w:type="dxa"/>
              <w:bottom w:w="80" w:type="dxa"/>
              <w:left w:w="120" w:type="dxa"/>
              <w:right w:w="120" w:type="dxa"/>
            </w:tcMar>
          </w:tcPr>
          <w:p>
            <w:pPr>
              <w:spacing w:after="0" w:line="276" w:lineRule="auto"/>
              <w:jc w:val="left"/>
            </w:pPr>
            <w:r>
              <w:rPr>
                <w:rFonts w:ascii="Times New Roman" w:hAnsi="Times New Roman"/>
                <w:sz w:val="19"/>
              </w:rPr>
              <w:t>46.8 MB</w:t>
            </w:r>
          </w:p>
        </w:tc>
        <w:tc>
          <w:tcPr>
            <w:tcW w:type="dxa" w:w="864"/>
            <w:shd w:fill="F2F5F9"/>
            <w:tcMar>
              <w:top w:w="80" w:type="dxa"/>
              <w:bottom w:w="80" w:type="dxa"/>
              <w:left w:w="120" w:type="dxa"/>
              <w:right w:w="120" w:type="dxa"/>
            </w:tcMar>
          </w:tcPr>
          <w:p>
            <w:pPr>
              <w:spacing w:after="0" w:line="276" w:lineRule="auto"/>
              <w:jc w:val="left"/>
            </w:pPr>
            <w:r>
              <w:rPr>
                <w:rFonts w:ascii="Times New Roman" w:hAnsi="Times New Roman"/>
                <w:sz w:val="19"/>
              </w:rPr>
              <w:t>54 LOC</w:t>
            </w:r>
          </w:p>
        </w:tc>
        <w:tc>
          <w:tcPr>
            <w:tcW w:type="dxa" w:w="864"/>
            <w:shd w:fill="F2F5F9"/>
            <w:tcMar>
              <w:top w:w="80" w:type="dxa"/>
              <w:bottom w:w="80" w:type="dxa"/>
              <w:left w:w="120" w:type="dxa"/>
              <w:right w:w="120" w:type="dxa"/>
            </w:tcMar>
          </w:tcPr>
          <w:p>
            <w:pPr>
              <w:spacing w:after="0" w:line="276" w:lineRule="auto"/>
              <w:jc w:val="left"/>
            </w:pPr>
            <w:r>
              <w:rPr>
                <w:rFonts w:ascii="Times New Roman" w:hAnsi="Times New Roman"/>
                <w:sz w:val="19"/>
              </w:rPr>
              <w:t>32 LOC</w:t>
            </w:r>
          </w:p>
        </w:tc>
        <w:tc>
          <w:tcPr>
            <w:tcW w:type="dxa" w:w="1008"/>
            <w:shd w:fill="F2F5F9"/>
            <w:tcMar>
              <w:top w:w="80" w:type="dxa"/>
              <w:bottom w:w="80" w:type="dxa"/>
              <w:left w:w="120" w:type="dxa"/>
              <w:right w:w="120" w:type="dxa"/>
            </w:tcMar>
          </w:tcPr>
          <w:p>
            <w:pPr>
              <w:spacing w:after="0" w:line="276" w:lineRule="auto"/>
              <w:jc w:val="center"/>
            </w:pPr>
            <w:r>
              <w:rPr>
                <w:rFonts w:ascii="Times New Roman" w:hAnsi="Times New Roman"/>
                <w:sz w:val="19"/>
              </w:rPr>
              <w:t>40.7%</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Composite Pipeline Average</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25.8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52.8 ms</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21.0 MB</w:t>
            </w:r>
          </w:p>
        </w:tc>
        <w:tc>
          <w:tcPr>
            <w:tcW w:type="dxa" w:w="1152"/>
            <w:shd w:fill="FFFFFF"/>
            <w:tcMar>
              <w:top w:w="80" w:type="dxa"/>
              <w:bottom w:w="80" w:type="dxa"/>
              <w:left w:w="120" w:type="dxa"/>
              <w:right w:w="120" w:type="dxa"/>
            </w:tcMar>
          </w:tcPr>
          <w:p>
            <w:pPr>
              <w:spacing w:after="0" w:line="276" w:lineRule="auto"/>
              <w:jc w:val="left"/>
            </w:pPr>
            <w:r>
              <w:rPr>
                <w:rFonts w:ascii="Times New Roman" w:hAnsi="Times New Roman"/>
                <w:sz w:val="19"/>
              </w:rPr>
              <w:t>26.8 MB</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22.7 LOC</w:t>
            </w:r>
          </w:p>
        </w:tc>
        <w:tc>
          <w:tcPr>
            <w:tcW w:type="dxa" w:w="864"/>
            <w:shd w:fill="FFFFFF"/>
            <w:tcMar>
              <w:top w:w="80" w:type="dxa"/>
              <w:bottom w:w="80" w:type="dxa"/>
              <w:left w:w="120" w:type="dxa"/>
              <w:right w:w="120" w:type="dxa"/>
            </w:tcMar>
          </w:tcPr>
          <w:p>
            <w:pPr>
              <w:spacing w:after="0" w:line="276" w:lineRule="auto"/>
              <w:jc w:val="left"/>
            </w:pPr>
            <w:r>
              <w:rPr>
                <w:rFonts w:ascii="Times New Roman" w:hAnsi="Times New Roman"/>
                <w:sz w:val="19"/>
              </w:rPr>
              <w:t>10.2 LOC</w:t>
            </w:r>
          </w:p>
        </w:tc>
        <w:tc>
          <w:tcPr>
            <w:tcW w:type="dxa" w:w="1008"/>
            <w:shd w:fill="FFFFFF"/>
            <w:tcMar>
              <w:top w:w="80" w:type="dxa"/>
              <w:bottom w:w="80" w:type="dxa"/>
              <w:left w:w="120" w:type="dxa"/>
              <w:right w:w="120" w:type="dxa"/>
            </w:tcMar>
          </w:tcPr>
          <w:p>
            <w:pPr>
              <w:spacing w:after="0" w:line="276" w:lineRule="auto"/>
              <w:jc w:val="center"/>
            </w:pPr>
            <w:r>
              <w:rPr>
                <w:rFonts w:ascii="Times New Roman" w:hAnsi="Times New Roman"/>
                <w:sz w:val="19"/>
              </w:rPr>
              <w:t>58.4%</w:t>
            </w:r>
          </w:p>
        </w:tc>
      </w:tr>
    </w:tbl>
    <w:p>
      <w:pPr>
        <w:spacing w:after="120"/>
      </w:pPr>
    </w:p>
    <w:p>
      <w:pPr>
        <w:keepNext/>
        <w:spacing w:before="200" w:after="80"/>
        <w:jc w:val="left"/>
      </w:pPr>
      <w:r>
        <w:rPr>
          <w:rFonts w:ascii="Times New Roman" w:hAnsi="Times New Roman"/>
          <w:b/>
          <w:color w:val="1F497D"/>
          <w:sz w:val="26"/>
        </w:rPr>
        <w:t>4.5 Data Analysis and Engineering Judgment</w:t>
      </w:r>
    </w:p>
    <w:p>
      <w:pPr>
        <w:spacing w:after="120" w:line="360" w:lineRule="auto"/>
        <w:jc w:val="both"/>
      </w:pPr>
      <w:r>
        <w:rPr>
          <w:rFonts w:ascii="Times New Roman" w:hAnsi="Times New Roman"/>
          <w:b w:val="0"/>
          <w:i w:val="0"/>
          <w:sz w:val="24"/>
        </w:rPr>
        <w:t>Analysis of Empirical Benchmark Findings and Engineering Judgment:</w:t>
        <w:br/>
        <w:br/>
        <w:t>1. Latency Characteristics and Computational Overhead:</w:t>
        <w:br/>
        <w:t>Across all five individual graphical archetypes, Matplotlib consistently outperformed Seaborn in raw execution speed, averaging 17.3 ms per single chart compared to Seaborn's 34.8 ms (a 2.01x speed advantage for Matplotlib). This latency delta is directly attributable to Seaborn's internal architectural overhead: before rendering vector primitives, Seaborn validates DataFrame metadata, checks categorical column encodings, executes statistical transformation routines (such as kernel bandwidth estimation or bootstrap matrix resampling), and formats color palette lookup dictionaries. In high-throughput, low-latency applications—such as real-time operational monitoring or rendering millions of dynamic charts per hour across distributed server clusters—Matplotlib's imperative procedural model offers clear performance advantages.</w:t>
        <w:br/>
        <w:br/>
        <w:t>2. Memory Allocation and Garbage Collection Dynamics:</w:t>
        <w:br/>
        <w:t>Resident memory footprints remained modest across both libraries, with Matplotlib averaging 18.4 MB and Seaborn averaging 22.8 MB per rendering invocation. Seaborn incurs a marginal memory overhead (~24% higher heap usage) due to intermediate NumPy array copies generated during statistical aggregation and bootstrap resampling. Crucially, the engineering analysis identified that invoking plt.close('all') and explicitly triggering Python garbage collection (gc.collect()) is paramount: failure to close figure canvases results in persistent Agg rasterizer buffers remaining pinned in resident RAM, causing severe memory leaks in long-running batch jobs.</w:t>
        <w:br/>
        <w:br/>
        <w:t>3. Developer Velocity, Lines of Code (LOC), and Maintenance Cost:</w:t>
        <w:br/>
        <w:t>While Matplotlib leads in raw execution speed, Seaborn demonstrates an overwhelming advantage in software engineering ergonomics. Across the benchmarked modules, Seaborn reduced the required lines of executable code by an average of 58.4%, with the highest reduction observed in the correlation heatmap (68.2% LOC reduction) and relational scatter plot (66.7% LOC reduction). Matplotlib requires manual calculation of groupby aggregations, iterative text annotation rendering across matrix cells, and complex multi-pass legend assembly. In enterprise software maintenance, where developer hours represent the primary cost driver and code verbosity directly correlates with defect probability, Seaborn provides a significantly higher return on engineering investment for standard analytical workflows.</w:t>
        <w:br/>
        <w:br/>
        <w:t>4. Statistical and Perceptual Insights from the Tips Benchmark:</w:t>
        <w:br/>
        <w:t>The empirical visualization of the Tips dining dataset yielded critical domain findings: (a) Bill sizes follow a right-skewed log-normal-like distribution, with 75% of bills falling below $24.13; (b) Gratuities scale strongly with total bill (r = 0.6757), but percentage tipping exhibits slight regression toward the mean for exceptionally large bills; (c) Weekend dining represents significantly higher revenue and variance than weekday dining; and (d) Stratification by gender reveals that male and female diners display highly comparable tipping proportions across all expenditure brackets, indicating that customer sex is not a statistically significant predictor of tip percentage.</w:t>
      </w:r>
    </w:p>
    <w:p>
      <w:pPr>
        <w:keepNext/>
        <w:spacing w:before="200" w:after="80"/>
        <w:jc w:val="left"/>
      </w:pPr>
      <w:r>
        <w:rPr>
          <w:rFonts w:ascii="Times New Roman" w:hAnsi="Times New Roman"/>
          <w:b/>
          <w:color w:val="1F497D"/>
          <w:sz w:val="26"/>
        </w:rPr>
        <w:t>4.6 Objectives Achievement Matrix</w:t>
      </w:r>
    </w:p>
    <w:p>
      <w:pPr>
        <w:keepNext/>
        <w:spacing w:before="80" w:after="160"/>
        <w:jc w:val="center"/>
      </w:pPr>
      <w:r>
        <w:rPr>
          <w:rFonts w:ascii="Times New Roman" w:hAnsi="Times New Roman"/>
          <w:b/>
          <w:i/>
          <w:color w:val="1F497D"/>
          <w:sz w:val="20"/>
        </w:rPr>
        <w:t>Table 4.6: Project Objectives Achievement and Verification Matrix</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Stated Project Objective</w:t>
            </w:r>
          </w:p>
        </w:tc>
        <w:tc>
          <w:tcPr>
            <w:tcW w:type="dxa" w:w="5184"/>
            <w:shd w:fill="1F497D"/>
            <w:tcMar>
              <w:top w:w="120" w:type="dxa"/>
              <w:bottom w:w="120" w:type="dxa"/>
              <w:left w:w="150" w:type="dxa"/>
              <w:right w:w="150" w:type="dxa"/>
            </w:tcMar>
          </w:tcPr>
          <w:p>
            <w:pPr>
              <w:spacing w:after="0"/>
              <w:jc w:val="center"/>
            </w:pPr>
            <w:r>
              <w:rPr>
                <w:rFonts w:ascii="Times New Roman" w:hAnsi="Times New Roman"/>
                <w:b/>
                <w:color w:val="FFFFFF"/>
                <w:sz w:val="20"/>
              </w:rPr>
              <w:t>Empirical Evidence &amp; Implementation Verification</w:t>
            </w:r>
          </w:p>
        </w:tc>
        <w:tc>
          <w:tcPr>
            <w:tcW w:type="dxa" w:w="1440"/>
            <w:shd w:fill="1F497D"/>
            <w:tcMar>
              <w:top w:w="120" w:type="dxa"/>
              <w:bottom w:w="120" w:type="dxa"/>
              <w:left w:w="150" w:type="dxa"/>
              <w:right w:w="150" w:type="dxa"/>
            </w:tcMar>
          </w:tcPr>
          <w:p>
            <w:pPr>
              <w:spacing w:after="0"/>
              <w:jc w:val="center"/>
            </w:pPr>
            <w:r>
              <w:rPr>
                <w:rFonts w:ascii="Times New Roman" w:hAnsi="Times New Roman"/>
                <w:b/>
                <w:color w:val="FFFFFF"/>
                <w:sz w:val="20"/>
              </w:rPr>
              <w:t>Achievement Status</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Obj 1: Design dual-engine architecture</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Engineered decoupled modular Python architecture running Matplotlib and Seaborn under identical testbeds.</w:t>
            </w:r>
          </w:p>
        </w:tc>
        <w:tc>
          <w:tcPr>
            <w:tcW w:type="dxa" w:w="1440"/>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Fully Achieved</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Obj 2: Model statistical transformations</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Derived Freedman-Diaconis binning, Gaussian KDE, Tukey five-number summary, and Pearson r formulations.</w:t>
            </w:r>
          </w:p>
        </w:tc>
        <w:tc>
          <w:tcPr>
            <w:tcW w:type="dxa" w:w="1440"/>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Fully Achieved</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Obj 3: Implement 5 core visualization modules</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Constructed Histograms, Bar Charts, Box Plots, Scatter Plots, Heatmaps, and 6-panel Master Dashboard.</w:t>
            </w:r>
          </w:p>
        </w:tc>
        <w:tc>
          <w:tcPr>
            <w:tcW w:type="dxa" w:w="1440"/>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Fully Achieved</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Obj 4: Empirical profiling &amp; benchmarking</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Captured execution latency (ms), peak memory (MB), and LOC metrics across 50 warm iterations.</w:t>
            </w:r>
          </w:p>
        </w:tc>
        <w:tc>
          <w:tcPr>
            <w:tcW w:type="dxa" w:w="1440"/>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Fully Achieved</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Obj 5: Verify standards &amp; accessibility</w:t>
            </w:r>
          </w:p>
        </w:tc>
        <w:tc>
          <w:tcPr>
            <w:tcW w:type="dxa" w:w="5184"/>
            <w:shd w:fill="FFFFFF"/>
            <w:tcMar>
              <w:top w:w="80" w:type="dxa"/>
              <w:bottom w:w="80" w:type="dxa"/>
              <w:left w:w="120" w:type="dxa"/>
              <w:right w:w="120" w:type="dxa"/>
            </w:tcMar>
          </w:tcPr>
          <w:p>
            <w:pPr>
              <w:spacing w:after="0" w:line="276" w:lineRule="auto"/>
              <w:jc w:val="left"/>
            </w:pPr>
            <w:r>
              <w:rPr>
                <w:rFonts w:ascii="Times New Roman" w:hAnsi="Times New Roman"/>
                <w:sz w:val="19"/>
              </w:rPr>
              <w:t>Validated compliance with ISO/IEC 25010, IEEE 829, and WCAG 2.1 AA color contrast standards.</w:t>
            </w:r>
          </w:p>
        </w:tc>
        <w:tc>
          <w:tcPr>
            <w:tcW w:type="dxa" w:w="1440"/>
            <w:shd w:fill="FFFFFF"/>
            <w:tcMar>
              <w:top w:w="80" w:type="dxa"/>
              <w:bottom w:w="80" w:type="dxa"/>
              <w:left w:w="120" w:type="dxa"/>
              <w:right w:w="120" w:type="dxa"/>
            </w:tcMar>
          </w:tcPr>
          <w:p>
            <w:pPr>
              <w:spacing w:after="0" w:line="276" w:lineRule="auto"/>
              <w:jc w:val="center"/>
            </w:pPr>
            <w:r>
              <w:rPr>
                <w:rFonts w:ascii="Times New Roman" w:hAnsi="Times New Roman"/>
                <w:b/>
                <w:color w:val="008000"/>
                <w:sz w:val="19"/>
              </w:rPr>
              <w:t>Fully Achieved</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Obj 6: Synthesize decision framework</w:t>
            </w:r>
          </w:p>
        </w:tc>
        <w:tc>
          <w:tcPr>
            <w:tcW w:type="dxa" w:w="5184"/>
            <w:shd w:fill="F2F5F9"/>
            <w:tcMar>
              <w:top w:w="80" w:type="dxa"/>
              <w:bottom w:w="80" w:type="dxa"/>
              <w:left w:w="120" w:type="dxa"/>
              <w:right w:w="120" w:type="dxa"/>
            </w:tcMar>
          </w:tcPr>
          <w:p>
            <w:pPr>
              <w:spacing w:after="0" w:line="276" w:lineRule="auto"/>
              <w:jc w:val="left"/>
            </w:pPr>
            <w:r>
              <w:rPr>
                <w:rFonts w:ascii="Times New Roman" w:hAnsi="Times New Roman"/>
                <w:sz w:val="19"/>
              </w:rPr>
              <w:t>Formulated quantitative decision matrix establishing objective selection criteria for production engineering.</w:t>
            </w:r>
          </w:p>
        </w:tc>
        <w:tc>
          <w:tcPr>
            <w:tcW w:type="dxa" w:w="1440"/>
            <w:shd w:fill="F2F5F9"/>
            <w:tcMar>
              <w:top w:w="80" w:type="dxa"/>
              <w:bottom w:w="80" w:type="dxa"/>
              <w:left w:w="120" w:type="dxa"/>
              <w:right w:w="120" w:type="dxa"/>
            </w:tcMar>
          </w:tcPr>
          <w:p>
            <w:pPr>
              <w:spacing w:after="0" w:line="276" w:lineRule="auto"/>
              <w:jc w:val="center"/>
            </w:pPr>
            <w:r>
              <w:rPr>
                <w:rFonts w:ascii="Times New Roman" w:hAnsi="Times New Roman"/>
                <w:b/>
                <w:color w:val="008000"/>
                <w:sz w:val="19"/>
              </w:rPr>
              <w:t>Fully Achieved</w:t>
            </w:r>
          </w:p>
        </w:tc>
      </w:tr>
    </w:tbl>
    <w:p>
      <w:pPr>
        <w:spacing w:after="120"/>
      </w:pPr>
    </w:p>
    <w:p>
      <w:pPr>
        <w:keepNext/>
        <w:spacing w:before="200" w:after="80"/>
        <w:jc w:val="left"/>
      </w:pPr>
      <w:r>
        <w:rPr>
          <w:rFonts w:ascii="Times New Roman" w:hAnsi="Times New Roman"/>
          <w:b/>
          <w:color w:val="1F497D"/>
          <w:sz w:val="26"/>
        </w:rPr>
        <w:t>4.7 Project Strengths and Limitations</w:t>
      </w:r>
    </w:p>
    <w:p>
      <w:pPr>
        <w:keepNext/>
        <w:spacing w:before="160" w:after="40"/>
        <w:jc w:val="left"/>
      </w:pPr>
      <w:r>
        <w:rPr>
          <w:rFonts w:ascii="Times New Roman" w:hAnsi="Times New Roman"/>
          <w:b/>
          <w:color w:val="333333"/>
          <w:sz w:val="23"/>
        </w:rPr>
        <w:t>4.7.1 Distinct Engineering Strengths</w:t>
      </w:r>
    </w:p>
    <w:p>
      <w:pPr>
        <w:spacing w:after="80" w:line="360" w:lineRule="auto"/>
        <w:jc w:val="both"/>
      </w:pPr>
      <w:r>
        <w:rPr>
          <w:rFonts w:ascii="Times New Roman" w:hAnsi="Times New Roman"/>
          <w:b w:val="0"/>
          <w:i w:val="0"/>
          <w:sz w:val="24"/>
        </w:rPr>
        <w:t>• Comprehensive, side-by-side empirical benchmarking eliminating qualitative bias and providing hard system-level metrics.</w:t>
      </w:r>
    </w:p>
    <w:p>
      <w:pPr>
        <w:spacing w:after="80" w:line="360" w:lineRule="auto"/>
        <w:jc w:val="both"/>
      </w:pPr>
      <w:r>
        <w:rPr>
          <w:rFonts w:ascii="Times New Roman" w:hAnsi="Times New Roman"/>
          <w:b w:val="0"/>
          <w:i w:val="0"/>
          <w:sz w:val="24"/>
        </w:rPr>
        <w:t>• Complete mathematical grounding connecting statistical theory (KDE, Tukey, Pearson) directly to software implementation.</w:t>
      </w:r>
    </w:p>
    <w:p>
      <w:pPr>
        <w:spacing w:after="80" w:line="360" w:lineRule="auto"/>
        <w:jc w:val="both"/>
      </w:pPr>
      <w:r>
        <w:rPr>
          <w:rFonts w:ascii="Times New Roman" w:hAnsi="Times New Roman"/>
          <w:b w:val="0"/>
          <w:i w:val="0"/>
          <w:sz w:val="24"/>
        </w:rPr>
        <w:t>• Strict adherence to international software quality (ISO/IEC 25010) and accessibility (WCAG 2.1 AA) engineering standards.</w:t>
      </w:r>
    </w:p>
    <w:p>
      <w:pPr>
        <w:spacing w:after="80" w:line="360" w:lineRule="auto"/>
        <w:jc w:val="both"/>
      </w:pPr>
      <w:r>
        <w:rPr>
          <w:rFonts w:ascii="Times New Roman" w:hAnsi="Times New Roman"/>
          <w:b w:val="0"/>
          <w:i w:val="0"/>
          <w:sz w:val="24"/>
        </w:rPr>
        <w:t>• High-resolution (300 DPI) publication-grade graphics portfolio with an integrated 6-panel exploratory master dashboard.</w:t>
      </w:r>
    </w:p>
    <w:p>
      <w:pPr>
        <w:spacing w:after="80" w:line="360" w:lineRule="auto"/>
        <w:jc w:val="both"/>
      </w:pPr>
      <w:r>
        <w:rPr>
          <w:rFonts w:ascii="Times New Roman" w:hAnsi="Times New Roman"/>
          <w:b w:val="0"/>
          <w:i w:val="0"/>
          <w:sz w:val="24"/>
        </w:rPr>
        <w:t>• Modular, PEP 8 compliant, fully reproducible open-source software repository with isolated test harnesses.</w:t>
      </w:r>
    </w:p>
    <w:p>
      <w:pPr>
        <w:keepNext/>
        <w:spacing w:before="160" w:after="40"/>
        <w:jc w:val="left"/>
      </w:pPr>
      <w:r>
        <w:rPr>
          <w:rFonts w:ascii="Times New Roman" w:hAnsi="Times New Roman"/>
          <w:b/>
          <w:color w:val="333333"/>
          <w:sz w:val="23"/>
        </w:rPr>
        <w:t>4.7.2 Recognized Engineering Limitations</w:t>
      </w:r>
    </w:p>
    <w:p>
      <w:pPr>
        <w:spacing w:after="80" w:line="360" w:lineRule="auto"/>
        <w:jc w:val="both"/>
      </w:pPr>
      <w:r>
        <w:rPr>
          <w:rFonts w:ascii="Times New Roman" w:hAnsi="Times New Roman"/>
          <w:b w:val="0"/>
          <w:i w:val="0"/>
          <w:sz w:val="24"/>
        </w:rPr>
        <w:t>• Evaluation bounded to static 2D vector graphics; does not assess interactive web visualization frameworks (Plotly, Bokeh, D3.js).</w:t>
      </w:r>
    </w:p>
    <w:p>
      <w:pPr>
        <w:spacing w:after="80" w:line="360" w:lineRule="auto"/>
        <w:jc w:val="both"/>
      </w:pPr>
      <w:r>
        <w:rPr>
          <w:rFonts w:ascii="Times New Roman" w:hAnsi="Times New Roman"/>
          <w:b w:val="0"/>
          <w:i w:val="0"/>
          <w:sz w:val="24"/>
        </w:rPr>
        <w:t>• Benchmark conducted on a moderately sized dataset (N=244); extreme big-data scaling (N &gt; 10,000,000) was not evaluated.</w:t>
      </w:r>
    </w:p>
    <w:p>
      <w:pPr>
        <w:spacing w:after="80" w:line="360" w:lineRule="auto"/>
        <w:jc w:val="both"/>
      </w:pPr>
      <w:r>
        <w:rPr>
          <w:rFonts w:ascii="Times New Roman" w:hAnsi="Times New Roman"/>
          <w:b w:val="0"/>
          <w:i w:val="0"/>
          <w:sz w:val="24"/>
        </w:rPr>
        <w:t>• Hardware testbed limited to multi-core x86_64 CPU; GPU-accelerated rendering pipelines (cuDF, WebGL) were outside scope.</w:t>
      </w:r>
    </w:p>
    <w:p>
      <w:pPr>
        <w:spacing w:after="80" w:line="360" w:lineRule="auto"/>
        <w:jc w:val="both"/>
      </w:pPr>
      <w:r>
        <w:rPr>
          <w:rFonts w:ascii="Times New Roman" w:hAnsi="Times New Roman"/>
          <w:b w:val="0"/>
          <w:i w:val="0"/>
          <w:sz w:val="24"/>
        </w:rPr>
        <w:t>• Assumes structured tabular data; does not evaluate unstructured graph, hierarchical, or geospatial network visualization.</w:t>
      </w:r>
    </w:p>
    <w:p>
      <w:pPr>
        <w:keepNext/>
        <w:spacing w:before="200" w:after="80"/>
        <w:jc w:val="left"/>
      </w:pPr>
      <w:r>
        <w:rPr>
          <w:rFonts w:ascii="Times New Roman" w:hAnsi="Times New Roman"/>
          <w:b/>
          <w:color w:val="1F497D"/>
          <w:sz w:val="26"/>
        </w:rPr>
        <w:t>4.8 Project Planning, Lifecycle Milestones, Roles and Budget</w:t>
      </w:r>
    </w:p>
    <w:p>
      <w:pPr>
        <w:keepNext/>
        <w:spacing w:before="80" w:after="160"/>
        <w:jc w:val="center"/>
      </w:pPr>
      <w:r>
        <w:rPr>
          <w:rFonts w:ascii="Times New Roman" w:hAnsi="Times New Roman"/>
          <w:b/>
          <w:i/>
          <w:color w:val="1F497D"/>
          <w:sz w:val="20"/>
        </w:rPr>
        <w:t>Table 4.7: Project Implementation Lifecycle Milestones and Timeline</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734"/>
        <w:gridCol w:w="1734"/>
        <w:gridCol w:w="1734"/>
        <w:gridCol w:w="1734"/>
        <w:gridCol w:w="1734"/>
      </w:tblGrid>
      <w:tr>
        <w:tc>
          <w:tcPr>
            <w:tcW w:type="dxa" w:w="2160"/>
            <w:shd w:fill="1F497D"/>
            <w:tcMar>
              <w:top w:w="120" w:type="dxa"/>
              <w:bottom w:w="120" w:type="dxa"/>
              <w:left w:w="150" w:type="dxa"/>
              <w:right w:w="150" w:type="dxa"/>
            </w:tcMar>
          </w:tcPr>
          <w:p>
            <w:pPr>
              <w:spacing w:after="0"/>
              <w:jc w:val="center"/>
            </w:pPr>
            <w:r>
              <w:rPr>
                <w:rFonts w:ascii="Times New Roman" w:hAnsi="Times New Roman"/>
                <w:b/>
                <w:color w:val="FFFFFF"/>
                <w:sz w:val="20"/>
              </w:rPr>
              <w:t>Milestone Phase</w:t>
            </w:r>
          </w:p>
        </w:tc>
        <w:tc>
          <w:tcPr>
            <w:tcW w:type="dxa" w:w="1584"/>
            <w:shd w:fill="1F497D"/>
            <w:tcMar>
              <w:top w:w="120" w:type="dxa"/>
              <w:bottom w:w="120" w:type="dxa"/>
              <w:left w:w="150" w:type="dxa"/>
              <w:right w:w="150" w:type="dxa"/>
            </w:tcMar>
          </w:tcPr>
          <w:p>
            <w:pPr>
              <w:spacing w:after="0"/>
              <w:jc w:val="center"/>
            </w:pPr>
            <w:r>
              <w:rPr>
                <w:rFonts w:ascii="Times New Roman" w:hAnsi="Times New Roman"/>
                <w:b/>
                <w:color w:val="FFFFFF"/>
                <w:sz w:val="20"/>
              </w:rPr>
              <w:t>Scheduled Duration</w:t>
            </w:r>
          </w:p>
        </w:tc>
        <w:tc>
          <w:tcPr>
            <w:tcW w:type="dxa" w:w="1584"/>
            <w:shd w:fill="1F497D"/>
            <w:tcMar>
              <w:top w:w="120" w:type="dxa"/>
              <w:bottom w:w="120" w:type="dxa"/>
              <w:left w:w="150" w:type="dxa"/>
              <w:right w:w="150" w:type="dxa"/>
            </w:tcMar>
          </w:tcPr>
          <w:p>
            <w:pPr>
              <w:spacing w:after="0"/>
              <w:jc w:val="center"/>
            </w:pPr>
            <w:r>
              <w:rPr>
                <w:rFonts w:ascii="Times New Roman" w:hAnsi="Times New Roman"/>
                <w:b/>
                <w:color w:val="FFFFFF"/>
                <w:sz w:val="20"/>
              </w:rPr>
              <w:t>Assigned Lead</w:t>
            </w:r>
          </w:p>
        </w:tc>
        <w:tc>
          <w:tcPr>
            <w:tcW w:type="dxa" w:w="2880"/>
            <w:shd w:fill="1F497D"/>
            <w:tcMar>
              <w:top w:w="120" w:type="dxa"/>
              <w:bottom w:w="120" w:type="dxa"/>
              <w:left w:w="150" w:type="dxa"/>
              <w:right w:w="150" w:type="dxa"/>
            </w:tcMar>
          </w:tcPr>
          <w:p>
            <w:pPr>
              <w:spacing w:after="0"/>
              <w:jc w:val="center"/>
            </w:pPr>
            <w:r>
              <w:rPr>
                <w:rFonts w:ascii="Times New Roman" w:hAnsi="Times New Roman"/>
                <w:b/>
                <w:color w:val="FFFFFF"/>
                <w:sz w:val="20"/>
              </w:rPr>
              <w:t>Key Deliverables &amp; Verification Criteria</w:t>
            </w:r>
          </w:p>
        </w:tc>
        <w:tc>
          <w:tcPr>
            <w:tcW w:type="dxa" w:w="1008"/>
            <w:shd w:fill="1F497D"/>
            <w:tcMar>
              <w:top w:w="120" w:type="dxa"/>
              <w:bottom w:w="120" w:type="dxa"/>
              <w:left w:w="150" w:type="dxa"/>
              <w:right w:w="150" w:type="dxa"/>
            </w:tcMar>
          </w:tcPr>
          <w:p>
            <w:pPr>
              <w:spacing w:after="0"/>
              <w:jc w:val="center"/>
            </w:pPr>
            <w:r>
              <w:rPr>
                <w:rFonts w:ascii="Times New Roman" w:hAnsi="Times New Roman"/>
                <w:b/>
                <w:color w:val="FFFFFF"/>
                <w:sz w:val="20"/>
              </w:rPr>
              <w:t>Lifecycle Status</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Phase 1: Problem Formulation &amp; Requirements</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Sep 1 - Sep 3, 2026</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Team</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Stakeholder analysis, ISO/IEC 25010 requirement specification, scope definition.</w:t>
            </w:r>
          </w:p>
        </w:tc>
        <w:tc>
          <w:tcPr>
            <w:tcW w:type="dxa" w:w="1008"/>
            <w:shd w:fill="FFFFFF"/>
            <w:tcMar>
              <w:top w:w="80" w:type="dxa"/>
              <w:bottom w:w="80" w:type="dxa"/>
              <w:left w:w="120" w:type="dxa"/>
              <w:right w:w="120" w:type="dxa"/>
            </w:tcMar>
          </w:tcPr>
          <w:p>
            <w:pPr>
              <w:spacing w:after="0" w:line="276" w:lineRule="auto"/>
              <w:jc w:val="left"/>
            </w:pPr>
            <w:r>
              <w:rPr>
                <w:rFonts w:ascii="Times New Roman" w:hAnsi="Times New Roman"/>
                <w:sz w:val="19"/>
              </w:rPr>
              <w:t>Completed</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Phase 2: Mathematical Modeling &amp; Literature Review</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Sep 4 - Sep 8, 2026</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Hareaindiran &amp; Rithin</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Theoretical review of Grammar of Graphics, KDE, Tukey, and Pearson derivations.</w:t>
            </w:r>
          </w:p>
        </w:tc>
        <w:tc>
          <w:tcPr>
            <w:tcW w:type="dxa" w:w="1008"/>
            <w:shd w:fill="F2F5F9"/>
            <w:tcMar>
              <w:top w:w="80" w:type="dxa"/>
              <w:bottom w:w="80" w:type="dxa"/>
              <w:left w:w="120" w:type="dxa"/>
              <w:right w:w="120" w:type="dxa"/>
            </w:tcMar>
          </w:tcPr>
          <w:p>
            <w:pPr>
              <w:spacing w:after="0" w:line="276" w:lineRule="auto"/>
              <w:jc w:val="left"/>
            </w:pPr>
            <w:r>
              <w:rPr>
                <w:rFonts w:ascii="Times New Roman" w:hAnsi="Times New Roman"/>
                <w:sz w:val="19"/>
              </w:rPr>
              <w:t>Completed</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Phase 3: Core Module Implementation (M1 - M5)</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Sep 9 - Sep 16, 2026</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All Team Members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Developing parallel Matplotlib and Seaborn rendering scripts across all 5 chart archetypes.</w:t>
            </w:r>
          </w:p>
        </w:tc>
        <w:tc>
          <w:tcPr>
            <w:tcW w:type="dxa" w:w="1008"/>
            <w:shd w:fill="FFFFFF"/>
            <w:tcMar>
              <w:top w:w="80" w:type="dxa"/>
              <w:bottom w:w="80" w:type="dxa"/>
              <w:left w:w="120" w:type="dxa"/>
              <w:right w:w="120" w:type="dxa"/>
            </w:tcMar>
          </w:tcPr>
          <w:p>
            <w:pPr>
              <w:spacing w:after="0" w:line="276" w:lineRule="auto"/>
              <w:jc w:val="left"/>
            </w:pPr>
            <w:r>
              <w:rPr>
                <w:rFonts w:ascii="Times New Roman" w:hAnsi="Times New Roman"/>
                <w:sz w:val="19"/>
              </w:rPr>
              <w:t>Completed</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Phase 4: Master Dashboard &amp; Styling Integration</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Sep 17 - Sep 20, 2026</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Samiksha &amp; Jack Yanis</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Compositing 6-panel figure canvas, WCAG color tuning, and DPI export pipelines.</w:t>
            </w:r>
          </w:p>
        </w:tc>
        <w:tc>
          <w:tcPr>
            <w:tcW w:type="dxa" w:w="1008"/>
            <w:shd w:fill="F2F5F9"/>
            <w:tcMar>
              <w:top w:w="80" w:type="dxa"/>
              <w:bottom w:w="80" w:type="dxa"/>
              <w:left w:w="120" w:type="dxa"/>
              <w:right w:w="120" w:type="dxa"/>
            </w:tcMar>
          </w:tcPr>
          <w:p>
            <w:pPr>
              <w:spacing w:after="0" w:line="276" w:lineRule="auto"/>
              <w:jc w:val="left"/>
            </w:pPr>
            <w:r>
              <w:rPr>
                <w:rFonts w:ascii="Times New Roman" w:hAnsi="Times New Roman"/>
                <w:sz w:val="19"/>
              </w:rPr>
              <w:t>Completed</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Phase 5: Automated Benchmarking &amp; Verification</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Sep 21 - Sep 24, 2026</w:t>
            </w:r>
          </w:p>
        </w:tc>
        <w:tc>
          <w:tcPr>
            <w:tcW w:type="dxa" w:w="1584"/>
            <w:shd w:fill="FFFFFF"/>
            <w:tcMar>
              <w:top w:w="80" w:type="dxa"/>
              <w:bottom w:w="80" w:type="dxa"/>
              <w:left w:w="120" w:type="dxa"/>
              <w:right w:w="120" w:type="dxa"/>
            </w:tcMar>
          </w:tcPr>
          <w:p>
            <w:pPr>
              <w:spacing w:after="0" w:line="276" w:lineRule="auto"/>
              <w:jc w:val="left"/>
            </w:pPr>
            <w:r>
              <w:rPr>
                <w:rFonts w:ascii="Times New Roman" w:hAnsi="Times New Roman"/>
                <w:sz w:val="19"/>
              </w:rPr>
              <w:t>Dhanusika &amp; Jack Yanis</w:t>
            </w:r>
          </w:p>
        </w:tc>
        <w:tc>
          <w:tcPr>
            <w:tcW w:type="dxa" w:w="2880"/>
            <w:shd w:fill="FFFFFF"/>
            <w:tcMar>
              <w:top w:w="80" w:type="dxa"/>
              <w:bottom w:w="80" w:type="dxa"/>
              <w:left w:w="120" w:type="dxa"/>
              <w:right w:w="120" w:type="dxa"/>
            </w:tcMar>
          </w:tcPr>
          <w:p>
            <w:pPr>
              <w:spacing w:after="0" w:line="276" w:lineRule="auto"/>
              <w:jc w:val="left"/>
            </w:pPr>
            <w:r>
              <w:rPr>
                <w:rFonts w:ascii="Times New Roman" w:hAnsi="Times New Roman"/>
                <w:sz w:val="19"/>
              </w:rPr>
              <w:t>Constructing timeit/memory harness, AST LOC parser, and executing 50 profiling runs.</w:t>
            </w:r>
          </w:p>
        </w:tc>
        <w:tc>
          <w:tcPr>
            <w:tcW w:type="dxa" w:w="1008"/>
            <w:shd w:fill="FFFFFF"/>
            <w:tcMar>
              <w:top w:w="80" w:type="dxa"/>
              <w:bottom w:w="80" w:type="dxa"/>
              <w:left w:w="120" w:type="dxa"/>
              <w:right w:w="120" w:type="dxa"/>
            </w:tcMar>
          </w:tcPr>
          <w:p>
            <w:pPr>
              <w:spacing w:after="0" w:line="276" w:lineRule="auto"/>
              <w:jc w:val="left"/>
            </w:pPr>
            <w:r>
              <w:rPr>
                <w:rFonts w:ascii="Times New Roman" w:hAnsi="Times New Roman"/>
                <w:sz w:val="19"/>
              </w:rPr>
              <w:t>Completed</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Phase 6: Report Compilation &amp; Outcome Mapping</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Sep 25 - Sep 30, 2026</w:t>
            </w:r>
          </w:p>
        </w:tc>
        <w:tc>
          <w:tcPr>
            <w:tcW w:type="dxa" w:w="1584"/>
            <w:shd w:fill="F2F5F9"/>
            <w:tcMar>
              <w:top w:w="80" w:type="dxa"/>
              <w:bottom w:w="80" w:type="dxa"/>
              <w:left w:w="120" w:type="dxa"/>
              <w:right w:w="120" w:type="dxa"/>
            </w:tcMar>
          </w:tcPr>
          <w:p>
            <w:pPr>
              <w:spacing w:after="0" w:line="276" w:lineRule="auto"/>
              <w:jc w:val="left"/>
            </w:pPr>
            <w:r>
              <w:rPr>
                <w:rFonts w:ascii="Times New Roman" w:hAnsi="Times New Roman"/>
                <w:sz w:val="19"/>
              </w:rPr>
              <w:t>Team</w:t>
            </w:r>
          </w:p>
        </w:tc>
        <w:tc>
          <w:tcPr>
            <w:tcW w:type="dxa" w:w="2880"/>
            <w:shd w:fill="F2F5F9"/>
            <w:tcMar>
              <w:top w:w="80" w:type="dxa"/>
              <w:bottom w:w="80" w:type="dxa"/>
              <w:left w:w="120" w:type="dxa"/>
              <w:right w:w="120" w:type="dxa"/>
            </w:tcMar>
          </w:tcPr>
          <w:p>
            <w:pPr>
              <w:spacing w:after="0" w:line="276" w:lineRule="auto"/>
              <w:jc w:val="left"/>
            </w:pPr>
            <w:r>
              <w:rPr>
                <w:rFonts w:ascii="Times New Roman" w:hAnsi="Times New Roman"/>
                <w:sz w:val="19"/>
              </w:rPr>
              <w:t>Drafting 5500-word report, IEEE reference compilation, and final academic sign-off.</w:t>
            </w:r>
          </w:p>
        </w:tc>
        <w:tc>
          <w:tcPr>
            <w:tcW w:type="dxa" w:w="1008"/>
            <w:shd w:fill="F2F5F9"/>
            <w:tcMar>
              <w:top w:w="80" w:type="dxa"/>
              <w:bottom w:w="80" w:type="dxa"/>
              <w:left w:w="120" w:type="dxa"/>
              <w:right w:w="120" w:type="dxa"/>
            </w:tcMar>
          </w:tcPr>
          <w:p>
            <w:pPr>
              <w:spacing w:after="0" w:line="276" w:lineRule="auto"/>
              <w:jc w:val="left"/>
            </w:pPr>
            <w:r>
              <w:rPr>
                <w:rFonts w:ascii="Times New Roman" w:hAnsi="Times New Roman"/>
                <w:sz w:val="19"/>
              </w:rPr>
              <w:t>Completed</w:t>
            </w:r>
          </w:p>
        </w:tc>
      </w:tr>
    </w:tbl>
    <w:p>
      <w:pPr>
        <w:spacing w:after="120"/>
      </w:pPr>
    </w:p>
    <w:p>
      <w:pPr>
        <w:keepNext/>
        <w:spacing w:before="80" w:after="160"/>
        <w:jc w:val="center"/>
      </w:pPr>
      <w:r>
        <w:rPr>
          <w:rFonts w:ascii="Times New Roman" w:hAnsi="Times New Roman"/>
          <w:b/>
          <w:i/>
          <w:color w:val="1F497D"/>
          <w:sz w:val="20"/>
        </w:rPr>
        <w:t>Table 4.8: Detailed Team Roles, Responsibilities, and Task Allocations</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Team Member &amp; Register No.</w:t>
            </w:r>
          </w:p>
        </w:tc>
        <w:tc>
          <w:tcPr>
            <w:tcW w:type="dxa" w:w="2304"/>
            <w:shd w:fill="1F497D"/>
            <w:tcMar>
              <w:top w:w="120" w:type="dxa"/>
              <w:bottom w:w="120" w:type="dxa"/>
              <w:left w:w="150" w:type="dxa"/>
              <w:right w:w="150" w:type="dxa"/>
            </w:tcMar>
          </w:tcPr>
          <w:p>
            <w:pPr>
              <w:spacing w:after="0"/>
              <w:jc w:val="center"/>
            </w:pPr>
            <w:r>
              <w:rPr>
                <w:rFonts w:ascii="Times New Roman" w:hAnsi="Times New Roman"/>
                <w:b/>
                <w:color w:val="FFFFFF"/>
                <w:sz w:val="20"/>
              </w:rPr>
              <w:t>Designated Project Role</w:t>
            </w:r>
          </w:p>
        </w:tc>
        <w:tc>
          <w:tcPr>
            <w:tcW w:type="dxa" w:w="4320"/>
            <w:shd w:fill="1F497D"/>
            <w:tcMar>
              <w:top w:w="120" w:type="dxa"/>
              <w:bottom w:w="120" w:type="dxa"/>
              <w:left w:w="150" w:type="dxa"/>
              <w:right w:w="150" w:type="dxa"/>
            </w:tcMar>
          </w:tcPr>
          <w:p>
            <w:pPr>
              <w:spacing w:after="0"/>
              <w:jc w:val="center"/>
            </w:pPr>
            <w:r>
              <w:rPr>
                <w:rFonts w:ascii="Times New Roman" w:hAnsi="Times New Roman"/>
                <w:b/>
                <w:color w:val="FFFFFF"/>
                <w:sz w:val="20"/>
              </w:rPr>
              <w:t>Actual Engineering Contribution &amp; Report Authorship</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HAREAINDIRAN S (1925260046)</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Project Lead &amp; Architecture Engineer</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Pipeline architecture design, Module 1 implementation, CLI execution harness, Chapter 1 &amp; 4.2.1 authoring.</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RITHIN SAI A (1972260016)</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Statistical Modeler &amp; Data Analyst</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Module 2 implementation, Pandas groupby optimization, Chapter 2 (Literature Review) &amp; 4.2.2 authoring.</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SAMIKSHA S (1972260036)</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Quality Assurance &amp; Standards Lead</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Module 3 implementation, Tukey dispersion analysis, Chapter 3 (Design, Standards &amp; Risk) &amp; 4.2.3 authoring.</w:t>
            </w:r>
          </w:p>
        </w:tc>
      </w:tr>
      <w:tr>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DHANUSIKA R (1924260063)</w:t>
            </w:r>
          </w:p>
        </w:tc>
        <w:tc>
          <w:tcPr>
            <w:tcW w:type="dxa" w:w="2304"/>
            <w:shd w:fill="F2F5F9"/>
            <w:tcMar>
              <w:top w:w="80" w:type="dxa"/>
              <w:bottom w:w="80" w:type="dxa"/>
              <w:left w:w="120" w:type="dxa"/>
              <w:right w:w="120" w:type="dxa"/>
            </w:tcMar>
          </w:tcPr>
          <w:p>
            <w:pPr>
              <w:spacing w:after="0" w:line="276" w:lineRule="auto"/>
              <w:jc w:val="left"/>
            </w:pPr>
            <w:r>
              <w:rPr>
                <w:rFonts w:ascii="Times New Roman" w:hAnsi="Times New Roman"/>
                <w:sz w:val="19"/>
              </w:rPr>
              <w:t>Benchmark &amp; Testing Specialist</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Module 4 implementation, semantic hue encoding, Section 4.3 (Test Plan), 4.4 (Results) &amp; 4.2.4 authoring.</w:t>
            </w:r>
          </w:p>
        </w:tc>
      </w:tr>
      <w:tr>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JACK YANIS F (1924260159)</w:t>
            </w:r>
          </w:p>
        </w:tc>
        <w:tc>
          <w:tcPr>
            <w:tcW w:type="dxa" w:w="2304"/>
            <w:shd w:fill="FFFFFF"/>
            <w:tcMar>
              <w:top w:w="80" w:type="dxa"/>
              <w:bottom w:w="80" w:type="dxa"/>
              <w:left w:w="120" w:type="dxa"/>
              <w:right w:w="120" w:type="dxa"/>
            </w:tcMar>
          </w:tcPr>
          <w:p>
            <w:pPr>
              <w:spacing w:after="0" w:line="276" w:lineRule="auto"/>
              <w:jc w:val="left"/>
            </w:pPr>
            <w:r>
              <w:rPr>
                <w:rFonts w:ascii="Times New Roman" w:hAnsi="Times New Roman"/>
                <w:sz w:val="19"/>
              </w:rPr>
              <w:t>Integration &amp; Documentation Specialist</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Module 5 &amp; 6 implementation, dashboard compositing, Chapter 5 (Reflections), Appendices &amp; Outcome Mapping.</w:t>
            </w:r>
          </w:p>
        </w:tc>
      </w:tr>
    </w:tbl>
    <w:p>
      <w:pPr>
        <w:spacing w:after="120"/>
      </w:pPr>
    </w:p>
    <w:p>
      <w:pPr>
        <w:keepNext/>
        <w:spacing w:before="80" w:after="160"/>
        <w:jc w:val="center"/>
      </w:pPr>
      <w:r>
        <w:rPr>
          <w:rFonts w:ascii="Times New Roman" w:hAnsi="Times New Roman"/>
          <w:b/>
          <w:i/>
          <w:color w:val="1F497D"/>
          <w:sz w:val="20"/>
        </w:rPr>
        <w:t>Table 4.9: Comprehensive Project Financial Budget and Cost Tracking</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1734"/>
        <w:gridCol w:w="1734"/>
        <w:gridCol w:w="1734"/>
        <w:gridCol w:w="1734"/>
        <w:gridCol w:w="1734"/>
      </w:tblGrid>
      <w:tr>
        <w:tc>
          <w:tcPr>
            <w:tcW w:type="dxa" w:w="2160"/>
            <w:shd w:fill="1F497D"/>
            <w:tcMar>
              <w:top w:w="120" w:type="dxa"/>
              <w:bottom w:w="120" w:type="dxa"/>
              <w:left w:w="150" w:type="dxa"/>
              <w:right w:w="150" w:type="dxa"/>
            </w:tcMar>
          </w:tcPr>
          <w:p>
            <w:pPr>
              <w:spacing w:after="0"/>
              <w:jc w:val="center"/>
            </w:pPr>
            <w:r>
              <w:rPr>
                <w:rFonts w:ascii="Times New Roman" w:hAnsi="Times New Roman"/>
                <w:b/>
                <w:color w:val="FFFFFF"/>
                <w:sz w:val="20"/>
              </w:rPr>
              <w:t>Expenditure Category</w:t>
            </w:r>
          </w:p>
        </w:tc>
        <w:tc>
          <w:tcPr>
            <w:tcW w:type="dxa" w:w="2592"/>
            <w:shd w:fill="1F497D"/>
            <w:tcMar>
              <w:top w:w="120" w:type="dxa"/>
              <w:bottom w:w="120" w:type="dxa"/>
              <w:left w:w="150" w:type="dxa"/>
              <w:right w:w="150" w:type="dxa"/>
            </w:tcMar>
          </w:tcPr>
          <w:p>
            <w:pPr>
              <w:spacing w:after="0"/>
              <w:jc w:val="center"/>
            </w:pPr>
            <w:r>
              <w:rPr>
                <w:rFonts w:ascii="Times New Roman" w:hAnsi="Times New Roman"/>
                <w:b/>
                <w:color w:val="FFFFFF"/>
                <w:sz w:val="20"/>
              </w:rPr>
              <w:t>Resource Description</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Estimated Cost</w:t>
            </w:r>
          </w:p>
        </w:tc>
        <w:tc>
          <w:tcPr>
            <w:tcW w:type="dxa" w:w="1296"/>
            <w:shd w:fill="1F497D"/>
            <w:tcMar>
              <w:top w:w="120" w:type="dxa"/>
              <w:bottom w:w="120" w:type="dxa"/>
              <w:left w:w="150" w:type="dxa"/>
              <w:right w:w="150" w:type="dxa"/>
            </w:tcMar>
          </w:tcPr>
          <w:p>
            <w:pPr>
              <w:spacing w:after="0"/>
              <w:jc w:val="center"/>
            </w:pPr>
            <w:r>
              <w:rPr>
                <w:rFonts w:ascii="Times New Roman" w:hAnsi="Times New Roman"/>
                <w:b/>
                <w:color w:val="FFFFFF"/>
                <w:sz w:val="20"/>
              </w:rPr>
              <w:t>Actual Cost</w:t>
            </w:r>
          </w:p>
        </w:tc>
        <w:tc>
          <w:tcPr>
            <w:tcW w:type="dxa" w:w="1872"/>
            <w:shd w:fill="1F497D"/>
            <w:tcMar>
              <w:top w:w="120" w:type="dxa"/>
              <w:bottom w:w="120" w:type="dxa"/>
              <w:left w:w="150" w:type="dxa"/>
              <w:right w:w="150" w:type="dxa"/>
            </w:tcMar>
          </w:tcPr>
          <w:p>
            <w:pPr>
              <w:spacing w:after="0"/>
              <w:jc w:val="center"/>
            </w:pPr>
            <w:r>
              <w:rPr>
                <w:rFonts w:ascii="Times New Roman" w:hAnsi="Times New Roman"/>
                <w:b/>
                <w:color w:val="FFFFFF"/>
                <w:sz w:val="20"/>
              </w:rPr>
              <w:t>Variance &amp; Financial Justification</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Development Hardware Workstation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Institutional Lab Intel Xeon Server</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Zero Cost (Provided)</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Software Tooling &amp; Runtime Licenses</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Open-Source Ecosystem (Python, Pandas, Mpl, Sbn)</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Zero Cost (FOSS)</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Benchmark Dataset Acquisition</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Public Domain Seaborn Repository ('tips')</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Zero Cost (Open Data)</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Cloud Compute / Sandbox Hosting</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Local Virtualized Container Infrastructure</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INR 1,500.00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INR 0.00</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Subsidized by Lab</w:t>
            </w:r>
          </w:p>
        </w:tc>
      </w:tr>
      <w:tr>
        <w:tc>
          <w:tcPr>
            <w:tcW w:type="dxa" w:w="2160"/>
            <w:shd w:fill="FFFFFF"/>
            <w:tcMar>
              <w:top w:w="80" w:type="dxa"/>
              <w:bottom w:w="80" w:type="dxa"/>
              <w:left w:w="120" w:type="dxa"/>
              <w:right w:w="120" w:type="dxa"/>
            </w:tcMar>
          </w:tcPr>
          <w:p>
            <w:pPr>
              <w:spacing w:after="0" w:line="276" w:lineRule="auto"/>
              <w:jc w:val="left"/>
            </w:pPr>
            <w:r>
              <w:rPr>
                <w:rFonts w:ascii="Times New Roman" w:hAnsi="Times New Roman"/>
                <w:sz w:val="19"/>
              </w:rPr>
              <w:t>Printing, Binding &amp; Documentation Assets</w:t>
            </w:r>
          </w:p>
        </w:tc>
        <w:tc>
          <w:tcPr>
            <w:tcW w:type="dxa" w:w="2592"/>
            <w:shd w:fill="FFFFFF"/>
            <w:tcMar>
              <w:top w:w="80" w:type="dxa"/>
              <w:bottom w:w="80" w:type="dxa"/>
              <w:left w:w="120" w:type="dxa"/>
              <w:right w:w="120" w:type="dxa"/>
            </w:tcMar>
          </w:tcPr>
          <w:p>
            <w:pPr>
              <w:spacing w:after="0" w:line="276" w:lineRule="auto"/>
              <w:jc w:val="left"/>
            </w:pPr>
            <w:r>
              <w:rPr>
                <w:rFonts w:ascii="Times New Roman" w:hAnsi="Times New Roman"/>
                <w:sz w:val="19"/>
              </w:rPr>
              <w:t>Publication-Grade Hardbound Reports &amp; Media</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INR 2,500.00</w:t>
            </w:r>
          </w:p>
        </w:tc>
        <w:tc>
          <w:tcPr>
            <w:tcW w:type="dxa" w:w="1296"/>
            <w:shd w:fill="FFFFFF"/>
            <w:tcMar>
              <w:top w:w="80" w:type="dxa"/>
              <w:bottom w:w="80" w:type="dxa"/>
              <w:left w:w="120" w:type="dxa"/>
              <w:right w:w="120" w:type="dxa"/>
            </w:tcMar>
          </w:tcPr>
          <w:p>
            <w:pPr>
              <w:spacing w:after="0" w:line="276" w:lineRule="auto"/>
              <w:jc w:val="left"/>
            </w:pPr>
            <w:r>
              <w:rPr>
                <w:rFonts w:ascii="Times New Roman" w:hAnsi="Times New Roman"/>
                <w:sz w:val="19"/>
              </w:rPr>
              <w:t>INR 2,200.00</w:t>
            </w:r>
          </w:p>
        </w:tc>
        <w:tc>
          <w:tcPr>
            <w:tcW w:type="dxa" w:w="1872"/>
            <w:shd w:fill="FFFFFF"/>
            <w:tcMar>
              <w:top w:w="80" w:type="dxa"/>
              <w:bottom w:w="80" w:type="dxa"/>
              <w:left w:w="120" w:type="dxa"/>
              <w:right w:w="120" w:type="dxa"/>
            </w:tcMar>
          </w:tcPr>
          <w:p>
            <w:pPr>
              <w:spacing w:after="0" w:line="276" w:lineRule="auto"/>
              <w:jc w:val="left"/>
            </w:pPr>
            <w:r>
              <w:rPr>
                <w:rFonts w:ascii="Times New Roman" w:hAnsi="Times New Roman"/>
                <w:sz w:val="19"/>
              </w:rPr>
              <w:t>INR -300.00 (Under budget)</w:t>
            </w:r>
          </w:p>
        </w:tc>
      </w:tr>
      <w:tr>
        <w:tc>
          <w:tcPr>
            <w:tcW w:type="dxa" w:w="2160"/>
            <w:shd w:fill="F2F5F9"/>
            <w:tcMar>
              <w:top w:w="80" w:type="dxa"/>
              <w:bottom w:w="80" w:type="dxa"/>
              <w:left w:w="120" w:type="dxa"/>
              <w:right w:w="120" w:type="dxa"/>
            </w:tcMar>
          </w:tcPr>
          <w:p>
            <w:pPr>
              <w:spacing w:after="0" w:line="276" w:lineRule="auto"/>
              <w:jc w:val="left"/>
            </w:pPr>
            <w:r>
              <w:rPr>
                <w:rFonts w:ascii="Times New Roman" w:hAnsi="Times New Roman"/>
                <w:sz w:val="19"/>
              </w:rPr>
              <w:t>Total Project Expenditure</w:t>
            </w:r>
          </w:p>
        </w:tc>
        <w:tc>
          <w:tcPr>
            <w:tcW w:type="dxa" w:w="2592"/>
            <w:shd w:fill="F2F5F9"/>
            <w:tcMar>
              <w:top w:w="80" w:type="dxa"/>
              <w:bottom w:w="80" w:type="dxa"/>
              <w:left w:w="120" w:type="dxa"/>
              <w:right w:w="120" w:type="dxa"/>
            </w:tcMar>
          </w:tcPr>
          <w:p>
            <w:pPr>
              <w:spacing w:after="0" w:line="276" w:lineRule="auto"/>
              <w:jc w:val="left"/>
            </w:pPr>
            <w:r>
              <w:rPr>
                <w:rFonts w:ascii="Times New Roman" w:hAnsi="Times New Roman"/>
                <w:sz w:val="19"/>
              </w:rPr>
              <w:t>Comprehensive Project Lifecycle Budget</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INR 4,000.00</w:t>
            </w:r>
          </w:p>
        </w:tc>
        <w:tc>
          <w:tcPr>
            <w:tcW w:type="dxa" w:w="1296"/>
            <w:shd w:fill="F2F5F9"/>
            <w:tcMar>
              <w:top w:w="80" w:type="dxa"/>
              <w:bottom w:w="80" w:type="dxa"/>
              <w:left w:w="120" w:type="dxa"/>
              <w:right w:w="120" w:type="dxa"/>
            </w:tcMar>
          </w:tcPr>
          <w:p>
            <w:pPr>
              <w:spacing w:after="0" w:line="276" w:lineRule="auto"/>
              <w:jc w:val="left"/>
            </w:pPr>
            <w:r>
              <w:rPr>
                <w:rFonts w:ascii="Times New Roman" w:hAnsi="Times New Roman"/>
                <w:sz w:val="19"/>
              </w:rPr>
              <w:t>INR 2,200.00</w:t>
            </w:r>
          </w:p>
        </w:tc>
        <w:tc>
          <w:tcPr>
            <w:tcW w:type="dxa" w:w="1872"/>
            <w:shd w:fill="F2F5F9"/>
            <w:tcMar>
              <w:top w:w="80" w:type="dxa"/>
              <w:bottom w:w="80" w:type="dxa"/>
              <w:left w:w="120" w:type="dxa"/>
              <w:right w:w="120" w:type="dxa"/>
            </w:tcMar>
          </w:tcPr>
          <w:p>
            <w:pPr>
              <w:spacing w:after="0" w:line="276" w:lineRule="auto"/>
              <w:jc w:val="left"/>
            </w:pPr>
            <w:r>
              <w:rPr>
                <w:rFonts w:ascii="Times New Roman" w:hAnsi="Times New Roman"/>
                <w:sz w:val="19"/>
              </w:rPr>
              <w:t>INR 1,800.00 Saved</w:t>
            </w:r>
          </w:p>
        </w:tc>
      </w:tr>
    </w:tbl>
    <w:p>
      <w:pPr>
        <w:spacing w:after="120"/>
      </w:pPr>
    </w:p>
    <w:p>
      <w:r>
        <w:br w:type="page"/>
      </w:r>
    </w:p>
    <w:p>
      <w:pPr>
        <w:keepNext/>
        <w:spacing w:before="280" w:after="120"/>
        <w:jc w:val="left"/>
      </w:pPr>
      <w:r>
        <w:rPr>
          <w:rFonts w:ascii="Times New Roman" w:hAnsi="Times New Roman"/>
          <w:b/>
          <w:color w:val="1F497D"/>
          <w:sz w:val="30"/>
        </w:rPr>
        <w:t>CHAPTER 5: CONCLUSION, FUTURE WORK AND REFLECTION</w:t>
      </w:r>
    </w:p>
    <w:p>
      <w:pPr>
        <w:keepNext/>
        <w:spacing w:before="200" w:after="80"/>
        <w:jc w:val="left"/>
      </w:pPr>
      <w:r>
        <w:rPr>
          <w:rFonts w:ascii="Times New Roman" w:hAnsi="Times New Roman"/>
          <w:b/>
          <w:color w:val="1F497D"/>
          <w:sz w:val="26"/>
        </w:rPr>
        <w:t>5.1 Project Summary and Principal Conclusions</w:t>
      </w:r>
    </w:p>
    <w:p>
      <w:pPr>
        <w:spacing w:after="120" w:line="360" w:lineRule="auto"/>
        <w:jc w:val="both"/>
      </w:pPr>
      <w:r>
        <w:rPr>
          <w:rFonts w:ascii="Times New Roman" w:hAnsi="Times New Roman"/>
          <w:b w:val="0"/>
          <w:i w:val="0"/>
          <w:sz w:val="24"/>
        </w:rPr>
        <w:t>This Capstone Project has delivered a comprehensive, empirical, and architectural comparative investigation of the two premier data visualization frameworks within the Python scientific computing ecosystem: Matplotlib and Seaborn. Grounded in the theoretical precepts of Leland Wilkinson's Grammar of Graphics and William S. Cleveland's principles of human graphical perception, the study formulated and executed a standardized benchmarking harness evaluating both libraries across five canonical Exploratory Data Analysis (EDA) archetypes using the canonical Tips hospitality benchmark dataset: univariate continuous distributions (histograms with kernel density estimation), categorical aggregations (bar charts with parametric error bounds), non-parametric dispersion and outlier profiling (box plots based on Tukey quartiles), bivariate relational tracking (scatter plots with semantic hue conditioning), and multivariate associative structures (Pearson correlation heatmaps). The project successfully achieved all six stated engineering objectives without deviation. Empirically, the results establish that Matplotlib maintains a consistent 2.01x latency advantage (averaging 17.3 ms versus 34.8 ms) and a 24% lower memory footprint during primitive rasterization, rendering it the superior computational engine for high-frequency, headless, or compute-constrained batch rendering pipelines. Conversely, Seaborn delivers transformative software engineering benefits in developer ergonomics and code maintainability, slashing executable lines of code by an average of 58.4% through automated statistical bootstrapping, seamless Pandas DataFrame integration, and intelligent aesthetic defaults. By integrating both frameworks into a 6-panel publication-grade master exploratory dashboard and validating compliance against ISO/IEC 25010 and WCAG 2.1 AA accessibility standards, this project provides data engineers, machine learning researchers, and software architects with a mathematically sound, empirically verified decision framework for production data visualization.</w:t>
      </w:r>
    </w:p>
    <w:p>
      <w:pPr>
        <w:keepNext/>
        <w:spacing w:before="200" w:after="80"/>
        <w:jc w:val="left"/>
      </w:pPr>
      <w:r>
        <w:rPr>
          <w:rFonts w:ascii="Times New Roman" w:hAnsi="Times New Roman"/>
          <w:b/>
          <w:color w:val="1F497D"/>
          <w:sz w:val="26"/>
        </w:rPr>
        <w:t>5.2 Identified Directions for Future Research and Extension</w:t>
      </w:r>
    </w:p>
    <w:p>
      <w:pPr>
        <w:spacing w:after="120" w:line="360" w:lineRule="auto"/>
        <w:jc w:val="both"/>
      </w:pPr>
      <w:r>
        <w:rPr>
          <w:rFonts w:ascii="Times New Roman" w:hAnsi="Times New Roman"/>
          <w:b w:val="0"/>
          <w:i w:val="0"/>
          <w:sz w:val="24"/>
        </w:rPr>
        <w:t>Building upon the empirical and architectural foundations established in this Capstone investigation, four promising trajectories for future research and engineering extension are identified:</w:t>
        <w:br/>
        <w:br/>
        <w:t>1. Real-Time Streaming and High-Throughput Dynamic Telemetry: The current architecture evaluates static batch rasterization. Future iterations will extend the pipeline to ingest live event streams (via Apache Kafka or WebSocket telemetry) to profile the rendering latency and memory exhaustion thresholds of blitting animations in Matplotlib versus dynamic figure updates in Seaborn under 60 Hz frame rates.</w:t>
        <w:br/>
        <w:br/>
        <w:t>2. Web-Native Interactive Visualization Integration: While static 300 DPI publication graphics serve academic and reporting needs, enterprise analytics increasingly demands interactive client-side exploration. Future work will investigate hybrid bridging pipelines connecting Seaborn statistical models to interactive web engines such as Plotly Dash, Streamlit, or D3.js through automated JSON/Vega-Lite schema translation.</w:t>
        <w:br/>
        <w:br/>
        <w:t>3. GPU-Accelerated Big-Data Scalability: Standard CPU-bound NumPy and Pandas data structures experience performance bottlenecks when scaling to massive observation counts (N &gt; 10,000,000). Integrating GPU-accelerated computing engines—specifically NVIDIA RAPIDS cuDF and cuML—coupled with datashader canvas rasterizers will enable benchmarking visualization pipelines under extreme enterprise big-data workloads.</w:t>
        <w:br/>
        <w:br/>
        <w:t>4. Automated Cognitive Visual Quality Auditing: Leveraging computer vision and automated perceptual models to programmatically score rendered graphics for colorblind readability, clutter index, and visual hierarchy compliance prior to production dashboard deployment.</w:t>
      </w:r>
    </w:p>
    <w:p>
      <w:pPr>
        <w:keepNext/>
        <w:spacing w:before="200" w:after="80"/>
        <w:jc w:val="left"/>
      </w:pPr>
      <w:r>
        <w:rPr>
          <w:rFonts w:ascii="Times New Roman" w:hAnsi="Times New Roman"/>
          <w:b/>
          <w:color w:val="1F497D"/>
          <w:sz w:val="26"/>
        </w:rPr>
        <w:t>5.3 Professional Learning and Individual Critical Reflections</w:t>
      </w:r>
    </w:p>
    <w:p>
      <w:pPr>
        <w:keepNext/>
        <w:spacing w:before="160" w:after="40"/>
        <w:jc w:val="left"/>
      </w:pPr>
      <w:r>
        <w:rPr>
          <w:rFonts w:ascii="Times New Roman" w:hAnsi="Times New Roman"/>
          <w:b/>
          <w:color w:val="333333"/>
          <w:sz w:val="23"/>
        </w:rPr>
        <w:t>5.3.1 New Knowledge Acquired</w:t>
      </w:r>
    </w:p>
    <w:p>
      <w:pPr>
        <w:spacing w:after="80" w:line="360" w:lineRule="auto"/>
        <w:jc w:val="both"/>
      </w:pPr>
      <w:r>
        <w:rPr>
          <w:rFonts w:ascii="Times New Roman" w:hAnsi="Times New Roman"/>
          <w:b w:val="0"/>
          <w:i w:val="0"/>
          <w:sz w:val="24"/>
        </w:rPr>
        <w:t>• Deep comprehension of Leland Wilkinson's Grammar of Graphics and its concrete implementation across imperative and declarative Python engines.</w:t>
      </w:r>
    </w:p>
    <w:p>
      <w:pPr>
        <w:spacing w:after="80" w:line="360" w:lineRule="auto"/>
        <w:jc w:val="both"/>
      </w:pPr>
      <w:r>
        <w:rPr>
          <w:rFonts w:ascii="Times New Roman" w:hAnsi="Times New Roman"/>
          <w:b w:val="0"/>
          <w:i w:val="0"/>
          <w:sz w:val="24"/>
        </w:rPr>
        <w:t>• Mathematical formulations governing statistical graphical estimators, including Gaussian kernel density estimation, Silverman bandwidth selection, and Freedman-Diaconis optimal binning.</w:t>
      </w:r>
    </w:p>
    <w:p>
      <w:pPr>
        <w:spacing w:after="80" w:line="360" w:lineRule="auto"/>
        <w:jc w:val="both"/>
      </w:pPr>
      <w:r>
        <w:rPr>
          <w:rFonts w:ascii="Times New Roman" w:hAnsi="Times New Roman"/>
          <w:b w:val="0"/>
          <w:i w:val="0"/>
          <w:sz w:val="24"/>
        </w:rPr>
        <w:t>• Internal architectural mechanics of Matplotlib's Artist hierarchy (Figure, Axes, Axis, Tick, Patch, Line2D) and Agg rasterization backends.</w:t>
      </w:r>
    </w:p>
    <w:p>
      <w:pPr>
        <w:spacing w:after="80" w:line="360" w:lineRule="auto"/>
        <w:jc w:val="both"/>
      </w:pPr>
      <w:r>
        <w:rPr>
          <w:rFonts w:ascii="Times New Roman" w:hAnsi="Times New Roman"/>
          <w:b w:val="0"/>
          <w:i w:val="0"/>
          <w:sz w:val="24"/>
        </w:rPr>
        <w:t>• Bootstrap resampling mechanics and non-parametric confidence interval estimation natively executed within Seaborn categorical estimators.</w:t>
      </w:r>
    </w:p>
    <w:p>
      <w:pPr>
        <w:spacing w:after="80" w:line="360" w:lineRule="auto"/>
        <w:jc w:val="both"/>
      </w:pPr>
      <w:r>
        <w:rPr>
          <w:rFonts w:ascii="Times New Roman" w:hAnsi="Times New Roman"/>
          <w:b w:val="0"/>
          <w:i w:val="0"/>
          <w:sz w:val="24"/>
        </w:rPr>
        <w:t>• Application of formal international engineering standards (ISO/IEC 25010 for software product quality and WCAG 2.1 AA for visual contrast accessibility) to graphical software systems.</w:t>
      </w:r>
    </w:p>
    <w:p>
      <w:pPr>
        <w:keepNext/>
        <w:spacing w:before="160" w:after="40"/>
        <w:jc w:val="left"/>
      </w:pPr>
      <w:r>
        <w:rPr>
          <w:rFonts w:ascii="Times New Roman" w:hAnsi="Times New Roman"/>
          <w:b/>
          <w:color w:val="333333"/>
          <w:sz w:val="23"/>
        </w:rPr>
        <w:t>5.3.2 Engineering and Professional Skills Developed</w:t>
      </w:r>
    </w:p>
    <w:p>
      <w:pPr>
        <w:spacing w:after="80" w:line="360" w:lineRule="auto"/>
        <w:jc w:val="both"/>
      </w:pPr>
      <w:r>
        <w:rPr>
          <w:rFonts w:ascii="Times New Roman" w:hAnsi="Times New Roman"/>
          <w:b w:val="0"/>
          <w:i w:val="0"/>
          <w:sz w:val="24"/>
        </w:rPr>
        <w:t>• Proficiency in developing modular, decoupled, and PEP 8 compliant Python architectures for automated scientific computing.</w:t>
      </w:r>
    </w:p>
    <w:p>
      <w:pPr>
        <w:spacing w:after="80" w:line="360" w:lineRule="auto"/>
        <w:jc w:val="both"/>
      </w:pPr>
      <w:r>
        <w:rPr>
          <w:rFonts w:ascii="Times New Roman" w:hAnsi="Times New Roman"/>
          <w:b w:val="0"/>
          <w:i w:val="0"/>
          <w:sz w:val="24"/>
        </w:rPr>
        <w:t>• Advanced sub-millisecond execution profiling and resident memory tracking using Python timeit, memory_profiler, and Abstract Syntax Tree (AST) analyzers.</w:t>
      </w:r>
    </w:p>
    <w:p>
      <w:pPr>
        <w:spacing w:after="80" w:line="360" w:lineRule="auto"/>
        <w:jc w:val="both"/>
      </w:pPr>
      <w:r>
        <w:rPr>
          <w:rFonts w:ascii="Times New Roman" w:hAnsi="Times New Roman"/>
          <w:b w:val="0"/>
          <w:i w:val="0"/>
          <w:sz w:val="24"/>
        </w:rPr>
        <w:t>• Expertise in publication-grade figure styling, custom color palette curation, typography scaling, and 300 DPI vector/raster export pipelines.</w:t>
      </w:r>
    </w:p>
    <w:p>
      <w:pPr>
        <w:spacing w:after="80" w:line="360" w:lineRule="auto"/>
        <w:jc w:val="both"/>
      </w:pPr>
      <w:r>
        <w:rPr>
          <w:rFonts w:ascii="Times New Roman" w:hAnsi="Times New Roman"/>
          <w:b w:val="0"/>
          <w:i w:val="0"/>
          <w:sz w:val="24"/>
        </w:rPr>
        <w:t>• Systematic risk identification, mitigation engineering, and failure-mode analysis across headless batch rendering workflows.</w:t>
      </w:r>
    </w:p>
    <w:p>
      <w:pPr>
        <w:spacing w:after="80" w:line="360" w:lineRule="auto"/>
        <w:jc w:val="both"/>
      </w:pPr>
      <w:r>
        <w:rPr>
          <w:rFonts w:ascii="Times New Roman" w:hAnsi="Times New Roman"/>
          <w:b w:val="0"/>
          <w:i w:val="0"/>
          <w:sz w:val="24"/>
        </w:rPr>
        <w:t>• Collaborative engineering teamwork, Git-based version control discipline, and technical documentation synthesis aligned with institutional accreditation rubrics.</w:t>
      </w:r>
    </w:p>
    <w:p>
      <w:pPr>
        <w:keepNext/>
        <w:spacing w:before="160" w:after="40"/>
        <w:jc w:val="left"/>
      </w:pPr>
      <w:r>
        <w:rPr>
          <w:rFonts w:ascii="Times New Roman" w:hAnsi="Times New Roman"/>
          <w:b/>
          <w:color w:val="333333"/>
          <w:sz w:val="23"/>
        </w:rPr>
        <w:t>5.3.3 Individual Student Critical Reflections</w:t>
      </w:r>
    </w:p>
    <w:p>
      <w:pPr>
        <w:spacing w:before="160" w:after="40"/>
      </w:pPr>
      <w:r>
        <w:rPr>
          <w:b/>
          <w:color w:val="1F497D"/>
          <w:sz w:val="23"/>
        </w:rPr>
        <w:t>HAREAINDIRAN S (1925260046)</w:t>
      </w:r>
    </w:p>
    <w:p>
      <w:pPr>
        <w:spacing w:after="60" w:line="360" w:lineRule="auto"/>
        <w:jc w:val="both"/>
      </w:pPr>
      <w:r>
        <w:rPr>
          <w:rFonts w:ascii="Times New Roman" w:hAnsi="Times New Roman"/>
          <w:b w:val="0"/>
          <w:i w:val="0"/>
          <w:sz w:val="24"/>
        </w:rPr>
        <w:t>• Most Difficult Engineering Problem Encountered: The most challenging engineering hurdle was architecting the dual-engine execution harness so that both Matplotlib and Seaborn could be benchmarked under perfectly identical runtime constraints without residual memory contamination between iterations. Initially, successive figure generations caused memory leaks because Matplotlib retained artist references in the active figure manager. I resolved this by implementing an explicit lifecycle management protocol utilizing plt.close('all'), releasing canvas buffers, and forcing Python garbage collection via gc.collect() after every rasterization pass.</w:t>
      </w:r>
    </w:p>
    <w:p>
      <w:pPr>
        <w:spacing w:after="60" w:line="360" w:lineRule="auto"/>
        <w:jc w:val="both"/>
      </w:pPr>
      <w:r>
        <w:rPr>
          <w:rFonts w:ascii="Times New Roman" w:hAnsi="Times New Roman"/>
          <w:b w:val="0"/>
          <w:i w:val="0"/>
          <w:sz w:val="24"/>
        </w:rPr>
        <w:t>• Key Engineering Decision Personally Made: I personally spearheaded the decision to enforce the Freedman-Diaconis rule for histogram binning rather than relying on default arbitrary integer bin counts. Empirical calculations demonstrated that setting bin width based on interquartile range (IQR) and cube-root sample size completely eliminated subjective binning artifacts and accurately highlighted the unimodal skew of the Tips total_bill distribution.</w:t>
      </w:r>
    </w:p>
    <w:p>
      <w:pPr>
        <w:spacing w:after="60" w:line="360" w:lineRule="auto"/>
        <w:jc w:val="both"/>
      </w:pPr>
      <w:r>
        <w:rPr>
          <w:rFonts w:ascii="Times New Roman" w:hAnsi="Times New Roman"/>
          <w:b w:val="0"/>
          <w:i w:val="0"/>
          <w:sz w:val="24"/>
        </w:rPr>
        <w:t>• New Knowledge Independently Acquired: Independently acquired in-depth expertise in CPython's memory management model and how C-based rendering backends (such as libagg) allocate and deallocate bitmap framebuffers during headless rasterization.</w:t>
      </w:r>
    </w:p>
    <w:p>
      <w:pPr>
        <w:spacing w:after="160" w:line="360" w:lineRule="auto"/>
        <w:jc w:val="both"/>
      </w:pPr>
      <w:r>
        <w:rPr>
          <w:rFonts w:ascii="Times New Roman" w:hAnsi="Times New Roman"/>
          <w:b w:val="0"/>
          <w:i w:val="0"/>
          <w:sz w:val="24"/>
        </w:rPr>
        <w:t>• What Would Be Redesigned If Repeated: If re-engineering the system, I would implement an automated multiprocessing worker pool to isolate each plotting job in an ephemeral process space, thereby providing 100% operating-system-level memory reclamation guarantees for high-volume enterprise pipelines.</w:t>
      </w:r>
    </w:p>
    <w:p>
      <w:pPr>
        <w:spacing w:before="160" w:after="40"/>
      </w:pPr>
      <w:r>
        <w:rPr>
          <w:b/>
          <w:color w:val="1F497D"/>
          <w:sz w:val="23"/>
        </w:rPr>
        <w:t>RITHIN SAI A (1972260016)</w:t>
      </w:r>
    </w:p>
    <w:p>
      <w:pPr>
        <w:spacing w:after="60" w:line="360" w:lineRule="auto"/>
        <w:jc w:val="both"/>
      </w:pPr>
      <w:r>
        <w:rPr>
          <w:rFonts w:ascii="Times New Roman" w:hAnsi="Times New Roman"/>
          <w:b w:val="0"/>
          <w:i w:val="0"/>
          <w:sz w:val="24"/>
        </w:rPr>
        <w:t>• Most Difficult Engineering Problem Encountered: The primary technical difficulty I encountered was reconciling the statistical differences between Matplotlib's manual standard deviation error bars and Seaborn's automated bootstrap confidence intervals in Module 2. Matplotlib users often misinterpret standard deviation whiskers as confidence bounds. I resolved this by writing a custom bootstrapping function in NumPy to supply mathematically identical 95% confidence intervals to Matplotlib's yerr parameter, ensuring rigorous apple-to-apple visual and statistical comparison.</w:t>
      </w:r>
    </w:p>
    <w:p>
      <w:pPr>
        <w:spacing w:after="60" w:line="360" w:lineRule="auto"/>
        <w:jc w:val="both"/>
      </w:pPr>
      <w:r>
        <w:rPr>
          <w:rFonts w:ascii="Times New Roman" w:hAnsi="Times New Roman"/>
          <w:b w:val="0"/>
          <w:i w:val="0"/>
          <w:sz w:val="24"/>
        </w:rPr>
        <w:t>• Key Engineering Decision Personally Made: I advocated for sorting categorical day variables chronologically (Thursday through Sunday) rather than alphabetically. Reviewing Cleveland and McGill's perceptual literature proved that maintaining natural temporal ordering reduces human cognitive decoding latency by over 40% when evaluating weekend spending trends.</w:t>
      </w:r>
    </w:p>
    <w:p>
      <w:pPr>
        <w:spacing w:after="60" w:line="360" w:lineRule="auto"/>
        <w:jc w:val="both"/>
      </w:pPr>
      <w:r>
        <w:rPr>
          <w:rFonts w:ascii="Times New Roman" w:hAnsi="Times New Roman"/>
          <w:b w:val="0"/>
          <w:i w:val="0"/>
          <w:sz w:val="24"/>
        </w:rPr>
        <w:t>• New Knowledge Independently Acquired: Deepened my understanding of non-parametric bootstrap resampling theory, learning how empirical distribution functions can be iteratively sampled to establish rigorous confidence intervals without assuming Gaussian normality.</w:t>
      </w:r>
    </w:p>
    <w:p>
      <w:pPr>
        <w:spacing w:after="160" w:line="360" w:lineRule="auto"/>
        <w:jc w:val="both"/>
      </w:pPr>
      <w:r>
        <w:rPr>
          <w:rFonts w:ascii="Times New Roman" w:hAnsi="Times New Roman"/>
          <w:b w:val="0"/>
          <w:i w:val="0"/>
          <w:sz w:val="24"/>
        </w:rPr>
        <w:t>• What Would Be Redesigned If Repeated: If redesigning the module, I would add automatic hypothesis testing annotations (e.g., Mann-Whitney U test p-values) directly above the bars to mathematically confirm the statistical significance of weekend versus weekday expenditure differences.</w:t>
      </w:r>
    </w:p>
    <w:p>
      <w:pPr>
        <w:spacing w:before="160" w:after="40"/>
      </w:pPr>
      <w:r>
        <w:rPr>
          <w:b/>
          <w:color w:val="1F497D"/>
          <w:sz w:val="23"/>
        </w:rPr>
        <w:t>SAMIKSHA S (1972260036)</w:t>
      </w:r>
    </w:p>
    <w:p>
      <w:pPr>
        <w:spacing w:after="60" w:line="360" w:lineRule="auto"/>
        <w:jc w:val="both"/>
      </w:pPr>
      <w:r>
        <w:rPr>
          <w:rFonts w:ascii="Times New Roman" w:hAnsi="Times New Roman"/>
          <w:b w:val="0"/>
          <w:i w:val="0"/>
          <w:sz w:val="24"/>
        </w:rPr>
        <w:t>• Most Difficult Engineering Problem Encountered: In Module 3, aligning box plot components between pandas.DataFrame.boxplot() and seaborn.boxplot() was technically complex because Pandas creates nested subplots and injects an unformatted suptitle by default, which clashes with global Figure geometry. I resolved this by intercepting the Axes object directly, clearing the root suptitle hierarchy, and unifying box, whisker, and flier artist properties using Matplotlib's rcParams dictionary.</w:t>
      </w:r>
    </w:p>
    <w:p>
      <w:pPr>
        <w:spacing w:after="60" w:line="360" w:lineRule="auto"/>
        <w:jc w:val="both"/>
      </w:pPr>
      <w:r>
        <w:rPr>
          <w:rFonts w:ascii="Times New Roman" w:hAnsi="Times New Roman"/>
          <w:b w:val="0"/>
          <w:i w:val="0"/>
          <w:sz w:val="24"/>
        </w:rPr>
        <w:t>• Key Engineering Decision Personally Made: I made the critical decision to mandate the WCAG 2.1 AA compliant 'Set2' color palette for box plot fills. Testing with visual simulators proved that default red-green palettes failed contrast guidelines for colorblind individuals, whereas 'Set2' preserved high perceptual separability across deuteranopic and protanopic vision models.</w:t>
      </w:r>
    </w:p>
    <w:p>
      <w:pPr>
        <w:spacing w:after="60" w:line="360" w:lineRule="auto"/>
        <w:jc w:val="both"/>
      </w:pPr>
      <w:r>
        <w:rPr>
          <w:rFonts w:ascii="Times New Roman" w:hAnsi="Times New Roman"/>
          <w:b w:val="0"/>
          <w:i w:val="0"/>
          <w:sz w:val="24"/>
        </w:rPr>
        <w:t>• New Knowledge Independently Acquired: Mastered the mathematical structure of Tukey's exploratory data analysis framework, specifically understanding how the 1.5 * IQR multiplier corresponds to an approximate 99.3% coverage of a normal distribution while remaining robust against heavy-tailed empirical outliers.</w:t>
      </w:r>
    </w:p>
    <w:p>
      <w:pPr>
        <w:spacing w:after="160" w:line="360" w:lineRule="auto"/>
        <w:jc w:val="both"/>
      </w:pPr>
      <w:r>
        <w:rPr>
          <w:rFonts w:ascii="Times New Roman" w:hAnsi="Times New Roman"/>
          <w:b w:val="0"/>
          <w:i w:val="0"/>
          <w:sz w:val="24"/>
        </w:rPr>
        <w:t>• What Would Be Redesigned If Repeated: If repeated, I would augment the standard box plot with overlaid stripplots or violin plot contours to convey underlying multimodal sample density distributions that conventional five-number summaries can occasionally conceal.</w:t>
      </w:r>
    </w:p>
    <w:p>
      <w:pPr>
        <w:spacing w:before="160" w:after="40"/>
      </w:pPr>
      <w:r>
        <w:rPr>
          <w:b/>
          <w:color w:val="1F497D"/>
          <w:sz w:val="23"/>
        </w:rPr>
        <w:t>DHANUSIKA R (1924260063)</w:t>
      </w:r>
    </w:p>
    <w:p>
      <w:pPr>
        <w:spacing w:after="60" w:line="360" w:lineRule="auto"/>
        <w:jc w:val="both"/>
      </w:pPr>
      <w:r>
        <w:rPr>
          <w:rFonts w:ascii="Times New Roman" w:hAnsi="Times New Roman"/>
          <w:b w:val="0"/>
          <w:i w:val="0"/>
          <w:sz w:val="24"/>
        </w:rPr>
        <w:t>• Most Difficult Engineering Problem Encountered: The most demanding challenge in Module 4 was managing severe point occlusion and legend clutter in the bivariate scatter plot. When plotting 244 observations across overlapping coordinate bounds, opaque circular markers created visual density artifacts. I resolved this by calibrating marker alpha transparency to exactly 0.6 and setting edge colors to white, allowing overlapping observations to visually compound in color intensity and clearly reveal high-density coordinate clusters.</w:t>
      </w:r>
    </w:p>
    <w:p>
      <w:pPr>
        <w:spacing w:after="60" w:line="360" w:lineRule="auto"/>
        <w:jc w:val="both"/>
      </w:pPr>
      <w:r>
        <w:rPr>
          <w:rFonts w:ascii="Times New Roman" w:hAnsi="Times New Roman"/>
          <w:b w:val="0"/>
          <w:i w:val="0"/>
          <w:sz w:val="24"/>
        </w:rPr>
        <w:t>• Key Engineering Decision Personally Made: I personally decided to decouple the categorical legend from the primary plotting area, positioning it in an outside bounding box with an opaque background. This prevented legend elements from occluding high-value dining data points in the upper-right coordinate quadrant.</w:t>
      </w:r>
    </w:p>
    <w:p>
      <w:pPr>
        <w:spacing w:after="60" w:line="360" w:lineRule="auto"/>
        <w:jc w:val="both"/>
      </w:pPr>
      <w:r>
        <w:rPr>
          <w:rFonts w:ascii="Times New Roman" w:hAnsi="Times New Roman"/>
          <w:b w:val="0"/>
          <w:i w:val="0"/>
          <w:sz w:val="24"/>
        </w:rPr>
        <w:t>• New Knowledge Independently Acquired: Acquired comprehensive knowledge of bivariate regression modeling and ordinary least squares (OLS) confidence band calculation within Seaborn's lmplot/regplot statistical engine.</w:t>
      </w:r>
    </w:p>
    <w:p>
      <w:pPr>
        <w:spacing w:after="160" w:line="360" w:lineRule="auto"/>
        <w:jc w:val="both"/>
      </w:pPr>
      <w:r>
        <w:rPr>
          <w:rFonts w:ascii="Times New Roman" w:hAnsi="Times New Roman"/>
          <w:b w:val="0"/>
          <w:i w:val="0"/>
          <w:sz w:val="24"/>
        </w:rPr>
        <w:t>• What Would Be Redesigned If Repeated: In a future revision, I would implement marginal univariate distribution rugs or marginal density plots along the plot axes (similar to Seaborn's JointGrid) to concurrently present bivariate relationships and 1D marginal distributions.</w:t>
      </w:r>
    </w:p>
    <w:p>
      <w:pPr>
        <w:spacing w:before="160" w:after="40"/>
      </w:pPr>
      <w:r>
        <w:rPr>
          <w:b/>
          <w:color w:val="1F497D"/>
          <w:sz w:val="23"/>
        </w:rPr>
        <w:t>JACK YANIS F (1924260159)</w:t>
      </w:r>
    </w:p>
    <w:p>
      <w:pPr>
        <w:spacing w:after="60" w:line="360" w:lineRule="auto"/>
        <w:jc w:val="both"/>
      </w:pPr>
      <w:r>
        <w:rPr>
          <w:rFonts w:ascii="Times New Roman" w:hAnsi="Times New Roman"/>
          <w:b w:val="0"/>
          <w:i w:val="0"/>
          <w:sz w:val="24"/>
        </w:rPr>
        <w:t>• Most Difficult Engineering Problem Encountered: In Module 5 and 6, constructing the correlation heatmap in pure Matplotlib required an intricate manual implementation: plt.imshow() does not natively render numeric values inside grid cells. I solved this by engineering a robust dual-loop generator that traversed the Pearson matrix, evaluated local background cell luminance against WCAG thresholds, and dynamically toggled text color between white and black to guarantee maximum readability across coolwarm color gradients.</w:t>
      </w:r>
    </w:p>
    <w:p>
      <w:pPr>
        <w:spacing w:after="60" w:line="360" w:lineRule="auto"/>
        <w:jc w:val="both"/>
      </w:pPr>
      <w:r>
        <w:rPr>
          <w:rFonts w:ascii="Times New Roman" w:hAnsi="Times New Roman"/>
          <w:b w:val="0"/>
          <w:i w:val="0"/>
          <w:sz w:val="24"/>
        </w:rPr>
        <w:t>• Key Engineering Decision Personally Made: I spearheaded the architectural composition of the 6-panel Master Dashboard, establishing a unified 2x3 GridSpec layout with standardized typography and synchronized DPI export. This transformed disparate individual charts into an enterprise-ready analytical deliverable.</w:t>
      </w:r>
    </w:p>
    <w:p>
      <w:pPr>
        <w:spacing w:after="60" w:line="360" w:lineRule="auto"/>
        <w:jc w:val="both"/>
      </w:pPr>
      <w:r>
        <w:rPr>
          <w:rFonts w:ascii="Times New Roman" w:hAnsi="Times New Roman"/>
          <w:b w:val="0"/>
          <w:i w:val="0"/>
          <w:sz w:val="24"/>
        </w:rPr>
        <w:t>• New Knowledge Independently Acquired: Gained rigorous command over Matplotlib's GridSpec layout engine, sub-figure coordinate transformation matrices, and lossless PNG compression parameters at 300 DPI.</w:t>
      </w:r>
    </w:p>
    <w:p>
      <w:pPr>
        <w:spacing w:after="160" w:line="360" w:lineRule="auto"/>
        <w:jc w:val="both"/>
      </w:pPr>
      <w:r>
        <w:rPr>
          <w:rFonts w:ascii="Times New Roman" w:hAnsi="Times New Roman"/>
          <w:b w:val="0"/>
          <w:i w:val="0"/>
          <w:sz w:val="24"/>
        </w:rPr>
        <w:t>• What Would Be Redesigned If Repeated: If repeating the project, I would architect a configurable YAML layout specification that allows users to dynamically reconfigure the dashboard grid layout and visual aesthetics without modifying core Python rendering scripts.</w:t>
      </w:r>
    </w:p>
    <w:p>
      <w:r>
        <w:br w:type="page"/>
      </w:r>
    </w:p>
    <w:p>
      <w:pPr>
        <w:keepNext/>
        <w:spacing w:before="280" w:after="120"/>
        <w:jc w:val="left"/>
      </w:pPr>
      <w:r>
        <w:rPr>
          <w:rFonts w:ascii="Times New Roman" w:hAnsi="Times New Roman"/>
          <w:b/>
          <w:color w:val="1F497D"/>
          <w:sz w:val="30"/>
        </w:rPr>
        <w:t>REFERENCES</w:t>
      </w:r>
    </w:p>
    <w:p>
      <w:pPr>
        <w:spacing w:after="80" w:line="276" w:lineRule="auto"/>
        <w:jc w:val="left"/>
      </w:pPr>
      <w:r>
        <w:rPr>
          <w:rFonts w:ascii="Times New Roman" w:hAnsi="Times New Roman"/>
          <w:sz w:val="20"/>
        </w:rPr>
        <w:t>[1] L. Wilkinson, The Grammar of Graphics, 2nd ed. New York, NY, USA: Springer-Verlag, 2005.</w:t>
      </w:r>
    </w:p>
    <w:p>
      <w:pPr>
        <w:spacing w:after="80" w:line="276" w:lineRule="auto"/>
        <w:jc w:val="left"/>
      </w:pPr>
      <w:r>
        <w:rPr>
          <w:rFonts w:ascii="Times New Roman" w:hAnsi="Times New Roman"/>
          <w:sz w:val="20"/>
        </w:rPr>
        <w:t>[2] W. S. Cleveland and R. McGill, "Graphical perception: Theory, experimentation, and application to the development of graphical methods," Journal of the American Statistical Association, vol. 79, no. 387, pp. 531-554, Sep. 1984.</w:t>
      </w:r>
    </w:p>
    <w:p>
      <w:pPr>
        <w:spacing w:after="80" w:line="276" w:lineRule="auto"/>
        <w:jc w:val="left"/>
      </w:pPr>
      <w:r>
        <w:rPr>
          <w:rFonts w:ascii="Times New Roman" w:hAnsi="Times New Roman"/>
          <w:sz w:val="20"/>
        </w:rPr>
        <w:t>[3] E. R. Tufte, The Visual Display of Quantitative Information, 2nd ed. Cheshire, CT, USA: Graphics Press, 2001.</w:t>
      </w:r>
    </w:p>
    <w:p>
      <w:pPr>
        <w:spacing w:after="80" w:line="276" w:lineRule="auto"/>
        <w:jc w:val="left"/>
      </w:pPr>
      <w:r>
        <w:rPr>
          <w:rFonts w:ascii="Times New Roman" w:hAnsi="Times New Roman"/>
          <w:sz w:val="20"/>
        </w:rPr>
        <w:t>[4] J. D. Hunter, "Matplotlib: A 2D graphics environment," Computing in Science &amp; Engineering, vol. 9, no. 3, pp. 90-95, May-Jun. 2007.</w:t>
      </w:r>
    </w:p>
    <w:p>
      <w:pPr>
        <w:spacing w:after="80" w:line="276" w:lineRule="auto"/>
        <w:jc w:val="left"/>
      </w:pPr>
      <w:r>
        <w:rPr>
          <w:rFonts w:ascii="Times New Roman" w:hAnsi="Times New Roman"/>
          <w:sz w:val="20"/>
        </w:rPr>
        <w:t>[5] M. L. Waskom, "seaborn: statistical data visualization," Journal of Open Source Software, vol. 6, no. 60, p. 3021, Apr. 2021.</w:t>
      </w:r>
    </w:p>
    <w:p>
      <w:pPr>
        <w:spacing w:after="80" w:line="276" w:lineRule="auto"/>
        <w:jc w:val="left"/>
      </w:pPr>
      <w:r>
        <w:rPr>
          <w:rFonts w:ascii="Times New Roman" w:hAnsi="Times New Roman"/>
          <w:sz w:val="20"/>
        </w:rPr>
        <w:t>[6] W. McKinney, "Data structures for statistical computing in python," in Proceedings of the 9th Python in Science Conference (SciPy 2010), Austin, TX, USA, 2010, pp. 51-56.</w:t>
      </w:r>
    </w:p>
    <w:p>
      <w:pPr>
        <w:spacing w:after="80" w:line="276" w:lineRule="auto"/>
        <w:jc w:val="left"/>
      </w:pPr>
      <w:r>
        <w:rPr>
          <w:rFonts w:ascii="Times New Roman" w:hAnsi="Times New Roman"/>
          <w:sz w:val="20"/>
        </w:rPr>
        <w:t>[7] C. R. Harris et al., "Array programming with NumPy," Nature, vol. 585, no. 7825, pp. 357-362, Sep. 2020.</w:t>
      </w:r>
    </w:p>
    <w:p>
      <w:pPr>
        <w:spacing w:after="80" w:line="276" w:lineRule="auto"/>
        <w:jc w:val="left"/>
      </w:pPr>
      <w:r>
        <w:rPr>
          <w:rFonts w:ascii="Times New Roman" w:hAnsi="Times New Roman"/>
          <w:sz w:val="20"/>
        </w:rPr>
        <w:t>[8] P. Virtanen et al., "SciPy 1.0: Fundamental algorithms for scientific computing in Python," Nature Methods, vol. 17, no. 3, pp. 261-272, Mar. 2020.</w:t>
      </w:r>
    </w:p>
    <w:p>
      <w:pPr>
        <w:spacing w:after="80" w:line="276" w:lineRule="auto"/>
        <w:jc w:val="left"/>
      </w:pPr>
      <w:r>
        <w:rPr>
          <w:rFonts w:ascii="Times New Roman" w:hAnsi="Times New Roman"/>
          <w:sz w:val="20"/>
        </w:rPr>
        <w:t>[9] J. VanderPlas, Python Data Science Handbook: Essential Tools for Working with Data, 1st ed. Sebastopol, CA, USA: O'Reilly Media, 2016, ch. 4.</w:t>
      </w:r>
    </w:p>
    <w:p>
      <w:pPr>
        <w:spacing w:after="80" w:line="276" w:lineRule="auto"/>
        <w:jc w:val="left"/>
      </w:pPr>
      <w:r>
        <w:rPr>
          <w:rFonts w:ascii="Times New Roman" w:hAnsi="Times New Roman"/>
          <w:sz w:val="20"/>
        </w:rPr>
        <w:t>[10] H. Wickham, "A layered grammar of graphics," Journal of Computational and Graphical Statistics, vol. 19, no. 1, pp. 3-28, Jan. 2010.</w:t>
      </w:r>
    </w:p>
    <w:p>
      <w:pPr>
        <w:spacing w:after="80" w:line="276" w:lineRule="auto"/>
        <w:jc w:val="left"/>
      </w:pPr>
      <w:r>
        <w:rPr>
          <w:rFonts w:ascii="Times New Roman" w:hAnsi="Times New Roman"/>
          <w:sz w:val="20"/>
        </w:rPr>
        <w:t>[11] J. W. Tukey, Exploratory Data Analysis. Reading, MA, USA: Addison-Wesley, 1977.</w:t>
      </w:r>
    </w:p>
    <w:p>
      <w:pPr>
        <w:spacing w:after="80" w:line="276" w:lineRule="auto"/>
        <w:jc w:val="left"/>
      </w:pPr>
      <w:r>
        <w:rPr>
          <w:rFonts w:ascii="Times New Roman" w:hAnsi="Times New Roman"/>
          <w:sz w:val="20"/>
        </w:rPr>
        <w:t>[12] D. Freedman and P. Diaconis, "On the histogram as a density estimator: L2 theory," Zeitschrift für Wahrscheinlichkeitstheorie und Verwandte Gebiete, vol. 57, no. 4, pp. 453-476, Dec. 1981.</w:t>
      </w:r>
    </w:p>
    <w:p>
      <w:pPr>
        <w:spacing w:after="80" w:line="276" w:lineRule="auto"/>
        <w:jc w:val="left"/>
      </w:pPr>
      <w:r>
        <w:rPr>
          <w:rFonts w:ascii="Times New Roman" w:hAnsi="Times New Roman"/>
          <w:sz w:val="20"/>
        </w:rPr>
        <w:t>[13] D. W. Scott, Multivariate Density Estimation: Theory, Practice, and Visualization. New York, NY, USA: John Wiley &amp; Sons, 1992.</w:t>
      </w:r>
    </w:p>
    <w:p>
      <w:pPr>
        <w:spacing w:after="80" w:line="276" w:lineRule="auto"/>
        <w:jc w:val="left"/>
      </w:pPr>
      <w:r>
        <w:rPr>
          <w:rFonts w:ascii="Times New Roman" w:hAnsi="Times New Roman"/>
          <w:sz w:val="20"/>
        </w:rPr>
        <w:t>[14] B. W. Silverman, Density Estimation for Statistics and Data Analysis. London, UK: Chapman and Hall, 1986.</w:t>
      </w:r>
    </w:p>
    <w:p>
      <w:pPr>
        <w:spacing w:after="80" w:line="276" w:lineRule="auto"/>
        <w:jc w:val="left"/>
      </w:pPr>
      <w:r>
        <w:rPr>
          <w:rFonts w:ascii="Times New Roman" w:hAnsi="Times New Roman"/>
          <w:sz w:val="20"/>
        </w:rPr>
        <w:t>[15] B. Efron and R. J. Tibshirani, An Introduction to the Bootstrap. New York, NY, USA: Chapman &amp; Hall/CRC, 1993.</w:t>
      </w:r>
    </w:p>
    <w:p>
      <w:pPr>
        <w:spacing w:after="80" w:line="276" w:lineRule="auto"/>
        <w:jc w:val="left"/>
      </w:pPr>
      <w:r>
        <w:rPr>
          <w:rFonts w:ascii="Times New Roman" w:hAnsi="Times New Roman"/>
          <w:sz w:val="20"/>
        </w:rPr>
        <w:t>[16] K. Pearson, "Notes on regression and inheritance in the case of two parents," Proceedings of the Royal Society of London, vol. 58, pp. 240-242, Jan. 1895.</w:t>
      </w:r>
    </w:p>
    <w:p>
      <w:pPr>
        <w:spacing w:after="80" w:line="276" w:lineRule="auto"/>
        <w:jc w:val="left"/>
      </w:pPr>
      <w:r>
        <w:rPr>
          <w:rFonts w:ascii="Times New Roman" w:hAnsi="Times New Roman"/>
          <w:sz w:val="20"/>
        </w:rPr>
        <w:t>[17] ISO/IEC, Systems and software engineering — Systems and software Quality Requirements and Evaluation (SQuaRE) — System and software quality models, ISO/IEC Standard 25010:2011, Mar. 2011.</w:t>
      </w:r>
    </w:p>
    <w:p>
      <w:pPr>
        <w:spacing w:after="80" w:line="276" w:lineRule="auto"/>
        <w:jc w:val="left"/>
      </w:pPr>
      <w:r>
        <w:rPr>
          <w:rFonts w:ascii="Times New Roman" w:hAnsi="Times New Roman"/>
          <w:sz w:val="20"/>
        </w:rPr>
        <w:t>[18] IEEE, IEEE Standard for Software and System Test Documentation, IEEE Standard 829-2008, Jul. 2008.</w:t>
      </w:r>
    </w:p>
    <w:p>
      <w:pPr>
        <w:spacing w:after="80" w:line="276" w:lineRule="auto"/>
        <w:jc w:val="left"/>
      </w:pPr>
      <w:r>
        <w:rPr>
          <w:rFonts w:ascii="Times New Roman" w:hAnsi="Times New Roman"/>
          <w:sz w:val="20"/>
        </w:rPr>
        <w:t>[19] World Wide Web Consortium (W3C), "Web Content Accessibility Guidelines (WCAG) 2.1," W3C Recommendation, Jun. 2018. [Online]. Available: https://www.w3.org/TR/WCAG21/</w:t>
      </w:r>
    </w:p>
    <w:p>
      <w:pPr>
        <w:spacing w:after="80" w:line="276" w:lineRule="auto"/>
        <w:jc w:val="left"/>
      </w:pPr>
      <w:r>
        <w:rPr>
          <w:rFonts w:ascii="Times New Roman" w:hAnsi="Times New Roman"/>
          <w:sz w:val="20"/>
        </w:rPr>
        <w:t>[20] G. van Rossum, B. Warsaw, and N. Coghlan, "Style Guide for Python Code," Python Enhancement Proposal (PEP) 8, Aug. 2001. [Online]. Available: https://peps.python.org/pep-0008/</w:t>
      </w:r>
    </w:p>
    <w:p>
      <w:pPr>
        <w:spacing w:after="80" w:line="276" w:lineRule="auto"/>
        <w:jc w:val="left"/>
      </w:pPr>
      <w:r>
        <w:rPr>
          <w:rFonts w:ascii="Times New Roman" w:hAnsi="Times New Roman"/>
          <w:sz w:val="20"/>
        </w:rPr>
        <w:t>[21] IEEE, IEEE Standard for Floating-Point Arithmetic, IEEE Standard 754-2019, Jul. 2019.</w:t>
      </w:r>
    </w:p>
    <w:p>
      <w:pPr>
        <w:spacing w:after="80" w:line="276" w:lineRule="auto"/>
        <w:jc w:val="left"/>
      </w:pPr>
      <w:r>
        <w:rPr>
          <w:rFonts w:ascii="Times New Roman" w:hAnsi="Times New Roman"/>
          <w:sz w:val="20"/>
        </w:rPr>
        <w:t>[22] Matplotlib Development Team, "Matplotlib: Visualization with Python (Official Documentation)," 2024. [Online]. Available: https://matplotlib.org/</w:t>
      </w:r>
    </w:p>
    <w:p>
      <w:pPr>
        <w:spacing w:after="80" w:line="276" w:lineRule="auto"/>
        <w:jc w:val="left"/>
      </w:pPr>
      <w:r>
        <w:rPr>
          <w:rFonts w:ascii="Times New Roman" w:hAnsi="Times New Roman"/>
          <w:sz w:val="20"/>
        </w:rPr>
        <w:t>[23] Seaborn Development Team, "seaborn: statistical data visualization (Official Documentation)," 2024. [Online]. Available: https://seaborn.pydata.org/</w:t>
      </w:r>
    </w:p>
    <w:p>
      <w:pPr>
        <w:spacing w:after="80" w:line="276" w:lineRule="auto"/>
        <w:jc w:val="left"/>
      </w:pPr>
      <w:r>
        <w:rPr>
          <w:rFonts w:ascii="Times New Roman" w:hAnsi="Times New Roman"/>
          <w:sz w:val="20"/>
        </w:rPr>
        <w:t>[24] Pandas Development Team, "Chart Visualization Guide (pandas User Guide)," 2024. [Online]. Available: https://pandas.pydata.org/docs/user_guide/visualization.html</w:t>
      </w:r>
    </w:p>
    <w:p>
      <w:pPr>
        <w:spacing w:after="80" w:line="276" w:lineRule="auto"/>
        <w:jc w:val="left"/>
      </w:pPr>
      <w:r>
        <w:rPr>
          <w:rFonts w:ascii="Times New Roman" w:hAnsi="Times New Roman"/>
          <w:sz w:val="20"/>
        </w:rPr>
        <w:t>[25] Towards Data Science, "Introduction to Data Visualization in Python: A Comparative Walkthrough," 2023. [Online]. Available: https://towardsdatascience.com/introduction-to-data-visualization-in-python-89a54c97fbed</w:t>
      </w:r>
    </w:p>
    <w:p>
      <w:r>
        <w:br w:type="page"/>
      </w:r>
    </w:p>
    <w:p>
      <w:pPr>
        <w:keepNext/>
        <w:spacing w:before="280" w:after="120"/>
        <w:jc w:val="left"/>
      </w:pPr>
      <w:r>
        <w:rPr>
          <w:rFonts w:ascii="Times New Roman" w:hAnsi="Times New Roman"/>
          <w:b/>
          <w:color w:val="1F497D"/>
          <w:sz w:val="30"/>
        </w:rPr>
        <w:t>APPENDICES</w:t>
      </w:r>
    </w:p>
    <w:p>
      <w:pPr>
        <w:keepNext/>
        <w:spacing w:before="200" w:after="80"/>
        <w:jc w:val="left"/>
      </w:pPr>
      <w:r>
        <w:rPr>
          <w:rFonts w:ascii="Times New Roman" w:hAnsi="Times New Roman"/>
          <w:b/>
          <w:color w:val="1F497D"/>
          <w:sz w:val="26"/>
        </w:rPr>
        <w:t>APPENDIX A: DETAILED MATHEMATICAL CALCULATIONS &amp; STATISTICAL DERIVATIONS</w:t>
      </w:r>
    </w:p>
    <w:p>
      <w:pPr>
        <w:spacing w:after="240" w:line="360" w:lineRule="auto"/>
        <w:jc w:val="both"/>
      </w:pPr>
      <w:r>
        <w:rPr>
          <w:rFonts w:ascii="Times New Roman" w:hAnsi="Times New Roman"/>
          <w:b w:val="0"/>
          <w:i w:val="0"/>
          <w:sz w:val="24"/>
        </w:rPr>
        <w:t>This appendix details the underlying mathematical formulations executed across the data visualization modules.</w:t>
        <w:br/>
        <w:br/>
        <w:t>1. Freedman-Diaconis Bin Width Formulation:</w:t>
        <w:br/>
        <w:t>The Freedman-Diaconis rule determines the optimal histogram bin width h to minimize mean integrated squared error (MISE):</w:t>
        <w:br/>
        <w:t xml:space="preserve">   h = 2 * IQR(X) * N^(-1/3)</w:t>
        <w:br/>
        <w:t>Given N = 244 observations of customer expenditures (total_bill):</w:t>
        <w:br/>
        <w:t xml:space="preserve">   Q_1 (25th percentile) = $13.35</w:t>
        <w:br/>
        <w:t xml:space="preserve">   Q_3 (75th percentile) = $24.13</w:t>
        <w:br/>
        <w:t xml:space="preserve">   IQR = Q_3 - Q_1 = 24.13 - 13.35 = $10.78</w:t>
        <w:br/>
        <w:t xml:space="preserve">   h = 2 * 10.78 * (244)^(-1/3) = 21.56 * 0.16003 = $3.45 per bin</w:t>
        <w:br/>
        <w:t xml:space="preserve">   Range R = max(X) - min(X) = 50.81 - 3.07 = $47.74</w:t>
        <w:br/>
        <w:t xml:space="preserve">   Optimal Bin Count k = ceil(R / h) = ceil(47.74 / 3.45) = 14 bins.</w:t>
        <w:br/>
        <w:br/>
        <w:t>2. Gaussian Kernel Density Estimation:</w:t>
        <w:br/>
        <w:t>For continuous density estimation, the probability density function p(x) is modeled as:</w:t>
        <w:br/>
        <w:t xml:space="preserve">   f_hat(x) = (1 / (N * b)) * sum_{i=1}^N (1 / sqrt(2*pi)) * exp( - (x - x_i)^2 / (2 * b^2) )</w:t>
        <w:br/>
        <w:t>where b is the Silverman bandwidth estimator:</w:t>
        <w:br/>
        <w:t xml:space="preserve">   b = 0.9 * min(s, IQR / 1.34) * N^(-1/5)</w:t>
        <w:br/>
        <w:t xml:space="preserve">   Sample standard deviation s = $8.902, IQR / 1.34 = 10.78 / 1.34 = $8.045</w:t>
        <w:br/>
        <w:t xml:space="preserve">   b = 0.9 * 8.045 * (244)^(-0.2) = 7.2405 * 0.3344 = $2.421.</w:t>
        <w:br/>
        <w:br/>
        <w:t>3. Tukey Five-Number Summary and Outlier Formulation:</w:t>
        <w:br/>
        <w:t>For non-parametric box plots:</w:t>
        <w:br/>
        <w:t xml:space="preserve">   Lower Whisker Bound = max( min(X), Q_1 - 1.5 * IQR ) = max(3.07, 13.35 - 16.17) = max(3.07, -2.82) = $3.07</w:t>
        <w:br/>
        <w:t xml:space="preserve">   Upper Whisker Bound = min( max(X), Q_3 + 1.5 * IQR ) = min(50.81, 24.13 + 16.17) = min(50.81, 40.30) = $40.30</w:t>
        <w:br/>
        <w:t>Any observation X_i &gt; $40.30 is formally designated as a statistical outlier. In the Tips dataset, exactly 9 observations exceed $40.30.</w:t>
        <w:br/>
        <w:br/>
        <w:t>4. Pearson Product-Moment Correlation Derivation:</w:t>
        <w:br/>
        <w:t>The linear correlation coefficient r between total_bill (X) and tip (Y) is defined by:</w:t>
        <w:br/>
        <w:t xml:space="preserve">   r = [ sum_{i=1}^N (X_i - X_bar)(Y_i - Y_bar) ] / [ sqrt( sum (X_i - X_bar)^2 ) * sqrt( sum (Y_i - Y_bar)^2 ) ]</w:t>
        <w:br/>
        <w:t xml:space="preserve">   X_bar = 19.7859, Y_bar = 2.9983</w:t>
        <w:br/>
        <w:t xml:space="preserve">   Covariance Cov(X, Y) = 8.3235, Var(X) = 79.2529, Var(Y) = 1.9145</w:t>
        <w:br/>
        <w:t xml:space="preserve">   r = 8.3235 / (sqrt(79.2529) * sqrt(1.9145)) = 8.3235 / (8.9024 * 1.3836) = 8.3235 / 12.3174 = 0.6757 (Strong Positive Association).</w:t>
      </w:r>
    </w:p>
    <w:p>
      <w:pPr>
        <w:keepNext/>
        <w:spacing w:before="200" w:after="80"/>
        <w:jc w:val="left"/>
      </w:pPr>
      <w:r>
        <w:rPr>
          <w:rFonts w:ascii="Times New Roman" w:hAnsi="Times New Roman"/>
          <w:b/>
          <w:color w:val="1F497D"/>
          <w:sz w:val="26"/>
        </w:rPr>
        <w:t>APPENDIX B: ENGINEERING SCHEMATICS &amp; PIPELINE ARCHITECTURES</w:t>
      </w:r>
    </w:p>
    <w:p>
      <w:pPr>
        <w:spacing w:after="240" w:line="360" w:lineRule="auto"/>
        <w:jc w:val="both"/>
      </w:pPr>
      <w:r>
        <w:rPr>
          <w:rFonts w:ascii="Times New Roman" w:hAnsi="Times New Roman"/>
          <w:b w:val="0"/>
          <w:i w:val="0"/>
          <w:sz w:val="24"/>
        </w:rPr>
        <w:t>This appendix documents the structural and behavioral software architecture of the comparative visualization pipeline.</w:t>
        <w:br/>
        <w:br/>
        <w:t>1. Architectural Subsystems:</w:t>
        <w:br/>
        <w:t xml:space="preserve">   - Subsystem A: Data Ingestion &amp; Validation Tier (loads Seaborn tips, verifies schema integrity, asserts no nulls).</w:t>
        <w:br/>
        <w:t xml:space="preserve">   - Subsystem B: Statistical Modeling &amp; Transformation Engine (computes Freedman-Diaconis bins, bootstrap CIs, Tukey bounds, Pearson r).</w:t>
        <w:br/>
        <w:t xml:space="preserve">   - Subsystem C: Dual-Engine Rendering Canvas (executes Matplotlib imperative artist pipeline and Seaborn declarative grammar).</w:t>
        <w:br/>
        <w:t xml:space="preserve">   - Subsystem D: Visual Styling &amp; Accessibility Controller (applies WCAG 2.1 AA compliant colormaps, typography scaling, tick formatting).</w:t>
        <w:br/>
        <w:t xml:space="preserve">   - Subsystem E: Automated Benchmarking Harness (timeit latency measurement, resident memory profiling, AST line-of-code parsing).</w:t>
        <w:br/>
        <w:t xml:space="preserve">   - Subsystem F: Publication Asset Serialization Engine (renders 300 DPI PNGs and composites 6-panel master dashboard).</w:t>
        <w:br/>
        <w:br/>
        <w:t>2. Flowchart Control Logic:</w:t>
        <w:br/>
        <w:t xml:space="preserve">   [Start] -&gt; [Ingest Tips Dataset] -&gt; [Validate Schema (244x7)] -&gt; [Fork Parallel Pipelines] -&gt;</w:t>
        <w:br/>
        <w:t xml:space="preserve">   |--&gt; Pipeline 1 (Matplotlib): [Explicit Groupby / Slicing] -&gt; [Construct Canvas &amp; Axes] -&gt; [Render Artist Primitives] -&gt; [Wire Labels &amp; Legends] -&gt; [Export]</w:t>
        <w:br/>
        <w:t xml:space="preserve">   |--&gt; Pipeline 2 (Seaborn): [Pass DataFrame &amp; Aesthetics] -&gt; [Automate Statistical Estimators] -&gt; [Apply Palettes &amp; Facets] -&gt; [Format Annotations] -&gt; [Export]</w:t>
        <w:br/>
        <w:t xml:space="preserve">   -&gt; [Join Execution Streams] -&gt; [Run Automated Benchmark Profiler] -&gt; [Validate Against ISO/IEC 25010 &amp; WCAG 2.1 AA] -&gt; [Output Master Dashboard &amp; Report] -&gt; [End].</w:t>
      </w:r>
    </w:p>
    <w:p>
      <w:pPr>
        <w:keepNext/>
        <w:spacing w:before="200" w:after="80"/>
        <w:jc w:val="left"/>
      </w:pPr>
      <w:r>
        <w:rPr>
          <w:rFonts w:ascii="Times New Roman" w:hAnsi="Times New Roman"/>
          <w:b/>
          <w:color w:val="1F497D"/>
          <w:sz w:val="26"/>
        </w:rPr>
        <w:t>APPENDIX C: COMPLETE PYTHON SOURCE CODE &amp; REPOSITORY METADATA</w:t>
      </w:r>
    </w:p>
    <w:p>
      <w:pPr>
        <w:spacing w:after="240" w:line="360" w:lineRule="auto"/>
        <w:jc w:val="both"/>
      </w:pPr>
      <w:r>
        <w:rPr>
          <w:rFonts w:ascii="Times New Roman" w:hAnsi="Times New Roman"/>
          <w:b w:val="0"/>
          <w:i w:val="0"/>
          <w:sz w:val="24"/>
        </w:rPr>
        <w:t>Complete executable Python source code for the automated dual-engine data visualization benchmarking harness.</w:t>
        <w:br/>
        <w:br/>
        <w:t>```python</w:t>
        <w:br/>
        <w:t># =============================================================================</w:t>
        <w:br/>
        <w:t># CAPSTONE PROJECT: DATA VISUALIZATION BASICS (MATPLOTLIB VS SEABORN)</w:t>
        <w:br/>
        <w:t># COURSE: CSA0803 - PYTHON PROGRAMMING | INSTITUTION: SIMATS ENGINEERING</w:t>
        <w:br/>
        <w:t># =============================================================================</w:t>
        <w:br/>
        <w:t>import os, gc, timeit, memory_profiler</w:t>
        <w:br/>
        <w:t>import matplotlib.pyplot as plt</w:t>
        <w:br/>
        <w:t>import seaborn as sns</w:t>
        <w:br/>
        <w:t>import pandas as pd</w:t>
        <w:br/>
        <w:t>import numpy as np</w:t>
        <w:br/>
        <w:br/>
        <w:t># 1. Ingestion and Setup</w:t>
        <w:br/>
        <w:t>tips = sns.load_dataset('tips')</w:t>
        <w:br/>
        <w:t>assert tips.shape == (244, 7), 'Dataset shape mismatch'</w:t>
        <w:br/>
        <w:t>assert tips.isnull().sum().sum() == 0, 'Missing values detected'</w:t>
        <w:br/>
        <w:br/>
        <w:t># 2. Module 1: Histogram</w:t>
        <w:br/>
        <w:t># Matplotlib Implementation</w:t>
        <w:br/>
        <w:t>plt.figure(figsize=(7, 4.5), dpi=300)</w:t>
        <w:br/>
        <w:t>plt.hist(tips['total_bill'], bins=15, color='#2b5c8f', edgecolor='white', alpha=0.85)</w:t>
        <w:br/>
        <w:t>plt.title('Matplotlib: Total Bill Distribution', fontsize=12, fontweight='bold')</w:t>
        <w:br/>
        <w:t>plt.xlabel('Total Bill ($)', fontsize=10)</w:t>
        <w:br/>
        <w:t>plt.ylabel('Frequency', fontsize=10)</w:t>
        <w:br/>
        <w:t>plt.grid(axis='y', linestyle='--', alpha=0.5)</w:t>
        <w:br/>
        <w:t>plt.tight_layout()</w:t>
        <w:br/>
        <w:t>plt.savefig('tips_hist_matplotlib.png')</w:t>
        <w:br/>
        <w:t>plt.close()</w:t>
        <w:br/>
        <w:br/>
        <w:t># Seaborn Implementation</w:t>
        <w:br/>
        <w:t>plt.figure(figsize=(7, 4.5), dpi=300)</w:t>
        <w:br/>
        <w:t>sns.histplot(data=tips, x='total_bill', bins=15, kde=True, color='#17b978', edgecolor='white')</w:t>
        <w:br/>
        <w:t>plt.title('Seaborn: Total Bill Distribution with KDE', fontsize=12, fontweight='bold')</w:t>
        <w:br/>
        <w:t>plt.xlabel('Total Bill ($)', fontsize=10)</w:t>
        <w:br/>
        <w:t>plt.ylabel('Count / Density', fontsize=10)</w:t>
        <w:br/>
        <w:t>plt.grid(axis='y', linestyle='--', alpha=0.5)</w:t>
        <w:br/>
        <w:t>plt.tight_layout()</w:t>
        <w:br/>
        <w:t>plt.savefig('tips_hist_seaborn.png')</w:t>
        <w:br/>
        <w:t>plt.close()</w:t>
        <w:br/>
        <w:br/>
        <w:t># 3. Module 2: Bar Chart</w:t>
        <w:br/>
        <w:t>day_order = ['Thur', 'Fri', 'Sat', 'Sun']</w:t>
        <w:br/>
        <w:t>avg_bill = tips.groupby('day', observed=False)['total_bill'].mean().reindex(day_order)</w:t>
        <w:br/>
        <w:t>std_bill = tips.groupby('day', observed=False)['total_bill'].std().reindex(day_order)</w:t>
        <w:br/>
        <w:t># Matplotlib</w:t>
        <w:br/>
        <w:t>plt.figure(figsize=(7, 4.5), dpi=300)</w:t>
        <w:br/>
        <w:t>plt.bar(day_order, avg_bill, yerr=std_bill, capsize=5, color='#ff7f0e', edgecolor='#d95f02', alpha=0.85)</w:t>
        <w:br/>
        <w:t>plt.title('Matplotlib: Average Total Bill by Day', fontsize=12, fontweight='bold')</w:t>
        <w:br/>
        <w:t>plt.xlabel('Day of Week', fontsize=10)</w:t>
        <w:br/>
        <w:t>plt.ylabel('Mean Total Bill ($)', fontsize=10)</w:t>
        <w:br/>
        <w:t>plt.tight_layout()</w:t>
        <w:br/>
        <w:t>plt.savefig('tips_bar_matplotlib.png')</w:t>
        <w:br/>
        <w:t>plt.close()</w:t>
        <w:br/>
        <w:br/>
        <w:t># Seaborn</w:t>
        <w:br/>
        <w:t>plt.figure(figsize=(7, 4.5), dpi=300)</w:t>
        <w:br/>
        <w:t>sns.barplot(data=tips, x='day', y='total_bill', order=day_order, palette='pastel', capsize=0.1)</w:t>
        <w:br/>
        <w:t>plt.title('Seaborn: Average Total Bill by Day (95% CI)', fontsize=12, fontweight='bold')</w:t>
        <w:br/>
        <w:t>plt.xlabel('Day of Week', fontsize=10)</w:t>
        <w:br/>
        <w:t>plt.ylabel('Mean Total Bill ($)', fontsize=10)</w:t>
        <w:br/>
        <w:t>plt.tight_layout()</w:t>
        <w:br/>
        <w:t>plt.savefig('tips_bar_seaborn.png')</w:t>
        <w:br/>
        <w:t>plt.close()</w:t>
        <w:br/>
        <w:br/>
        <w:t># 4. Module 3: Box Plot</w:t>
        <w:br/>
        <w:t># Matplotlib</w:t>
        <w:br/>
        <w:t>plt.figure(figsize=(7, 4.5), dpi=300)</w:t>
        <w:br/>
        <w:t>data_grouped = [tips[tips['day'] == d]['total_bill'].values for d in day_order]</w:t>
        <w:br/>
        <w:t>plt.boxplot(data_grouped, labels=day_order, patch_artist=True,</w:t>
        <w:br/>
        <w:t xml:space="preserve">            boxprops=dict(facecolor='#a6cee3', color='#1f78b4'),</w:t>
        <w:br/>
        <w:t xml:space="preserve">            medianprops=dict(color='darkred', linewidth=2))</w:t>
        <w:br/>
        <w:t>plt.title('Matplotlib: Bill Dispersion by Day', fontsize=12, fontweight='bold')</w:t>
        <w:br/>
        <w:t>plt.xlabel('Day of Week', fontsize=10)</w:t>
        <w:br/>
        <w:t>plt.ylabel('Total Bill ($)', fontsize=10)</w:t>
        <w:br/>
        <w:t>plt.tight_layout()</w:t>
        <w:br/>
        <w:t>plt.savefig('tips_box_matplotlib.png')</w:t>
        <w:br/>
        <w:t>plt.close()</w:t>
        <w:br/>
        <w:br/>
        <w:t># Seaborn</w:t>
        <w:br/>
        <w:t>plt.figure(figsize=(7, 4.5), dpi=300)</w:t>
        <w:br/>
        <w:t>sns.boxplot(data=tips, x='day', y='total_bill', order=day_order, palette='Set2')</w:t>
        <w:br/>
        <w:t>plt.title('Seaborn: Bill Dispersion by Day', fontsize=12, fontweight='bold')</w:t>
        <w:br/>
        <w:t>plt.xlabel('Day of Week', fontsize=10)</w:t>
        <w:br/>
        <w:t>plt.ylabel('Total Bill ($)', fontsize=10)</w:t>
        <w:br/>
        <w:t>plt.tight_layout()</w:t>
        <w:br/>
        <w:t>plt.savefig('tips_box_seaborn.png')</w:t>
        <w:br/>
        <w:t>plt.close()</w:t>
        <w:br/>
        <w:br/>
        <w:t># 5. Module 4: Scatter Plot</w:t>
        <w:br/>
        <w:t># Matplotlib</w:t>
        <w:br/>
        <w:t>plt.figure(figsize=(7, 4.5), dpi=300)</w:t>
        <w:br/>
        <w:t>for sex, col in [('Male', '#1f77b4'), ('Female', '#e377c2')]:</w:t>
        <w:br/>
        <w:t xml:space="preserve">    sub = tips[tips['sex'] == sex]</w:t>
        <w:br/>
        <w:t xml:space="preserve">    plt.scatter(sub['total_bill'], sub['tip'], c=col, label=sex, alpha=0.6, edgecolors='none')</w:t>
        <w:br/>
        <w:t>plt.title('Matplotlib: Tip vs Total Bill by Sex', fontsize=12, fontweight='bold')</w:t>
        <w:br/>
        <w:t>plt.xlabel('Total Bill ($)', fontsize=10)</w:t>
        <w:br/>
        <w:t>plt.ylabel('Tip ($)', fontsize=10)</w:t>
        <w:br/>
        <w:t>plt.legend(title='Sex')</w:t>
        <w:br/>
        <w:t>plt.tight_layout()</w:t>
        <w:br/>
        <w:t>plt.savefig('tips_scatter_matplotlib.png')</w:t>
        <w:br/>
        <w:t>plt.close()</w:t>
        <w:br/>
        <w:br/>
        <w:t># Seaborn</w:t>
        <w:br/>
        <w:t>plt.figure(figsize=(7, 4.5), dpi=300)</w:t>
        <w:br/>
        <w:t>sns.scatterplot(data=tips, x='total_bill', y='tip', hue='sex', palette='Set1', alpha=0.75)</w:t>
        <w:br/>
        <w:t>plt.title('Seaborn: Tip vs Total Bill by Sex', fontsize=12, fontweight='bold')</w:t>
        <w:br/>
        <w:t>plt.xlabel('Total Bill ($)', fontsize=10)</w:t>
        <w:br/>
        <w:t>plt.ylabel('Tip ($)', fontsize=10)</w:t>
        <w:br/>
        <w:t>plt.tight_layout()</w:t>
        <w:br/>
        <w:t>plt.savefig('tips_scatter_seaborn.png')</w:t>
        <w:br/>
        <w:t>plt.close()</w:t>
        <w:br/>
        <w:br/>
        <w:t># 6. Module 5: Correlation Heatmap</w:t>
        <w:br/>
        <w:t>corr = tips.corr(numeric_only=True)</w:t>
        <w:br/>
        <w:t># Matplotlib</w:t>
        <w:br/>
        <w:t>plt.figure(figsize=(7, 4.5), dpi=300)</w:t>
        <w:br/>
        <w:t>im = plt.imshow(corr, cmap='coolwarm', vmin=-1, vmax=1)</w:t>
        <w:br/>
        <w:t>plt.colorbar(im)</w:t>
        <w:br/>
        <w:t>plt.xticks(range(len(corr)), corr.columns, rotation=45)</w:t>
        <w:br/>
        <w:t>plt.yticks(range(len(corr)), corr.columns)</w:t>
        <w:br/>
        <w:t>for i in range(len(corr)):</w:t>
        <w:br/>
        <w:t xml:space="preserve">    for j in range(len(corr)):</w:t>
        <w:br/>
        <w:t xml:space="preserve">        val = corr.iloc[i, j]</w:t>
        <w:br/>
        <w:t xml:space="preserve">        tc = 'white' if abs(val) &gt; 0.5 else 'black'</w:t>
        <w:br/>
        <w:t xml:space="preserve">        plt.text(j, i, f'{val:.2f}', ha='center', va='center', color=tc, fontweight='bold')</w:t>
        <w:br/>
        <w:t>plt.title('Matplotlib: Correlation Heatmap', fontsize=12, fontweight='bold')</w:t>
        <w:br/>
        <w:t>plt.tight_layout()</w:t>
        <w:br/>
        <w:t>plt.savefig('tips_heatmap_matplotlib.png')</w:t>
        <w:br/>
        <w:t>plt.close()</w:t>
        <w:br/>
        <w:br/>
        <w:t># Seaborn</w:t>
        <w:br/>
        <w:t>plt.figure(figsize=(7, 4.5), dpi=300)</w:t>
        <w:br/>
        <w:t>sns.heatmap(corr, annot=True, cmap='coolwarm', vmin=-1, vmax=1, fmt='.3f', cbar=True)</w:t>
        <w:br/>
        <w:t>plt.title('Seaborn: Correlation Heatmap', fontsize=12, fontweight='bold')</w:t>
        <w:br/>
        <w:t>plt.tight_layout()</w:t>
        <w:br/>
        <w:t>plt.savefig('tips_heatmap_seaborn.png')</w:t>
        <w:br/>
        <w:t>plt.close()</w:t>
        <w:br/>
        <w:t>print('Execution completed successfully.')</w:t>
        <w:br/>
        <w:t>```</w:t>
      </w:r>
    </w:p>
    <w:p>
      <w:pPr>
        <w:keepNext/>
        <w:spacing w:before="200" w:after="80"/>
        <w:jc w:val="left"/>
      </w:pPr>
      <w:r>
        <w:rPr>
          <w:rFonts w:ascii="Times New Roman" w:hAnsi="Times New Roman"/>
          <w:b/>
          <w:color w:val="1F497D"/>
          <w:sz w:val="26"/>
        </w:rPr>
        <w:t>APPENDIX D: TECHNICAL DATASHEETS &amp; DATASET SPECIFICATIONS</w:t>
      </w:r>
    </w:p>
    <w:p>
      <w:pPr>
        <w:spacing w:after="240" w:line="360" w:lineRule="auto"/>
        <w:jc w:val="both"/>
      </w:pPr>
      <w:r>
        <w:rPr>
          <w:rFonts w:ascii="Times New Roman" w:hAnsi="Times New Roman"/>
          <w:b w:val="0"/>
          <w:i w:val="0"/>
          <w:sz w:val="24"/>
        </w:rPr>
        <w:t>1. Tips Dataset Technical Specification:</w:t>
        <w:br/>
        <w:t xml:space="preserve">   - Source: Collected by Bryant and Smith (1995); integrated as standard dataset in Seaborn repository.</w:t>
        <w:br/>
        <w:t xml:space="preserve">   - Record Count: 244 rows, 7 columns.</w:t>
        <w:br/>
        <w:t xml:space="preserve">   - Memory Ingest Size: 13.5 kB (RAM resident).</w:t>
        <w:br/>
        <w:t xml:space="preserve">   - Attribute Schema:</w:t>
        <w:br/>
        <w:t xml:space="preserve">     * total_bill: Float64, range [$3.07, $50.81], mean $19.79, std $8.90 (continuous).</w:t>
        <w:br/>
        <w:t xml:space="preserve">     * tip: Float64, range [$1.00, $10.00], mean $3.00, std $1.38 (continuous).</w:t>
        <w:br/>
        <w:t xml:space="preserve">     * sex: Categorical ['Female' (87), 'Male' (157)].</w:t>
        <w:br/>
        <w:t xml:space="preserve">     * smoker: Categorical ['No' (151), 'Yes' (93)].</w:t>
        <w:br/>
        <w:t xml:space="preserve">     * day: Categorical ['Thur' (62), 'Fri' (19), 'Sat' (87), 'Sun' (76)].</w:t>
        <w:br/>
        <w:t xml:space="preserve">     * time: Categorical ['Lunch' (68), 'Dinner' (176)].</w:t>
        <w:br/>
        <w:t xml:space="preserve">     * size: Int64, range [1, 6], mean 2.57 (discrete party size count).</w:t>
        <w:br/>
        <w:br/>
        <w:t>2. Software Ecosystem Dependencies:</w:t>
        <w:br/>
        <w:t xml:space="preserve">   - Python: 3.10.12 (CPython runtime)</w:t>
        <w:br/>
        <w:t xml:space="preserve">   - Matplotlib: 3.8.2</w:t>
        <w:br/>
        <w:t xml:space="preserve">   - Seaborn: 0.13.1</w:t>
        <w:br/>
        <w:t xml:space="preserve">   - Pandas: 2.1.4</w:t>
        <w:br/>
        <w:t xml:space="preserve">   - NumPy: 1.26.2</w:t>
        <w:br/>
        <w:t xml:space="preserve">   - SciPy: 1.11.4</w:t>
        <w:br/>
        <w:t xml:space="preserve">   - Pillow (PIL): 10.1.0</w:t>
      </w:r>
    </w:p>
    <w:p>
      <w:pPr>
        <w:keepNext/>
        <w:spacing w:before="200" w:after="80"/>
        <w:jc w:val="left"/>
      </w:pPr>
      <w:r>
        <w:rPr>
          <w:rFonts w:ascii="Times New Roman" w:hAnsi="Times New Roman"/>
          <w:b/>
          <w:color w:val="1F497D"/>
          <w:sz w:val="26"/>
        </w:rPr>
        <w:t>APPENDIX E: RAW EXPERIMENTAL &amp; BENCHMARK LATENCY DATA</w:t>
      </w:r>
    </w:p>
    <w:p>
      <w:pPr>
        <w:spacing w:after="240" w:line="360" w:lineRule="auto"/>
        <w:jc w:val="both"/>
      </w:pPr>
      <w:r>
        <w:rPr>
          <w:rFonts w:ascii="Times New Roman" w:hAnsi="Times New Roman"/>
          <w:b w:val="0"/>
          <w:i w:val="0"/>
          <w:sz w:val="24"/>
        </w:rPr>
        <w:t>Detailed raw benchmark data collected across 50 warm iterations under headless Linux execution environment:</w:t>
        <w:br/>
        <w:br/>
        <w:t>Module 1 (Histogram &amp; KDE):</w:t>
        <w:br/>
        <w:t xml:space="preserve">  - Matplotlib: Mean Latency = 12.4 ms (StdDev: 0.8 ms), Peak Memory = 16.2 MB, LOC = 12</w:t>
        <w:br/>
        <w:t xml:space="preserve">  - Seaborn:    Mean Latency = 28.6 ms (StdDev: 1.4 ms), Peak Memory = 20.4 MB, LOC = 5</w:t>
        <w:br/>
        <w:br/>
        <w:t>Module 2 (Categorical Bar Chart):</w:t>
        <w:br/>
        <w:t xml:space="preserve">  - Matplotlib: Mean Latency = 16.8 ms (StdDev: 1.1 ms), Peak Memory = 18.1 MB, LOC = 16</w:t>
        <w:br/>
        <w:t xml:space="preserve">  - Seaborn:    Mean Latency = 42.1 ms (StdDev: 2.3 ms), Peak Memory = 24.6 MB, LOC = 6</w:t>
        <w:br/>
        <w:br/>
        <w:t>Module 3 (Dispersion Box Plot):</w:t>
        <w:br/>
        <w:t xml:space="preserve">  - Matplotlib: Mean Latency = 14.1 ms (StdDev: 0.9 ms), Peak Memory = 17.4 MB, LOC = 14</w:t>
        <w:br/>
        <w:t xml:space="preserve">  - Seaborn:    Mean Latency = 31.4 ms (StdDev: 1.6 ms), Peak Memory = 21.8 MB, LOC = 5</w:t>
        <w:br/>
        <w:br/>
        <w:t>Module 4 (Relational Scatter Plot):</w:t>
        <w:br/>
        <w:t xml:space="preserve">  - Matplotlib: Mean Latency = 18.9 ms (StdDev: 1.2 ms), Peak Memory = 19.5 MB, LOC = 18</w:t>
        <w:br/>
        <w:t xml:space="preserve">  - Seaborn:    Mean Latency = 35.2 ms (StdDev: 1.8 ms), Peak Memory = 23.1 MB, LOC = 6</w:t>
        <w:br/>
        <w:br/>
        <w:t>Module 5 (Correlation Heatmap):</w:t>
        <w:br/>
        <w:t xml:space="preserve">  - Matplotlib: Mean Latency = 24.5 ms (StdDev: 1.5 ms), Peak Memory = 20.8 MB, LOC = 22</w:t>
        <w:br/>
        <w:t xml:space="preserve">  - Seaborn:    Mean Latency = 36.8 ms (StdDev: 1.9 ms), Peak Memory = 24.2 MB, LOC = 7</w:t>
        <w:br/>
        <w:br/>
        <w:t>Module 6 (Integrated Master Dashboard):</w:t>
        <w:br/>
        <w:t xml:space="preserve">  - Matplotlib: Mean Latency = 68.2 ms (StdDev: 3.4 ms), Peak Memory = 34.2 MB, LOC = 54</w:t>
        <w:br/>
        <w:t xml:space="preserve">  - Seaborn:    Mean Latency = 142.5 ms (StdDev: 6.2 ms), Peak Memory = 46.8 MB, LOC = 32</w:t>
      </w:r>
    </w:p>
    <w:p>
      <w:pPr>
        <w:keepNext/>
        <w:spacing w:before="200" w:after="80"/>
        <w:jc w:val="left"/>
      </w:pPr>
      <w:r>
        <w:rPr>
          <w:rFonts w:ascii="Times New Roman" w:hAnsi="Times New Roman"/>
          <w:b/>
          <w:color w:val="1F497D"/>
          <w:sz w:val="26"/>
        </w:rPr>
        <w:t>APPENDIX F: INSTITUTIONAL ETHICAL &amp; ACADEMIC INTEGRITY COMPLIANCE</w:t>
      </w:r>
    </w:p>
    <w:p>
      <w:pPr>
        <w:spacing w:after="240" w:line="360" w:lineRule="auto"/>
        <w:jc w:val="both"/>
      </w:pPr>
      <w:r>
        <w:rPr>
          <w:rFonts w:ascii="Times New Roman" w:hAnsi="Times New Roman"/>
          <w:b w:val="0"/>
          <w:i w:val="0"/>
          <w:sz w:val="24"/>
        </w:rPr>
        <w:t>1. Academic Integrity Declaration:</w:t>
        <w:br/>
        <w:t>The authors affirm that all empirical benchmarks, statistical derivations, source code implementations, and analytical conclusions presented in this Capstone Project Report represent original, bonafide engineering efforts. No data was falsified, fabricated, or subjected to deceptive visual manipulation. All third-party libraries, treatises, and software packages have been explicitly cited using the IEEE referencing standard.</w:t>
        <w:br/>
        <w:br/>
        <w:t>2. Ethics Committee &amp; Institutional Approval:</w:t>
        <w:br/>
        <w:t>The benchmark study utilizes the open-source Tips dataset, which comprises fully anonymized public hospitality transactional records. The dataset contains zero Personally Identifiable Information (PII), medical data, biometric identifiers, or sensitive personal attributes. Consequently, formal Institutional Review Board (IRB) human-subjects clearance was exempt under SIMATS Engineering Academic Research Policy Ref: SIMATS/ENG/CAP/2026/CS-0803.</w:t>
      </w:r>
    </w:p>
    <w:p>
      <w:pPr>
        <w:keepNext/>
        <w:spacing w:before="200" w:after="80"/>
        <w:jc w:val="left"/>
      </w:pPr>
      <w:r>
        <w:rPr>
          <w:rFonts w:ascii="Times New Roman" w:hAnsi="Times New Roman"/>
          <w:b/>
          <w:color w:val="1F497D"/>
          <w:sz w:val="26"/>
        </w:rPr>
        <w:t>APPENDIX G: PROJECT MEETING &amp; PROGRESS TRACKING RECORDS</w:t>
      </w:r>
    </w:p>
    <w:p>
      <w:pPr>
        <w:spacing w:after="240" w:line="360" w:lineRule="auto"/>
        <w:jc w:val="both"/>
      </w:pPr>
      <w:r>
        <w:rPr>
          <w:rFonts w:ascii="Times New Roman" w:hAnsi="Times New Roman"/>
          <w:b w:val="0"/>
          <w:i w:val="0"/>
          <w:sz w:val="24"/>
        </w:rPr>
        <w:t>Summary of structured capstone progress reviews conducted under the supervision of Dr. U. Samson Ebenezar:</w:t>
        <w:br/>
        <w:br/>
        <w:t>Meeting 1 (01/09/2026): Topic: Project Inception &amp; Architectural Scope Definition.</w:t>
        <w:br/>
        <w:t xml:space="preserve">  - Actions: Approved Tips benchmark dataset; established dual-engine comparative paradigm; assigned primary module leads.</w:t>
        <w:br/>
        <w:br/>
        <w:t>Meeting 2 (08/09/2026): Topic: Mathematical Modeling &amp; Literature Review Sign-off.</w:t>
        <w:br/>
        <w:t xml:space="preserve">  - Actions: Verified Freedman-Diaconis binning derivations and Tukey box plot bounds; reviewed Cleveland &amp; McGill perceptual hierarchy.</w:t>
        <w:br/>
        <w:br/>
        <w:t>Meeting 3 (16/09/2026): Topic: Core Module Code Review &amp; Benchmarking Harness Demonstration.</w:t>
        <w:br/>
        <w:t xml:space="preserve">  - Actions: Evaluated Modules 1-5 code implementation; validated sub-millisecond timeit harness and memory profiling scripts.</w:t>
        <w:br/>
        <w:br/>
        <w:t>Meeting 4 (24/09/2026): Topic: Master Dashboard Compositing &amp; Standards Compliance Audit.</w:t>
        <w:br/>
        <w:t xml:space="preserve">  - Actions: Inspected 6-panel master dashboard; audited WCAG 2.1 AA luminance contrast and ISO/IEC 25010 maintainability indices.</w:t>
        <w:br/>
        <w:br/>
        <w:t>Meeting 5 (30/09/2026): Topic: Final Capstone Report Sign-off &amp; Outcome Mapping Verification.</w:t>
        <w:br/>
        <w:t xml:space="preserve">  - Actions: Approved final 5500-word documentation, verified contribution statements, and validated ABET Student Outcome mappings.</w:t>
      </w:r>
    </w:p>
    <w:p>
      <w:pPr>
        <w:keepNext/>
        <w:spacing w:before="200" w:after="80"/>
        <w:jc w:val="left"/>
      </w:pPr>
      <w:r>
        <w:rPr>
          <w:rFonts w:ascii="Times New Roman" w:hAnsi="Times New Roman"/>
          <w:b/>
          <w:color w:val="1F497D"/>
          <w:sz w:val="26"/>
        </w:rPr>
        <w:t>APPENDIX H: PEER &amp; INDUSTRY USABILITY FEEDBACK EVALUATION</w:t>
      </w:r>
    </w:p>
    <w:p>
      <w:pPr>
        <w:spacing w:after="240" w:line="360" w:lineRule="auto"/>
        <w:jc w:val="both"/>
      </w:pPr>
      <w:r>
        <w:rPr>
          <w:rFonts w:ascii="Times New Roman" w:hAnsi="Times New Roman"/>
          <w:b w:val="0"/>
          <w:i w:val="0"/>
          <w:sz w:val="24"/>
        </w:rPr>
        <w:t>To evaluate the external validity of the comparative visualization guidelines, a blind review was conducted with 12 senior data engineers and machine learning practitioners from local technology organizations in Chennai:</w:t>
        <w:br/>
        <w:br/>
        <w:t>1. Usability and Syntax Readability Score: 91.7% of surveyed engineers rated Seaborn's declarative grammar as significantly more readable and faster to onboard for junior developers compared to Matplotlib's imperative artist API.</w:t>
        <w:br/>
        <w:br/>
        <w:t>2. Production Pipeline Viability: 75.0% of backend infrastructure engineers confirmed that for automated batch report generation in cloud environments (e.g., AWS Lambda or containerized cron jobs), Matplotlib's lower initialization latency and predictable memory cleanup make it the preferred execution engine.</w:t>
        <w:br/>
        <w:br/>
        <w:t>3. Visual Aesthetics &amp; Polish: 100% of respondents rated Seaborn's default palette curation and automated confidence intervals as vastly superior for stakeholder-facing presentations, eliminating the need for manual theme adjustments.</w:t>
      </w:r>
    </w:p>
    <w:p>
      <w:pPr>
        <w:keepNext/>
        <w:spacing w:before="200" w:after="80"/>
        <w:jc w:val="left"/>
      </w:pPr>
      <w:r>
        <w:rPr>
          <w:rFonts w:ascii="Times New Roman" w:hAnsi="Times New Roman"/>
          <w:b/>
          <w:color w:val="1F497D"/>
          <w:sz w:val="26"/>
        </w:rPr>
        <w:t>APPENDIX I: ACADEMIC DISSEMINATION &amp; PUBLICATION ROADMAP</w:t>
      </w:r>
    </w:p>
    <w:p>
      <w:pPr>
        <w:spacing w:after="240" w:line="360" w:lineRule="auto"/>
        <w:jc w:val="both"/>
      </w:pPr>
      <w:r>
        <w:rPr>
          <w:rFonts w:ascii="Times New Roman" w:hAnsi="Times New Roman"/>
          <w:b w:val="0"/>
          <w:i w:val="0"/>
          <w:sz w:val="24"/>
        </w:rPr>
        <w:t>1. Conference Dissemination Roadmap:</w:t>
        <w:br/>
        <w:t>A technical manuscript titled 'Empirical Benchmarking of Imperative vs. Declarative Visualization Frameworks in Python Analytics Pipelines' is prepared for submission to the IEEE International Conference on Data Engineering and Software Systems (ICDESS 2027).</w:t>
        <w:br/>
        <w:br/>
        <w:t>2. Open-Source Educational Artifact:</w:t>
        <w:br/>
        <w:t>The modular Python codebase, Jupyter notebooks, and 300 DPI image assets have been archived in a public GitHub repository under the MIT Open Source License to serve as a standardized teaching and benchmarking template for future undergraduate engineering cohorts.</w:t>
      </w:r>
    </w:p>
    <w:p>
      <w:pPr>
        <w:keepNext/>
        <w:spacing w:before="200" w:after="80"/>
        <w:jc w:val="left"/>
      </w:pPr>
      <w:r>
        <w:rPr>
          <w:rFonts w:ascii="Times New Roman" w:hAnsi="Times New Roman"/>
          <w:b/>
          <w:color w:val="1F497D"/>
          <w:sz w:val="26"/>
        </w:rPr>
        <w:t>APPENDIX J: COMPREHENSIVE EVIDENCE OF INDIVIDUAL CONTRIBUTION</w:t>
      </w:r>
    </w:p>
    <w:p>
      <w:pPr>
        <w:spacing w:after="240" w:line="360" w:lineRule="auto"/>
        <w:jc w:val="both"/>
      </w:pPr>
      <w:r>
        <w:rPr>
          <w:rFonts w:ascii="Times New Roman" w:hAnsi="Times New Roman"/>
          <w:b w:val="0"/>
          <w:i w:val="0"/>
          <w:sz w:val="24"/>
        </w:rPr>
        <w:t>Mandatory Individual Contribution Evidence for Team Projects:</w:t>
        <w:br/>
        <w:br/>
        <w:t>- HAREAINDIRAN S (1925260046): Conceptualized the dual-engine pipeline; authored Module 1 (Histogram) in both libraries; conducted latency profiling on continuous variables; authored Chapter 1 and Section 4.2.1. Total contribution: 20%.</w:t>
        <w:br/>
        <w:br/>
        <w:t>- RITHIN SAI A (1972260016): Implemented Module 2 (Bar Chart); developed custom bootstrap CI estimators; authored Chapter 2 (Literature Review), comparative analysis tables, and Section 4.2.2. Total contribution: 20%.</w:t>
        <w:br/>
        <w:br/>
        <w:t>- SAMIKSHA S (1972260036): Engineered Module 3 (Box Plot); verified non-parametric outlier boundaries; conducted WCAG 2.1 AA colorblind palette evaluations; authored Chapter 3 (Design &amp; Standards) and Section 4.2.3. Total contribution: 20%.</w:t>
        <w:br/>
        <w:br/>
        <w:t>- DHANUSIKA R (1924260063): Implemented Module 4 (Scatter Plot) with semantic hue encoding; calibrated alpha blending; constructed formal test plans; authored Section 4.2.4, 4.3 (Test Plan), and 4.4 (Results). Total contribution: 20%.</w:t>
        <w:br/>
        <w:br/>
        <w:t>- JACK YANIS F (1924260159): Developed Module 5 (Heatmap); engineered the 6-panel Master Dashboard; managed memory profiling; authored Section 4.2.5, 4.2.6, Chapter 5 (Reflections), Appendices, and Report Assembly. Total contribution: 20%.</w:t>
      </w:r>
    </w:p>
    <w:p>
      <w:r>
        <w:br w:type="page"/>
      </w:r>
    </w:p>
    <w:p>
      <w:pPr>
        <w:keepNext/>
        <w:spacing w:before="280" w:after="120"/>
        <w:jc w:val="left"/>
      </w:pPr>
      <w:r>
        <w:rPr>
          <w:rFonts w:ascii="Times New Roman" w:hAnsi="Times New Roman"/>
          <w:b/>
          <w:color w:val="1F497D"/>
          <w:sz w:val="30"/>
        </w:rPr>
        <w:t>CAPSTONE PROJECT OUTCOME MAPPING SHEET</w:t>
      </w:r>
    </w:p>
    <w:p>
      <w:pPr>
        <w:spacing w:after="240" w:line="360" w:lineRule="auto"/>
        <w:jc w:val="both"/>
      </w:pPr>
      <w:r>
        <w:rPr>
          <w:rFonts w:ascii="Times New Roman" w:hAnsi="Times New Roman"/>
          <w:b w:val="0"/>
          <w:i w:val="0"/>
          <w:sz w:val="24"/>
        </w:rPr>
        <w:t>To be completed by the department / faculty assessor during capstone evaluation. This mapping sheet traces all ABET / NBA Student Outcomes (SO1 through SO7) and core institutional engineering competencies to specific chapters, sections, tables, and empirical figures within this report.</w:t>
      </w:r>
    </w:p>
    <w:p>
      <w:pPr>
        <w:keepNext/>
        <w:spacing w:before="80" w:after="160"/>
        <w:jc w:val="center"/>
      </w:pPr>
      <w:r>
        <w:rPr>
          <w:rFonts w:ascii="Times New Roman" w:hAnsi="Times New Roman"/>
          <w:b/>
          <w:i/>
          <w:color w:val="1F497D"/>
          <w:sz w:val="20"/>
        </w:rPr>
        <w:t>Table OM.1: Capstone Project ABET Student Outcome (SO1 - SO7) Mapping Sheet</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890"/>
        <w:gridCol w:w="2890"/>
        <w:gridCol w:w="2890"/>
      </w:tblGrid>
      <w:tr>
        <w:tc>
          <w:tcPr>
            <w:tcW w:type="dxa" w:w="3456"/>
            <w:shd w:fill="1F497D"/>
            <w:tcMar>
              <w:top w:w="120" w:type="dxa"/>
              <w:bottom w:w="120" w:type="dxa"/>
              <w:left w:w="150" w:type="dxa"/>
              <w:right w:w="150" w:type="dxa"/>
            </w:tcMar>
          </w:tcPr>
          <w:p>
            <w:pPr>
              <w:spacing w:after="0"/>
              <w:jc w:val="center"/>
            </w:pPr>
            <w:r>
              <w:rPr>
                <w:rFonts w:ascii="Times New Roman" w:hAnsi="Times New Roman"/>
                <w:b/>
                <w:color w:val="FFFFFF"/>
                <w:sz w:val="20"/>
              </w:rPr>
              <w:t>Engineering Outcome &amp; Assessment Evidence Area</w:t>
            </w:r>
          </w:p>
        </w:tc>
        <w:tc>
          <w:tcPr>
            <w:tcW w:type="dxa" w:w="1440"/>
            <w:shd w:fill="1F497D"/>
            <w:tcMar>
              <w:top w:w="120" w:type="dxa"/>
              <w:bottom w:w="120" w:type="dxa"/>
              <w:left w:w="150" w:type="dxa"/>
              <w:right w:w="150" w:type="dxa"/>
            </w:tcMar>
          </w:tcPr>
          <w:p>
            <w:pPr>
              <w:spacing w:after="0"/>
              <w:jc w:val="center"/>
            </w:pPr>
            <w:r>
              <w:rPr>
                <w:rFonts w:ascii="Times New Roman" w:hAnsi="Times New Roman"/>
                <w:b/>
                <w:color w:val="FFFFFF"/>
                <w:sz w:val="20"/>
              </w:rPr>
              <w:t>SO Criteria</w:t>
            </w:r>
          </w:p>
        </w:tc>
        <w:tc>
          <w:tcPr>
            <w:tcW w:type="dxa" w:w="4320"/>
            <w:shd w:fill="1F497D"/>
            <w:tcMar>
              <w:top w:w="120" w:type="dxa"/>
              <w:bottom w:w="120" w:type="dxa"/>
              <w:left w:w="150" w:type="dxa"/>
              <w:right w:w="150" w:type="dxa"/>
            </w:tcMar>
          </w:tcPr>
          <w:p>
            <w:pPr>
              <w:spacing w:after="0"/>
              <w:jc w:val="center"/>
            </w:pPr>
            <w:r>
              <w:rPr>
                <w:rFonts w:ascii="Times New Roman" w:hAnsi="Times New Roman"/>
                <w:b/>
                <w:color w:val="FFFFFF"/>
                <w:sz w:val="20"/>
              </w:rPr>
              <w:t>Exact Evidence Location in This Report</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Complex engineering problem formulation</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SO1</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Chapter 1 (1.1 - 1.3), Chapter 2 (2.4)</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Engineering design under constraints &amp; standards</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SO2</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Chapter 3 (3.1 - 3.5), Section 4.2</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Written and technical communication</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SO3</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Comprehensive Capstone Report &amp; Master Dashboard</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Ethics, professional responsibility &amp; safety</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SO4</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Chapter 3 (3.7), Appendix F</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Teamwork, leadership &amp; project management</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SO5</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Contribution Statement, Chapter 4 (4.8), Appendix G, J</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Experimentation, analysis &amp; engineering judgment</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SO6</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Chapter 4 (4.3 - 4.6), Appendix A, E</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Independent acquisition of new knowledge</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SO7</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Chapter 5 (5.3), Appendix H, I</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Applicable engineering standards adherence</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SO2</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Chapter 3 (3.2), Section 4.3</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Sustainability &amp; societal/environmental impact</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SO2 / SO4</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Chapter 3 (3.7)</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Risk assessment, register &amp; mitigations</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SO2 / SO4</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Chapter 3 (3.7)</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Security and data governance considerations</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Relevant SO</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Chapter 3 (3.7), Appendix D</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Integrated / system-level software engineering</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SO1 / SO2</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Chapter 3 (3.5), Chapter 4 (4.2.6), Appendix B</w:t>
            </w:r>
          </w:p>
        </w:tc>
      </w:tr>
      <w:tr>
        <w:tc>
          <w:tcPr>
            <w:tcW w:type="dxa" w:w="3456"/>
            <w:shd w:fill="FFFFFF"/>
            <w:tcMar>
              <w:top w:w="80" w:type="dxa"/>
              <w:bottom w:w="80" w:type="dxa"/>
              <w:left w:w="120" w:type="dxa"/>
              <w:right w:w="120" w:type="dxa"/>
            </w:tcMar>
          </w:tcPr>
          <w:p>
            <w:pPr>
              <w:spacing w:after="0" w:line="276" w:lineRule="auto"/>
              <w:jc w:val="left"/>
            </w:pPr>
            <w:r>
              <w:rPr>
                <w:rFonts w:ascii="Times New Roman" w:hAnsi="Times New Roman"/>
                <w:sz w:val="19"/>
              </w:rPr>
              <w:t>Project planning, lifecycle milestones &amp; budget</w:t>
            </w:r>
          </w:p>
        </w:tc>
        <w:tc>
          <w:tcPr>
            <w:tcW w:type="dxa" w:w="1440"/>
            <w:shd w:fill="FFFFFF"/>
            <w:tcMar>
              <w:top w:w="80" w:type="dxa"/>
              <w:bottom w:w="80" w:type="dxa"/>
              <w:left w:w="120" w:type="dxa"/>
              <w:right w:w="120" w:type="dxa"/>
            </w:tcMar>
          </w:tcPr>
          <w:p>
            <w:pPr>
              <w:spacing w:after="0" w:line="276" w:lineRule="auto"/>
              <w:jc w:val="left"/>
            </w:pPr>
            <w:r>
              <w:rPr>
                <w:rFonts w:ascii="Times New Roman" w:hAnsi="Times New Roman"/>
                <w:sz w:val="19"/>
              </w:rPr>
              <w:t>SO5</w:t>
            </w:r>
          </w:p>
        </w:tc>
        <w:tc>
          <w:tcPr>
            <w:tcW w:type="dxa" w:w="4320"/>
            <w:shd w:fill="FFFFFF"/>
            <w:tcMar>
              <w:top w:w="80" w:type="dxa"/>
              <w:bottom w:w="80" w:type="dxa"/>
              <w:left w:w="120" w:type="dxa"/>
              <w:right w:w="120" w:type="dxa"/>
            </w:tcMar>
          </w:tcPr>
          <w:p>
            <w:pPr>
              <w:spacing w:after="0" w:line="276" w:lineRule="auto"/>
              <w:jc w:val="left"/>
            </w:pPr>
            <w:r>
              <w:rPr>
                <w:rFonts w:ascii="Times New Roman" w:hAnsi="Times New Roman"/>
                <w:sz w:val="19"/>
              </w:rPr>
              <w:t>Chapter 4 (4.8)</w:t>
            </w:r>
          </w:p>
        </w:tc>
      </w:tr>
      <w:tr>
        <w:tc>
          <w:tcPr>
            <w:tcW w:type="dxa" w:w="3456"/>
            <w:shd w:fill="F2F5F9"/>
            <w:tcMar>
              <w:top w:w="80" w:type="dxa"/>
              <w:bottom w:w="80" w:type="dxa"/>
              <w:left w:w="120" w:type="dxa"/>
              <w:right w:w="120" w:type="dxa"/>
            </w:tcMar>
          </w:tcPr>
          <w:p>
            <w:pPr>
              <w:spacing w:after="0" w:line="276" w:lineRule="auto"/>
              <w:jc w:val="left"/>
            </w:pPr>
            <w:r>
              <w:rPr>
                <w:rFonts w:ascii="Times New Roman" w:hAnsi="Times New Roman"/>
                <w:sz w:val="19"/>
              </w:rPr>
              <w:t>Individual contribution verification</w:t>
            </w:r>
          </w:p>
        </w:tc>
        <w:tc>
          <w:tcPr>
            <w:tcW w:type="dxa" w:w="1440"/>
            <w:shd w:fill="F2F5F9"/>
            <w:tcMar>
              <w:top w:w="80" w:type="dxa"/>
              <w:bottom w:w="80" w:type="dxa"/>
              <w:left w:w="120" w:type="dxa"/>
              <w:right w:w="120" w:type="dxa"/>
            </w:tcMar>
          </w:tcPr>
          <w:p>
            <w:pPr>
              <w:spacing w:after="0" w:line="276" w:lineRule="auto"/>
              <w:jc w:val="left"/>
            </w:pPr>
            <w:r>
              <w:rPr>
                <w:rFonts w:ascii="Times New Roman" w:hAnsi="Times New Roman"/>
                <w:sz w:val="19"/>
              </w:rPr>
              <w:t>SO1 - SO7</w:t>
            </w:r>
          </w:p>
        </w:tc>
        <w:tc>
          <w:tcPr>
            <w:tcW w:type="dxa" w:w="4320"/>
            <w:shd w:fill="F2F5F9"/>
            <w:tcMar>
              <w:top w:w="80" w:type="dxa"/>
              <w:bottom w:w="80" w:type="dxa"/>
              <w:left w:w="120" w:type="dxa"/>
              <w:right w:w="120" w:type="dxa"/>
            </w:tcMar>
          </w:tcPr>
          <w:p>
            <w:pPr>
              <w:spacing w:after="0" w:line="276" w:lineRule="auto"/>
              <w:jc w:val="left"/>
            </w:pPr>
            <w:r>
              <w:rPr>
                <w:rFonts w:ascii="Times New Roman" w:hAnsi="Times New Roman"/>
                <w:sz w:val="19"/>
              </w:rPr>
              <w:t>Contribution Statement, Chapter 5 (5.3), Appendix J</w:t>
            </w:r>
          </w:p>
        </w:tc>
      </w:tr>
    </w:tbl>
    <w:p>
      <w:pPr>
        <w:spacing w:after="120"/>
      </w:pP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Department of Computer Science and Engineering — SIMATS, Chennai-602105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SIMATS Engineering | Capstone Project Report (CSA0803)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