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34"/>
        </w:rPr>
        <w:t>Разбор претензий к кассовому чеку</w:t>
      </w:r>
    </w:p>
    <w:p>
      <w:pPr>
        <w:jc w:val="center"/>
      </w:pPr>
      <w:r>
        <w:rPr>
          <w:color w:val="555555"/>
          <w:sz w:val="22"/>
        </w:rPr>
        <w:t>Проверка утверждений о «нарушениях» в чеке общепита по первоисточникам: 54-ФЗ, приказ ФНС 662@, методички ЦРПТ</w:t>
      </w:r>
    </w:p>
    <w:p>
      <w:pPr>
        <w:jc w:val="center"/>
      </w:pPr>
      <w:r>
        <w:rPr>
          <w:color w:val="888888"/>
          <w:sz w:val="18"/>
        </w:rPr>
        <w:t>Составлено 23.07.2026 · Все ссылки проверены на дату составления</w:t>
      </w:r>
    </w:p>
    <w:p/>
    <w:p>
      <w:pPr>
        <w:pStyle w:val="Heading1"/>
      </w:pPr>
      <w:r>
        <w:rPr>
          <w:color w:val="1F3B5C"/>
        </w:rPr>
        <w:t>1. Резюме</w:t>
      </w:r>
    </w:p>
    <w:p>
      <w:pPr>
        <w:spacing w:after="120"/>
      </w:pPr>
      <w:r>
        <w:rPr>
          <w:b w:val="0"/>
          <w:i w:val="0"/>
        </w:rPr>
        <w:t xml:space="preserve">Кассовый чек сформирован </w:t>
      </w:r>
      <w:r>
        <w:rPr>
          <w:b/>
          <w:i w:val="0"/>
        </w:rPr>
        <w:t>корректно</w:t>
      </w:r>
      <w:r>
        <w:rPr>
          <w:b w:val="0"/>
          <w:i w:val="0"/>
        </w:rPr>
        <w:t xml:space="preserve"> — по схеме послабления для общепита (п. 3.2 ст. 4.3 54-ФЗ, методичка ЦРПТ Horeca). Ни одно из трёх заявленных «нарушений» не подтверждается первоисточниками. Ключ «sid=», названный обязательным, не существует ни в одном нормативном документе или методичке — проверено полнотекстовым поиском. Требования, на которые ссылается автор разбора, относятся к другой схеме — разрешительному режиму розничной торговли — и к чеку общепита в режиме послабления неприменимы.</w:t>
      </w:r>
    </w:p>
    <w:p>
      <w:pPr>
        <w:spacing w:after="120"/>
      </w:pPr>
      <w:r>
        <w:rPr>
          <w:b/>
          <w:i w:val="0"/>
        </w:rPr>
        <w:t xml:space="preserve">Обновление по итогам второй проверки: </w:t>
      </w:r>
      <w:r>
        <w:rPr>
          <w:b w:val="0"/>
          <w:i w:val="0"/>
        </w:rPr>
        <w:t>позднее поступил второй разбор той же позиции (о тегах 1212, 2102, 2106) — его выводы, в отличие от первого, в основном подтвердились. Значение 1212 = 1 не соответствует таблице 101 ФФД 1.2 (оно описывает товар, не подлежащий маркировке), и как следствие в электронной позиции отсутствуют обязательные по примечанию 16 к таблице 97 реквизиты 2102/2106. Сама схема послабления и реквизиты 1163/1260 при этом корректны. Детальный разбор и эталон позиции — раздел 10.</w:t>
      </w:r>
    </w:p>
    <w:p>
      <w:pPr>
        <w:pStyle w:val="Heading1"/>
      </w:pPr>
      <w:r>
        <w:rPr>
          <w:color w:val="1F3B5C"/>
        </w:rPr>
        <w:t>2. Исходные данные</w:t>
      </w:r>
    </w:p>
    <w:p>
      <w:pPr>
        <w:pStyle w:val="Heading2"/>
      </w:pPr>
      <w:r>
        <w:rPr>
          <w:color w:val="2E547A"/>
        </w:rPr>
        <w:t>2.1. Что в проверяемом чеке (позиция с маркированным напитком)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Позиция: напиток Evervess Cola (упаковка производителя, подается к заказу)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ФФД 1.2 (тег 1209 = 4)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1163 (код товара), тип «КТ ITF-14» (тег 1303) = 04600494685521   &lt;- GTIN, 14 цифр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1023 (количество) = 2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1260 (отраслевой реквизит предмета расчета):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1262 = 030;  1263 = 26.03.2022;  1264 = 477;  1265 = mode=horeca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1212 (признак предмета расчета) = 1 «товар»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Теги 2102/2106/2107 (обработка и результаты проверки) отсутствуют</w:t>
      </w:r>
    </w:p>
    <w:p>
      <w:pPr>
        <w:spacing w:after="80"/>
      </w:pPr>
    </w:p>
    <w:p>
      <w:pPr>
        <w:pStyle w:val="Heading2"/>
      </w:pPr>
      <w:r>
        <w:rPr>
          <w:color w:val="2E547A"/>
        </w:rPr>
        <w:t>2.2. Претензии из разбора (дословно)</w:t>
      </w:r>
    </w:p>
    <w:p>
      <w:pPr>
        <w:pStyle w:val="ListBullet"/>
        <w:spacing w:after="80"/>
      </w:pPr>
      <w:r>
        <w:rPr>
          <w:sz w:val="20"/>
        </w:rPr>
        <w:t>Претензия 1. «Формат значения в теге 1265 при ОСУ для общепита должен строго содержать ключ sid= (идентификатор сессии) или UUID, даже если онлайн-проверка не проводится. Просто написать строку mode=horeca — недостаточно… Чек с незаполненным или некорректным sid „Честный ЗНАК“ может отклонить, и по нему не произойдет правильной фиксации выбытия».</w:t>
      </w:r>
    </w:p>
    <w:p>
      <w:pPr>
        <w:pStyle w:val="ListBullet"/>
        <w:spacing w:after="80"/>
      </w:pPr>
      <w:r>
        <w:rPr>
          <w:sz w:val="20"/>
        </w:rPr>
        <w:t>Претензия 2. «При использовании ФФД 1.2 фискальный накопитель обязан добавлять тег 2106 в маркируемый товар, а тег 2107 в конец чека» — а в чеке их нет.</w:t>
      </w:r>
    </w:p>
    <w:p>
      <w:pPr>
        <w:pStyle w:val="ListBullet"/>
        <w:spacing w:after="80"/>
      </w:pPr>
      <w:r>
        <w:rPr>
          <w:sz w:val="20"/>
        </w:rPr>
        <w:t>Претензия 3. «ККТ распознала КТ ITF-14 (1303), но ФН не смог обработать его как полноценную маркировку из-за отсутствия криптохвоста и правильного флага проверки».</w:t>
      </w:r>
    </w:p>
    <w:p>
      <w:pPr>
        <w:pStyle w:val="Heading1"/>
      </w:pPr>
      <w:r>
        <w:rPr>
          <w:color w:val="1F3B5C"/>
        </w:rPr>
        <w:t>3. Сводная таблица вердиктов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Утверждение</w:t>
            </w:r>
          </w:p>
        </w:tc>
        <w:tc>
          <w:tcPr>
            <w:tcW w:type="dxa" w:w="1701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Вердикт</w:t>
            </w:r>
          </w:p>
        </w:tc>
        <w:tc>
          <w:tcPr>
            <w:tcW w:type="dxa" w:w="4989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Первоисточник и пункт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Чек использует схему послабления общепита (GTIN + количество)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Верно</w:t>
            </w:r>
          </w:p>
        </w:tc>
        <w:tc>
          <w:tcPr>
            <w:tcW w:type="dxa" w:w="4989"/>
          </w:tcPr>
          <w:p>
            <w:pPr>
              <w:spacing w:after="40"/>
            </w:pPr>
            <w:hyperlink r:id="rId9">
              <w:r>
                <w:rPr>
                  <w:color w:val="0B5394"/>
                  <w:u w:val="single"/>
                  <w:sz w:val="21"/>
                </w:rPr>
                <w:t xml:space="preserve">54-ФЗ п. 3.2 ст. 4.3</w:t>
              </w:r>
            </w:hyperlink>
            <w:r>
              <w:rPr>
                <w:b w:val="0"/>
                <w:i w:val="0"/>
                <w:sz w:val="19"/>
              </w:rPr>
              <w:t xml:space="preserve">; </w:t>
            </w:r>
            <w:hyperlink r:id="rId10">
              <w:r>
                <w:rPr>
                  <w:color w:val="0B5394"/>
                  <w:u w:val="single"/>
                  <w:sz w:val="21"/>
                </w:rPr>
                <w:t xml:space="preserve">методичка ЦРПТ Horeca</w:t>
              </w:r>
            </w:hyperlink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1265 должен содержать sid=/UUID даже без проверки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Неверно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1265 = mode=horeca — </w:t>
            </w:r>
            <w:hyperlink r:id="rId10">
              <w:r>
                <w:rPr>
                  <w:color w:val="0B5394"/>
                  <w:u w:val="single"/>
                  <w:sz w:val="21"/>
                </w:rPr>
                <w:t xml:space="preserve">методичка ЦРПТ Horeca</w:t>
              </w:r>
            </w:hyperlink>
            <w:r>
              <w:rPr>
                <w:b w:val="0"/>
                <w:i w:val="0"/>
                <w:sz w:val="19"/>
              </w:rPr>
              <w:t xml:space="preserve">; «если проверки не было — весь тег 1260 не заполняется» — </w:t>
            </w:r>
            <w:hyperlink r:id="rId11">
              <w:r>
                <w:rPr>
                  <w:color w:val="0B5394"/>
                  <w:u w:val="single"/>
                  <w:sz w:val="21"/>
                </w:rPr>
                <w:t xml:space="preserve">методичка ЦРПТ по разреш. режиму, стр. 65</w:t>
              </w:r>
            </w:hyperlink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Ключ «sid=» существует в требованиях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Неверно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Отсутствует в 662@, обеих методичках ЦРПТ, ПП 1944 и ПП 477 (полнотекстовый поиск, см. раздел 4)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«Это требование ФНС по ФФД 1.2»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Неверно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Приказ </w:t>
            </w:r>
            <w:hyperlink r:id="rId12">
              <w:r>
                <w:rPr>
                  <w:color w:val="0B5394"/>
                  <w:u w:val="single"/>
                  <w:sz w:val="21"/>
                </w:rPr>
                <w:t xml:space="preserve">662@</w:t>
              </w:r>
            </w:hyperlink>
            <w:r>
              <w:rPr>
                <w:b w:val="0"/>
                <w:i w:val="0"/>
                <w:sz w:val="19"/>
              </w:rPr>
              <w:t xml:space="preserve"> содержимое тега 1265 не регламентирует (таблица 102: строка до 256 символов)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Тегов 2106/2107 нет в чеке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Верно (факт)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Для 2107 — норма; отсутствие 2106 — следствие ошибки 1212 = 1, см. разделы 5 и 10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ФН обязан добавлять 2106/2107 при ФФД 1.2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Частично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2107 — только при считанном КТ GS1.М/КМК (</w:t>
            </w:r>
            <w:hyperlink r:id="rId12">
              <w:r>
                <w:rPr>
                  <w:color w:val="0B5394"/>
                  <w:u w:val="single"/>
                  <w:sz w:val="21"/>
                </w:rPr>
                <w:t xml:space="preserve">662@, п. 20 примечаний</w:t>
              </w:r>
            </w:hyperlink>
            <w:r>
              <w:rPr>
                <w:b w:val="0"/>
                <w:i w:val="0"/>
                <w:sz w:val="19"/>
              </w:rPr>
              <w:t xml:space="preserve">); но 2102/2106 у маркируемого товара обязательны всегда — </w:t>
            </w:r>
            <w:hyperlink r:id="rId13">
              <w:r>
                <w:rPr>
                  <w:color w:val="0B5394"/>
                  <w:u w:val="single"/>
                  <w:sz w:val="21"/>
                </w:rPr>
                <w:t xml:space="preserve">прим. 16 к таблице 97</w:t>
              </w:r>
            </w:hyperlink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«ITF-14 — ФН не смог обработать маркировку»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Неверно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1303 «КТ ITF-14» — штатный тип кода товара — </w:t>
            </w:r>
            <w:hyperlink r:id="rId12">
              <w:r>
                <w:rPr>
                  <w:color w:val="0B5394"/>
                  <w:u w:val="single"/>
                  <w:sz w:val="21"/>
                </w:rPr>
                <w:t xml:space="preserve">662@</w:t>
              </w:r>
            </w:hyperlink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«Не произойдёт фиксации выбытия»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Неверно по механизму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Выбытие фиксируется при приёмке или ≤3 раб. дней — </w:t>
            </w:r>
            <w:hyperlink r:id="rId14">
              <w:r>
                <w:rPr>
                  <w:color w:val="0B5394"/>
                  <w:u w:val="single"/>
                  <w:sz w:val="21"/>
                </w:rPr>
                <w:t xml:space="preserve">ПП 887 п. 96(1)</w:t>
              </w:r>
            </w:hyperlink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C"/>
        </w:rPr>
        <w:t>4. Претензия 1: «нужен sid= или UUID в теге 1265»</w:t>
      </w:r>
    </w:p>
    <w:p>
      <w:pPr>
        <w:pStyle w:val="Heading2"/>
      </w:pPr>
      <w:r>
        <w:rPr>
          <w:color w:val="2E547A"/>
        </w:rPr>
        <w:t>4.1. Что предписано для схемы послабления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«Теги, входящие в составной тег „отраслевой реквизит предмета расчета“ 1260, необходимо заполнить следующими значениями: • Значение реквизита „идентификатор ФОИВ“ (тег 1262): 030 • Значение реквизита „дата документа основания“ (тег 1263): 26.03.2022 • Значение реквизита „номер документа основания“ (тег 1264): 477 • Значение реквизита „значение отраслевого реквизита“ (тег 1265): mode=horeca»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0">
        <w:r>
          <w:rPr>
            <w:color w:val="0B5394"/>
            <w:u w:val="single"/>
            <w:sz w:val="21"/>
          </w:rPr>
          <w:t xml:space="preserve">Методичка ЦРПТ для общепита, раздел «При работе ККТ в режиме ФФД 1.2»</w:t>
        </w:r>
      </w:hyperlink>
    </w:p>
    <w:p>
      <w:pPr>
        <w:spacing w:after="120"/>
      </w:pPr>
      <w:r>
        <w:rPr>
          <w:b w:val="0"/>
          <w:i w:val="0"/>
        </w:rPr>
        <w:t>Никаких дополнительных ключей (sid, UUID и пр.) методичка не предусматривает — значение 1265 фиксированное: mode=horeca.</w:t>
      </w:r>
    </w:p>
    <w:p>
      <w:pPr>
        <w:pStyle w:val="Heading2"/>
      </w:pPr>
      <w:r>
        <w:rPr>
          <w:color w:val="2E547A"/>
        </w:rPr>
        <w:t>4.2. Откуда взят UUID: это другая схема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«Значение реквизита „дата документа основания“ (тег 1263): 21.11.2023. Значение реквизита „номер документа основания“ (тег 1264): 1944. Значение реквизита „значение отраслевого реквизита“ (тег 1265): UUID=2ce10bdb-6510-4d37-be04-dd473b98c728&amp;Time=1692691702065. Значения для UUID и Time подставляются из атрибутов reqId и reqTimestamp ответа метода codes/check»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1">
        <w:r>
          <w:rPr>
            <w:color w:val="0B5394"/>
            <w:u w:val="single"/>
            <w:sz w:val="21"/>
          </w:rPr>
          <w:t xml:space="preserve">Методичка ЦРПТ по разрешительному режиму, стр. 65</w:t>
        </w:r>
      </w:hyperlink>
    </w:p>
    <w:p>
      <w:pPr>
        <w:spacing w:after="120"/>
      </w:pPr>
      <w:r>
        <w:rPr>
          <w:b w:val="0"/>
          <w:i w:val="0"/>
        </w:rPr>
        <w:t>Это заполнение относится к разрешительному режиму розницы: другое основание (21.11.2023/1944, а не 26.03.2022/477), в чеке — полный код маркировки, а UUID — идентификатор запроса онлайн-проверки, а не «сессии». Тезис «даже если проверка не проводится» опровергается примечанием той же методички: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«если проверки не было или ответ не был получен, то весь тег 1260 не заполняется»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1">
        <w:r>
          <w:rPr>
            <w:color w:val="0B5394"/>
            <w:u w:val="single"/>
            <w:sz w:val="21"/>
          </w:rPr>
          <w:t xml:space="preserve">Методичка ЦРПТ по разрешительному режиму, стр. 65, примечание</w:t>
        </w:r>
      </w:hyperlink>
    </w:p>
    <w:p>
      <w:pPr>
        <w:pStyle w:val="Heading2"/>
      </w:pPr>
      <w:r>
        <w:rPr>
          <w:color w:val="2E547A"/>
        </w:rPr>
        <w:t>4.3. Поиск ключа «sid» по первоисточникам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23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Документ</w:t>
            </w:r>
          </w:p>
        </w:tc>
        <w:tc>
          <w:tcPr>
            <w:tcW w:type="dxa" w:w="3742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Упоминания «sid»</w:t>
            </w:r>
          </w:p>
        </w:tc>
      </w:tr>
      <w:tr>
        <w:tc>
          <w:tcPr>
            <w:tcW w:type="dxa" w:w="612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Приказ ФНС № ЕД-7-20/662@ (ФФД 1.2, все таблицы тегов)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найдено</w:t>
            </w:r>
          </w:p>
        </w:tc>
      </w:tr>
      <w:tr>
        <w:tc>
          <w:tcPr>
            <w:tcW w:type="dxa" w:w="612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Методичка ЦРПТ для общепита (Horeca)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найдено</w:t>
            </w:r>
          </w:p>
        </w:tc>
      </w:tr>
      <w:tr>
        <w:tc>
          <w:tcPr>
            <w:tcW w:type="dxa" w:w="612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Методичка ЦРПТ по разрешительному режиму (80 стр., онлайн + офлайн)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найдено (только UUID=, Time=, Inst=, Ver=)</w:t>
            </w:r>
          </w:p>
        </w:tc>
      </w:tr>
      <w:tr>
        <w:tc>
          <w:tcPr>
            <w:tcW w:type="dxa" w:w="612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ПП РФ № 1944 от 21.11.2023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найдено</w:t>
            </w:r>
          </w:p>
        </w:tc>
      </w:tr>
      <w:tr>
        <w:tc>
          <w:tcPr>
            <w:tcW w:type="dxa" w:w="612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ПП РФ № 477 от 26.03.2022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 найдено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Вероятное происхождение (?): термин «session id» из интеграционной документации облачных касс (источники разбора — блоги DocsInBox, Dooglys и пост во ВКонтакте, а не нормативные документы), склеенный с фискальным тегом 1265.</w:t>
      </w:r>
    </w:p>
    <w:p>
      <w:pPr>
        <w:pStyle w:val="Heading1"/>
      </w:pPr>
      <w:r>
        <w:rPr>
          <w:color w:val="1F3B5C"/>
        </w:rPr>
        <w:t>5. Претензия 2: «ФН обязан добавлять теги 2106 и 2107»</w:t>
      </w:r>
    </w:p>
    <w:p>
      <w:pPr>
        <w:spacing w:after="120"/>
      </w:pPr>
      <w:r>
        <w:rPr>
          <w:b w:val="0"/>
          <w:i w:val="0"/>
        </w:rPr>
        <w:t>Точное условие появления тега 2107 (и, соответственно, 2106 у позиций) в кассовом чеке:</w:t>
      </w:r>
    </w:p>
    <w:p>
      <w:pPr>
        <w:spacing w:after="80"/>
        <w:ind w:left="397"/>
        <w:pBdr>
          <w:left w:val="single" w:sz="16" w:space="8" w:color="0B5394"/>
        </w:pBdr>
      </w:pPr>
      <w:r>
        <w:rPr>
          <w:i/>
          <w:color w:val="333333"/>
        </w:rPr>
        <w:t>«Реквизит „результаты проверки маркированных товаров“ (тег 2107) включается в состав кассового чека в случае, если хотя бы один реквизит „предмет расчета“ (тег 1059) в составе кассового чека содержит реквизит „КТ GS1.М“ (тег 1305) или „КТ КМК“ (тег 1306), значение которого было считано с товара, подлежащего маркировке средством идентификации»</w:t>
      </w:r>
    </w:p>
    <w:p>
      <w:pPr>
        <w:spacing w:after="160"/>
        <w:ind w:left="397"/>
      </w:pPr>
      <w:r>
        <w:rPr>
          <w:sz w:val="18"/>
        </w:rPr>
        <w:t xml:space="preserve">Источник: </w:t>
      </w:r>
      <w:hyperlink r:id="rId12">
        <w:r>
          <w:rPr>
            <w:color w:val="0B5394"/>
            <w:u w:val="single"/>
            <w:sz w:val="21"/>
          </w:rPr>
          <w:t xml:space="preserve">Приказ ФНС № ЕД-7-20/662@, п. 20 примечаний к ФФД 1.2 (КонсультантПлюс)</w:t>
        </w:r>
      </w:hyperlink>
      <w:r>
        <w:rPr>
          <w:sz w:val="18"/>
        </w:rPr>
        <w:t xml:space="preserve"> · </w:t>
      </w:r>
      <w:hyperlink r:id="rId15">
        <w:r>
          <w:rPr>
            <w:color w:val="0B5394"/>
            <w:u w:val="single"/>
            <w:sz w:val="21"/>
          </w:rPr>
          <w:t xml:space="preserve">Гарант</w:t>
        </w:r>
      </w:hyperlink>
    </w:p>
    <w:p>
      <w:pPr>
        <w:spacing w:after="120"/>
      </w:pPr>
      <w:r>
        <w:rPr>
          <w:b w:val="0"/>
          <w:i w:val="0"/>
        </w:rPr>
        <w:t>В проверяемом чеке нет ни 1305, ни 1306 — есть «КТ ITF-14» (1303, код товара). Код маркировки не считывался на законном основании: п. 3.2 ст. 4.3 54-ФЗ даёт право «не формировать запрос о коде маркировки» (</w:t>
      </w:r>
      <w:hyperlink r:id="rId16">
        <w:r>
          <w:rPr>
            <w:color w:val="0B5394"/>
            <w:u w:val="single"/>
            <w:sz w:val="21"/>
          </w:rPr>
          <w:t xml:space="preserve">Гарант</w:t>
        </w:r>
      </w:hyperlink>
      <w:r>
        <w:rPr>
          <w:b w:val="0"/>
          <w:i w:val="0"/>
        </w:rPr>
        <w:t>). Нет запроса — нет проверки — нет тега 2107. Его отсутствие — не сбой, а прямое следствие применённой схемы. В части 2107 утверждение автора верно только для чеков со считанным DataMatrix (розница).</w:t>
      </w:r>
    </w:p>
    <w:p>
      <w:pPr>
        <w:spacing w:after="120"/>
      </w:pPr>
      <w:r>
        <w:rPr>
          <w:b/>
          <w:i w:val="0"/>
        </w:rPr>
        <w:t xml:space="preserve">Уточнение (важно): </w:t>
      </w:r>
      <w:r>
        <w:rPr>
          <w:b w:val="0"/>
          <w:i w:val="0"/>
        </w:rPr>
        <w:t>сказанное касается тега 2107 и результатов проверки. Состав электронной позиции маркируемого товара регулируется отдельной нормой — примечание 16 к таблице 97 приказа 662@ требует включать в предмет расчёта реквизиты «режим обработки кода маркировки» (2102, значение 0) и «результат проверки сведений о товаре» (2106) для любого товара, подлежащего обязательной маркировке (</w:t>
      </w:r>
      <w:hyperlink r:id="rId13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b w:val="0"/>
          <w:i w:val="0"/>
        </w:rPr>
        <w:t>). Когда проверка не проводилась, биты 2106 нулевые — «код маркировки не был проверен ФН и (или) ОИСМ» (</w:t>
      </w:r>
      <w:hyperlink r:id="rId17">
        <w:r>
          <w:rPr>
            <w:color w:val="0B5394"/>
            <w:u w:val="single"/>
            <w:sz w:val="21"/>
          </w:rPr>
          <w:t xml:space="preserve">таблица 110</w:t>
        </w:r>
      </w:hyperlink>
      <w:r>
        <w:rPr>
          <w:b w:val="0"/>
          <w:i w:val="0"/>
        </w:rPr>
        <w:t>). То есть в части 2106 автор претензии 2 был ближе к истине, чем казалось: отсутствие онлайн-проверки не отменяет сам реквизит. Фактическая причина отсутствия 2102/2106 в проверяемом чеке — значение 1212 = 1, из-за которого касса и ФН обработали позицию как немаркированный товар (раздел 10).</w:t>
      </w:r>
    </w:p>
    <w:p>
      <w:pPr>
        <w:pStyle w:val="Heading1"/>
      </w:pPr>
      <w:r>
        <w:rPr>
          <w:color w:val="1F3B5C"/>
        </w:rPr>
        <w:t>6. Претензия 3: «ITF-14 — неудачно распознанная маркировка»</w:t>
      </w:r>
    </w:p>
    <w:p>
      <w:pPr>
        <w:spacing w:after="120"/>
      </w:pPr>
      <w:r>
        <w:rPr>
          <w:b w:val="0"/>
          <w:i w:val="0"/>
        </w:rPr>
        <w:t xml:space="preserve">Тег 1303 «КТ ITF-14» — это штатный подреквизит реквизита «код товара» (тег 1163): «код товара в формате ITF-14» (14-значный GTIN) — </w:t>
      </w:r>
      <w:hyperlink r:id="rId12">
        <w:r>
          <w:rPr>
            <w:color w:val="0B5394"/>
            <w:u w:val="single"/>
            <w:sz w:val="21"/>
          </w:rPr>
          <w:t xml:space="preserve">приказ 662@, таблица видов реквизита «код товара»</w:t>
        </w:r>
      </w:hyperlink>
      <w:r>
        <w:rPr>
          <w:b w:val="0"/>
          <w:i w:val="0"/>
        </w:rPr>
        <w:t>. Ряд типов в этой таблице: 1301 «КТ EAN-8», 1302 «КТ EAN-13», 1303 «КТ ITF-14», 1304 «КТ GS1.0», 1305 «КТ GS1.М» (считанный код маркировки), 1306 «КТ КМК». Касса не «не смогла» обработать маркировку — она в принципе не передавала код маркировки, а передала код товара, как предписывает ПП № 174 (пп. «в» п. 3) и методичка ЦРПТ. «Полноценная маркировка» (1305 с криптохвостом) появилась бы только при сканировании DataMatrix — то есть в розничном сценарии.</w:t>
      </w:r>
    </w:p>
    <w:p>
      <w:pPr>
        <w:pStyle w:val="Heading1"/>
      </w:pPr>
      <w:r>
        <w:rPr>
          <w:color w:val="1F3B5C"/>
        </w:rPr>
        <w:t>7. Про «фиксацию выбытия» — единственное рациональное зерно</w:t>
      </w:r>
    </w:p>
    <w:p>
      <w:pPr>
        <w:spacing w:after="120"/>
      </w:pPr>
      <w:r>
        <w:rPr>
          <w:b w:val="0"/>
          <w:i w:val="0"/>
        </w:rPr>
        <w:t xml:space="preserve">Предупреждение «по чеку не произойдёт фиксации выбытия» указывает на реальную обязанность схемы послабления: товар должен быть выведен из оборота в ГИС МТ. Но механизм автором назван неверно: выбытие фиксируется не чеком, а документом вывода из оборота — при приёмке по ЭДО либо в течение 3 рабочих дней (п. 96(1) Правил, утв. ПП № 887 — </w:t>
      </w:r>
      <w:hyperlink r:id="rId14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b w:val="0"/>
          <w:i w:val="0"/>
        </w:rPr>
        <w:t xml:space="preserve">; </w:t>
      </w:r>
      <w:hyperlink r:id="rId18">
        <w:r>
          <w:rPr>
            <w:color w:val="0B5394"/>
            <w:u w:val="single"/>
            <w:sz w:val="21"/>
          </w:rPr>
          <w:t xml:space="preserve">инструкция «Честного знака» для HoReCa</w:t>
        </w:r>
      </w:hyperlink>
      <w:r>
        <w:rPr>
          <w:b w:val="0"/>
          <w:i w:val="0"/>
        </w:rPr>
        <w:t>). В проверяемом процессе вывод выполняется при приёмке — обязанность закрыта. «Честный знак» не «отклоняет» чеки за отсутствие несуществующего ключа sid.</w:t>
      </w:r>
    </w:p>
    <w:p>
      <w:pPr>
        <w:pStyle w:val="Heading1"/>
      </w:pPr>
      <w:r>
        <w:rPr>
          <w:color w:val="1F3B5C"/>
        </w:rPr>
        <w:t>8. Анатомия ошибки: как настоящие факты сложились в неверный вывод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402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Настоящий «кирпич»</w:t>
            </w:r>
          </w:p>
        </w:tc>
        <w:tc>
          <w:tcPr>
            <w:tcW w:type="dxa" w:w="3402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Что с ним сделал автор</w:t>
            </w:r>
          </w:p>
        </w:tc>
        <w:tc>
          <w:tcPr>
            <w:tcW w:type="dxa" w:w="3061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1265 = mode=horeca (схема общепита, основание 477)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Признал недостаточным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Ложное «главное нарушение»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1265 = UUID=…&amp;Time=… (схема розницы, основание 1944)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Перенёс в схему общепита, переименовав в «sid» и убрав условие (наличие проверки)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Несуществующий гибрид mode=horeca&amp;sid=…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Теги 2106/2107 существуют в ФФД 1.2 и связаны с проверкой КМ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Объявил безусловно обязательными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Отсутствие тегов принято за сбой ФН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Тип «КТ ITF-14» (1303) в чеке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Прочитал как неудачный разбор DataMatrix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Штатная передача кода товара принята за ошибку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Обязанность фиксировать выбытие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Привязал к чеку и к «sid»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Верная тема с неверным механизмом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Способствующие факторы: обе методички ЦРПТ используют один составной тег 1260 с одинаковым 1262 = 030, но разными основаниями и содержимым 1265; источники разбора — блоги кассовых вендоров и соцсеть, а не первоисточники; логика перевёрнута — отсутствие реквизитов чужой схемы истолковано как неисправность.</w:t>
      </w:r>
    </w:p>
    <w:p>
      <w:pPr>
        <w:pStyle w:val="Heading1"/>
      </w:pPr>
      <w:r>
        <w:rPr>
          <w:color w:val="1F3B5C"/>
        </w:rPr>
        <w:t>9. Кто действительно обязан работать «как в разборе»</w:t>
      </w:r>
    </w:p>
    <w:p>
      <w:pPr>
        <w:spacing w:after="120"/>
      </w:pPr>
      <w:r>
        <w:rPr>
          <w:b w:val="0"/>
          <w:i w:val="0"/>
        </w:rPr>
        <w:t xml:space="preserve">Розничные продавцы маркированных товаров (магазины, сети, АЗС и т.п.): сканирование DataMatrix, онлайн-проверка codes/check (или офлайн через Локальный модуль), полный код маркировки в чеке (КТ GS1.М), 1260 с основанием 21.11.2023/1944 и UUID=…&amp;Time=…, теги 2106/2107, отметка [М+], с 28.12.2025 — ТС ПИоТ. Для безалкогольных напитков это обязательно с 05.02.2025 (подслащённые) и с 01.06.2025 (остальные). Источники: </w:t>
      </w:r>
      <w:hyperlink r:id="rId19">
        <w:r>
          <w:rPr>
            <w:color w:val="0B5394"/>
            <w:u w:val="single"/>
            <w:sz w:val="21"/>
          </w:rPr>
          <w:t xml:space="preserve">ПП 1944</w:t>
        </w:r>
      </w:hyperlink>
      <w:r>
        <w:rPr>
          <w:b w:val="0"/>
          <w:i w:val="0"/>
        </w:rPr>
        <w:t xml:space="preserve">, </w:t>
      </w:r>
      <w:hyperlink r:id="rId11">
        <w:r>
          <w:rPr>
            <w:color w:val="0B5394"/>
            <w:u w:val="single"/>
            <w:sz w:val="21"/>
          </w:rPr>
          <w:t xml:space="preserve">методичка ЦРПТ по разрешительному режиму</w:t>
        </w:r>
      </w:hyperlink>
      <w:r>
        <w:rPr>
          <w:b w:val="0"/>
          <w:i w:val="0"/>
        </w:rPr>
        <w:t xml:space="preserve">, </w:t>
      </w:r>
      <w:hyperlink r:id="rId20">
        <w:r>
          <w:rPr>
            <w:color w:val="0B5394"/>
            <w:u w:val="single"/>
            <w:sz w:val="21"/>
          </w:rPr>
          <w:t xml:space="preserve">Честный знак: даты</w:t>
        </w:r>
      </w:hyperlink>
      <w:r>
        <w:rPr>
          <w:b w:val="0"/>
          <w:i w:val="0"/>
        </w:rPr>
        <w:t xml:space="preserve">, </w:t>
      </w:r>
      <w:hyperlink r:id="rId21">
        <w:r>
          <w:rPr>
            <w:color w:val="0B5394"/>
            <w:u w:val="single"/>
            <w:sz w:val="21"/>
          </w:rPr>
          <w:t xml:space="preserve">Контур: ТС ПИоТ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color w:val="1F3B5C"/>
        </w:rPr>
        <w:t>10. Дополнение: проверка второго разбора (1212, 2102/2106)</w:t>
      </w:r>
    </w:p>
    <w:p>
      <w:pPr>
        <w:spacing w:after="120"/>
      </w:pPr>
      <w:r>
        <w:rPr>
          <w:b w:val="0"/>
          <w:i w:val="0"/>
        </w:rPr>
        <w:t>После подготовки разделов 1–9 поступил второй разбор той же позиции чека (Evervess Cola). В отличие от первого, он опирается на действующие таблицы ФФД 1.2 и в основном корректен. Проверка каждого утверждения по первоисточникам: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28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Утверждение второго разбора</w:t>
            </w:r>
          </w:p>
        </w:tc>
        <w:tc>
          <w:tcPr>
            <w:tcW w:type="dxa" w:w="1587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Вердикт</w:t>
            </w:r>
          </w:p>
        </w:tc>
        <w:tc>
          <w:tcPr>
            <w:tcW w:type="dxa" w:w="4649"/>
            <w:shd w:val="clear" w:fill="DCE6F1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Первоисточник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1212 = 1 неверен: это значение — для товара, НЕ подлежащего маркировке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«о реализуемом товаре, за исключением подакцизного товара и товара, подлежащего маркировке…» — </w:t>
            </w:r>
            <w:hyperlink r:id="rId22">
              <w:r>
                <w:rPr>
                  <w:color w:val="0B5394"/>
                  <w:u w:val="single"/>
                  <w:sz w:val="21"/>
                </w:rPr>
                <w:t xml:space="preserve">таблица 101 приказа 662@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Правильное значение — 33 «ТМ»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Частично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33 — для неподакцизного напитка; для сахаросодержащего (подакцизного — пп. 23 п. 1 ст. 181 НК РФ, </w:t>
            </w:r>
            <w:hyperlink r:id="rId23">
              <w:r>
                <w:rPr>
                  <w:color w:val="0B5394"/>
                  <w:u w:val="single"/>
                  <w:sz w:val="21"/>
                </w:rPr>
                <w:t xml:space="preserve">КонсультантПлюс</w:t>
              </w:r>
            </w:hyperlink>
            <w:r>
              <w:rPr>
                <w:b w:val="0"/>
                <w:i w:val="0"/>
                <w:sz w:val="19"/>
              </w:rPr>
              <w:t xml:space="preserve">) — 31 «АТМ». Практика интеграторов: </w:t>
            </w:r>
            <w:hyperlink r:id="rId24">
              <w:r>
                <w:rPr>
                  <w:color w:val="0B5394"/>
                  <w:u w:val="single"/>
                  <w:sz w:val="21"/>
                </w:rPr>
                <w:t xml:space="preserve">Хорека РСК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2102 и 2106 обязательны в электронной позиции маркируемого товара, даже без проверки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hyperlink r:id="rId13">
              <w:r>
                <w:rPr>
                  <w:color w:val="0B5394"/>
                  <w:u w:val="single"/>
                  <w:sz w:val="21"/>
                </w:rPr>
                <w:t xml:space="preserve">прим. 16 к таблице 97 приказа 662@</w:t>
              </w:r>
            </w:hyperlink>
            <w:r>
              <w:rPr>
                <w:b w:val="0"/>
                <w:i w:val="0"/>
                <w:sz w:val="19"/>
              </w:rPr>
              <w:t xml:space="preserve">; нулевые биты 2106 — </w:t>
            </w:r>
            <w:hyperlink r:id="rId17">
              <w:r>
                <w:rPr>
                  <w:color w:val="0B5394"/>
                  <w:u w:val="single"/>
                  <w:sz w:val="21"/>
                </w:rPr>
                <w:t xml:space="preserve">таблица 110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2107 и UUID/sid не нужны; 2115 может отсутствовать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п. 20 примечаний к таблице 96 и прим. 16/25 — </w:t>
            </w:r>
            <w:hyperlink r:id="rId12">
              <w:r>
                <w:rPr>
                  <w:color w:val="0B5394"/>
                  <w:u w:val="single"/>
                  <w:sz w:val="21"/>
                </w:rPr>
                <w:t xml:space="preserve">приказ 662@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Чек по ранее списанному товару — корректирующий документ (двойного списания нет)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hyperlink r:id="rId25">
              <w:r>
                <w:rPr>
                  <w:color w:val="0B5394"/>
                  <w:u w:val="single"/>
                  <w:sz w:val="21"/>
                </w:rPr>
                <w:t xml:space="preserve">п. 109 Правил № 887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Общепит с кодом товара прямо исключён из разрешительного режима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hyperlink r:id="rId26">
              <w:r>
                <w:rPr>
                  <w:color w:val="0B5394"/>
                  <w:u w:val="single"/>
                  <w:sz w:val="21"/>
                </w:rPr>
                <w:t xml:space="preserve">пп. «г» п. 3 Правил № 1944</w:t>
              </w:r>
            </w:hyperlink>
          </w:p>
        </w:tc>
      </w:tr>
      <w:tr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Напитки, произведённые с 01.03.2026, — поэкземплярный вывод; вода, произведённая с 01.03.2025, — уже поэкземплярно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Подтверждается</w:t>
            </w:r>
          </w:p>
        </w:tc>
        <w:tc>
          <w:tcPr>
            <w:tcW w:type="dxa" w:w="4649"/>
          </w:tcPr>
          <w:p>
            <w:pPr>
              <w:spacing w:after="40"/>
            </w:pPr>
            <w:hyperlink r:id="rId14">
              <w:r>
                <w:rPr>
                  <w:color w:val="0B5394"/>
                  <w:u w:val="single"/>
                  <w:sz w:val="21"/>
                </w:rPr>
                <w:t xml:space="preserve">п. 96(1) ПП 887</w:t>
              </w:r>
            </w:hyperlink>
            <w:r>
              <w:rPr>
                <w:b w:val="0"/>
                <w:i w:val="0"/>
                <w:sz w:val="19"/>
              </w:rPr>
              <w:t xml:space="preserve">; </w:t>
            </w:r>
            <w:hyperlink r:id="rId27">
              <w:r>
                <w:rPr>
                  <w:color w:val="0B5394"/>
                  <w:u w:val="single"/>
                  <w:sz w:val="21"/>
                </w:rPr>
                <w:t xml:space="preserve">п. 91(1) ПП 841</w:t>
              </w:r>
            </w:hyperlink>
          </w:p>
        </w:tc>
      </w:tr>
    </w:tbl>
    <w:p>
      <w:pPr>
        <w:spacing w:after="40"/>
      </w:pPr>
    </w:p>
    <w:p>
      <w:pPr>
        <w:pStyle w:val="Heading2"/>
      </w:pPr>
      <w:r>
        <w:rPr>
          <w:color w:val="2E547A"/>
        </w:rPr>
        <w:t>10.1. Итоговый эталон позиции чека (ФФД 1.2, схема послабления)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1059 Предмет расчета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1030 = Evervess Cola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1212 = 33 «ТМ» (если напиток подакцизный сахаросодержащий — 31 «АТМ»)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1214 = 4;  1023 = 2;  2108 = 0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1163 Код товара:  1303 (КТ ITF-14) = 04600494685521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1260 Отраслевой реквизит: 1262 = 030; 1263 = 26.03.2022;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                        1264 = 477; 1265 = mode=horeca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2102 = 0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2106 = нулевые биты («код маркировки не был проверен»)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Без 2107 и без UUID/sid; 2115 — может отсутствовать (прим. 25 к табл. 97)</w:t>
      </w:r>
    </w:p>
    <w:p>
      <w:pPr>
        <w:spacing w:after="80"/>
      </w:pPr>
    </w:p>
    <w:p>
      <w:pPr>
        <w:pStyle w:val="Heading2"/>
      </w:pPr>
      <w:r>
        <w:rPr>
          <w:color w:val="2E547A"/>
        </w:rPr>
        <w:t>10.2. Что запросить и проверить</w:t>
      </w:r>
    </w:p>
    <w:p>
      <w:pPr>
        <w:pStyle w:val="ListBullet"/>
        <w:spacing w:after="100"/>
      </w:pPr>
      <w:r>
        <w:t>У ОФД — полный состав электронного фискального документа по этому чеку: некоторые личные кабинеты показывают не все теги; убедиться, что 2102/2106 действительно отсутствуют, а не скрыты в отображении (?).</w:t>
      </w:r>
    </w:p>
    <w:p>
      <w:pPr>
        <w:pStyle w:val="ListBullet"/>
        <w:spacing w:after="100"/>
      </w:pPr>
      <w:r>
        <w:t>У вендора кассового ПО — перенастройку: признак 1212 = 33 «ТМ» для неподакцизных маркированных напитков (31 «АТМ» для подакцизных) вместо 1; после этого ФН должен включать в позицию 2102 = 0 и 2106 с нулевыми битами.</w:t>
      </w:r>
    </w:p>
    <w:p>
      <w:pPr>
        <w:pStyle w:val="ListBullet"/>
        <w:spacing w:after="100"/>
      </w:pPr>
      <w:r>
        <w:t>Письменное обоснование вендора по выбору 33 против 32 («имеющий/не имеющий код маркировки»): для GTIN-схемы официального разъяснения ФНС нет (?); практика интеграторов — 33/31 (товар физически маркирован производителем).</w:t>
      </w:r>
    </w:p>
    <w:p>
      <w:pPr>
        <w:pStyle w:val="ListBullet"/>
        <w:spacing w:after="100"/>
      </w:pPr>
      <w:r>
        <w:t>Состав напитков по декларациям поставщика: сахаросодержащие (углеводы &gt; 5 г/100 мл) — подакцизные, для них 1212 = 31.</w:t>
      </w:r>
    </w:p>
    <w:p>
      <w:pPr>
        <w:pStyle w:val="ListBullet"/>
        <w:spacing w:after="100"/>
      </w:pPr>
      <w:r>
        <w:t>После перенастройки — тестовый чек и его проверка в приложении «Честный знак» или ЛК ОФД.</w:t>
      </w:r>
    </w:p>
    <w:p>
      <w:pPr>
        <w:pStyle w:val="Heading1"/>
      </w:pPr>
      <w:r>
        <w:rPr>
          <w:color w:val="1F3B5C"/>
        </w:rPr>
        <w:t>11. Уже пробитые чеки: правовой механизм и практика</w:t>
      </w:r>
    </w:p>
    <w:p>
      <w:pPr>
        <w:spacing w:after="120"/>
      </w:pPr>
      <w:r>
        <w:rPr>
          <w:b w:val="0"/>
          <w:i w:val="0"/>
        </w:rPr>
        <w:t xml:space="preserve">Ошибка 1212 в прошлых чеках — «применение ККТ с нарушением порядка применения» (ч. 4 ст. 14.5 КоАП: предупреждение или штраф 1,5–3 тыс. руб. на должностное лицо / 5–10 тыс. руб. на юрлицо — </w:t>
      </w:r>
      <w:hyperlink r:id="rId28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b w:val="0"/>
          <w:i w:val="0"/>
        </w:rPr>
        <w:t>). Срок давности — один год со дня расчёта (</w:t>
      </w:r>
      <w:hyperlink r:id="rId29">
        <w:r>
          <w:rPr>
            <w:color w:val="0B5394"/>
            <w:u w:val="single"/>
            <w:sz w:val="21"/>
          </w:rPr>
          <w:t xml:space="preserve">ст. 4.5 КоАП, подборка КонсультантПлюс</w:t>
        </w:r>
      </w:hyperlink>
      <w:r>
        <w:rPr>
          <w:b w:val="0"/>
          <w:i w:val="0"/>
        </w:rPr>
        <w:t>); оговорка (?): длительное систематическое нарушение суды могут расценить как длящееся — тогда год считается со дня обнаружения, поэтому ключевое действие — быстро прекратить нарушение перенастройкой.</w:t>
      </w:r>
    </w:p>
    <w:p>
      <w:pPr>
        <w:pStyle w:val="Heading2"/>
      </w:pPr>
      <w:r>
        <w:rPr>
          <w:color w:val="2E547A"/>
        </w:rPr>
        <w:t>11.1. Официальный механизм исправления (ФФД 1.2)</w:t>
      </w:r>
    </w:p>
    <w:p>
      <w:pPr>
        <w:spacing w:after="120"/>
      </w:pPr>
      <w:r>
        <w:rPr>
          <w:b w:val="0"/>
          <w:i w:val="0"/>
        </w:rPr>
        <w:t xml:space="preserve">По методике ФНС ошибка в принятом чеке при ФФД 1.1/1.2 исправляется парой кассовых чеков коррекции: сначала чек коррекции «возврат прихода» с теми же (ошибочными) реквизитами — он обнуляет некорректный расчёт, затем чек коррекции «приход» с правильными данными; в обоих указывается ФПД исходного чека. Корректировать общей суммой нельзя — каждый расчёт отдельно. Источники: </w:t>
      </w:r>
      <w:hyperlink r:id="rId30">
        <w:r>
          <w:rPr>
            <w:color w:val="0B5394"/>
            <w:u w:val="single"/>
            <w:sz w:val="21"/>
          </w:rPr>
          <w:t xml:space="preserve">листовка ФНС «Исправление ошибок при применении ККТ»</w:t>
        </w:r>
      </w:hyperlink>
      <w:r>
        <w:rPr>
          <w:b w:val="0"/>
          <w:i w:val="0"/>
        </w:rPr>
        <w:t xml:space="preserve">, </w:t>
      </w:r>
      <w:hyperlink r:id="rId31">
        <w:r>
          <w:rPr>
            <w:color w:val="0B5394"/>
            <w:u w:val="single"/>
            <w:sz w:val="21"/>
          </w:rPr>
          <w:t xml:space="preserve">разъяснение ФНС (А. Сорокин)</w:t>
        </w:r>
      </w:hyperlink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Направленный чек коррекции освобождает от ответственности по ч. 2, 4, 6 ст. 14.5 КоАП, если на момент его направления налоговый орган ещё не знал о нарушении и сведений в чеке достаточно для установления события нарушения (примечание к ст. 14.5 в ред. ФЗ № 240-ФЗ — </w:t>
      </w:r>
      <w:hyperlink r:id="rId28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b w:val="0"/>
          <w:i w:val="0"/>
        </w:rPr>
        <w:t>). Для ФФД 1.2 отдельное письменное заявление к чеку коррекции не требуется — чек сам уходит в ФНС через ОФД.</w:t>
      </w:r>
    </w:p>
    <w:p>
      <w:pPr>
        <w:pStyle w:val="Heading2"/>
      </w:pPr>
      <w:r>
        <w:rPr>
          <w:color w:val="2E547A"/>
        </w:rPr>
        <w:t>11.2. Почему не нужно бросаться перепробивать всё</w:t>
      </w:r>
    </w:p>
    <w:p>
      <w:pPr>
        <w:pStyle w:val="ListBullet"/>
        <w:spacing w:after="100"/>
      </w:pPr>
      <w:r>
        <w:t>Индикатор риска: доля чеков коррекции 30% и более от всех фискальных документов за 30 календарных дней — официальное основание для внепланового контроля (приказ Минфина от 06.06.2023 № 88н). Массовую коррекцию нужно дозировать по времени.</w:t>
      </w:r>
    </w:p>
    <w:p>
      <w:pPr>
        <w:pStyle w:val="ListBullet"/>
        <w:spacing w:after="100"/>
      </w:pPr>
      <w:r>
        <w:t>Налоговых искажений нет: суммы, НДС и выручка во всех чеках верны, ошибка — только в справочном реквизите 1212 и отсутствии 2102/2106.</w:t>
      </w:r>
    </w:p>
    <w:p>
      <w:pPr>
        <w:pStyle w:val="ListBullet"/>
        <w:spacing w:after="100"/>
      </w:pPr>
      <w:r>
        <w:t>«Честный знак» чист: выбытие бутылок закрыто списанием при приёмке (п. 96(1) ПП 887); чеки с 1212 = 1 в ГИС МТ как маркированные, вероятно, вообще не передавались (?), поэтому исправлять в системе маркировки нечего.</w:t>
      </w:r>
    </w:p>
    <w:p>
      <w:pPr>
        <w:pStyle w:val="ListBullet"/>
        <w:spacing w:after="100"/>
      </w:pPr>
      <w:r>
        <w:t>Санкция за прошлое даже при выявлении — предупреждение или небольшой штраф; для субъектов малого предпринимательства первое нарушение — предупреждение (ст. 4.1.1 КоАП).</w:t>
      </w:r>
    </w:p>
    <w:p>
      <w:pPr>
        <w:pStyle w:val="Heading2"/>
      </w:pPr>
      <w:r>
        <w:rPr>
          <w:color w:val="2E547A"/>
        </w:rPr>
        <w:t>11.3. Рекомендуемый порядок действий</w:t>
      </w:r>
    </w:p>
    <w:p>
      <w:pPr>
        <w:spacing w:after="100"/>
      </w:pPr>
      <w:r>
        <w:rPr>
          <w:b/>
        </w:rPr>
        <w:t xml:space="preserve">1. </w:t>
      </w:r>
      <w:r>
        <w:t>Зафиксировать дату обнаружения ошибки и сохранить переписку с вендором кассового ПО (доказательство добросовестности, смягчающее обстоятельство — ст. 4.2 КоАП).</w:t>
      </w:r>
    </w:p>
    <w:p>
      <w:pPr>
        <w:spacing w:after="100"/>
      </w:pPr>
      <w:r>
        <w:rPr>
          <w:b/>
        </w:rPr>
        <w:t xml:space="preserve">2. </w:t>
      </w:r>
      <w:r>
        <w:t>Немедленно исправить настройку кассы (см. раздел 10.2) — это прекращает нарушение; чеки старше 12 месяцев после этого выходят из зоны риска по сроку давности.</w:t>
      </w:r>
    </w:p>
    <w:p>
      <w:pPr>
        <w:spacing w:after="100"/>
      </w:pPr>
      <w:r>
        <w:rPr>
          <w:b/>
        </w:rPr>
        <w:t xml:space="preserve">3. </w:t>
      </w:r>
      <w:r>
        <w:t>С бухгалтером решить глубину добровольной коррекции прошлых чеков: разумный вариант — корректировать чеки с маркированными напитками за последние 12 месяцев, если их объём позволяет удерживать долю чеков коррекции заметно ниже 30% фискальных документов за каждые 30 дней; при большом объёме — растянуть по времени или ограничиться свежим периодом (?).</w:t>
      </w:r>
    </w:p>
    <w:p>
      <w:pPr>
        <w:spacing w:after="100"/>
      </w:pPr>
      <w:r>
        <w:rPr>
          <w:b/>
        </w:rPr>
        <w:t xml:space="preserve">4. </w:t>
      </w:r>
      <w:r>
        <w:t>Каждый корректируемый расчёт оформлять парой чеков коррекции (сторно + правильный) с ФПД исходного чека.</w:t>
      </w:r>
    </w:p>
    <w:p>
      <w:pPr>
        <w:spacing w:after="100"/>
      </w:pPr>
      <w:r>
        <w:rPr>
          <w:b/>
        </w:rPr>
        <w:t xml:space="preserve">5. </w:t>
      </w:r>
      <w:r>
        <w:t>После перенастройки пробить тестовый чек и проверить его в приложении «Честный знак» / ЛК ОФД.</w:t>
      </w:r>
    </w:p>
    <w:p>
      <w:pPr>
        <w:pStyle w:val="Heading1"/>
      </w:pPr>
      <w:r>
        <w:rPr>
          <w:color w:val="1F3B5C"/>
        </w:rPr>
        <w:t>Список источников</w:t>
      </w:r>
    </w:p>
    <w:p>
      <w:pPr>
        <w:spacing w:after="100"/>
      </w:pPr>
      <w:r>
        <w:rPr>
          <w:sz w:val="19"/>
        </w:rPr>
        <w:t xml:space="preserve">1. Федеральный закон № 54-ФЗ «О применении ККТ», ст. 4.3, п. 3.2 (введён ФЗ от 29.12.2022 № 597-ФЗ) — право общепита не формировать запрос о коде маркировки и указывать код товара. </w:t>
      </w:r>
      <w:hyperlink r:id="rId16">
        <w:r>
          <w:rPr>
            <w:color w:val="0B5394"/>
            <w:u w:val="single"/>
            <w:sz w:val="21"/>
          </w:rPr>
          <w:t xml:space="preserve">Гарант</w:t>
        </w:r>
      </w:hyperlink>
      <w:r>
        <w:rPr>
          <w:sz w:val="19"/>
        </w:rPr>
        <w:t xml:space="preserve"> · </w:t>
      </w:r>
      <w:hyperlink r:id="rId9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2. Постановление Правительства РФ от 21.02.2019 № 174, пп. «в» п. 3 (в ред. ПП от 19.05.2023 № 786) — реквизит «код товара» с кодом товара вместо кода идентификации. </w:t>
      </w:r>
      <w:hyperlink r:id="rId32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3. Постановление Правительства РФ от 31.05.2023 № 887, Правила маркировки безалкогольных напитков и соков: раздел VIII, п. 91, 96, 96(1), 96(2), 97, 98 — порядок вывода из оборота, в т.ч. предприятиями общепита; раздел IX, п. 109 — чек по ранее списанному товару как корректирующий документ. </w:t>
      </w:r>
      <w:hyperlink r:id="rId14">
        <w:r>
          <w:rPr>
            <w:color w:val="0B5394"/>
            <w:u w:val="single"/>
            <w:sz w:val="21"/>
          </w:rPr>
          <w:t xml:space="preserve">Раздел VIII (КонсультантПлюс)</w:t>
        </w:r>
      </w:hyperlink>
      <w:r>
        <w:rPr>
          <w:sz w:val="19"/>
        </w:rPr>
        <w:t xml:space="preserve"> · </w:t>
      </w:r>
      <w:hyperlink r:id="rId25">
        <w:r>
          <w:rPr>
            <w:color w:val="0B5394"/>
            <w:u w:val="single"/>
            <w:sz w:val="21"/>
          </w:rPr>
          <w:t xml:space="preserve">Раздел IX (КонсультантПлюс)</w:t>
        </w:r>
      </w:hyperlink>
    </w:p>
    <w:p>
      <w:pPr>
        <w:spacing w:after="100"/>
      </w:pPr>
      <w:r>
        <w:rPr>
          <w:sz w:val="19"/>
        </w:rPr>
        <w:t xml:space="preserve">4. Постановление Правительства РФ от 15.12.2020 № 841, Правила маркировки упакованной воды: п. 91(1)–91(2) — вывод из оборота предприятиями общепита (поэкземплярно для воды, произведённой с 01.03.2025). </w:t>
      </w:r>
      <w:hyperlink r:id="rId27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5. Постановление Правительства РФ от 21.11.2023 № 1944 — разрешительный режим: перечень случаев запрета продажи; Правила, раздел I, п. 3, пп. «г» — исключение для общепита, передающего код товара. </w:t>
      </w:r>
      <w:hyperlink r:id="rId33">
        <w:r>
          <w:rPr>
            <w:color w:val="0B5394"/>
            <w:u w:val="single"/>
            <w:sz w:val="21"/>
          </w:rPr>
          <w:t xml:space="preserve">Официальная публикация</w:t>
        </w:r>
      </w:hyperlink>
      <w:r>
        <w:rPr>
          <w:sz w:val="19"/>
        </w:rPr>
        <w:t xml:space="preserve"> · </w:t>
      </w:r>
      <w:hyperlink r:id="rId19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sz w:val="19"/>
        </w:rPr>
        <w:t xml:space="preserve"> · </w:t>
      </w:r>
      <w:hyperlink r:id="rId26">
        <w:r>
          <w:rPr>
            <w:color w:val="0B5394"/>
            <w:u w:val="single"/>
            <w:sz w:val="21"/>
          </w:rPr>
          <w:t xml:space="preserve">Правила, п. 3</w:t>
        </w:r>
      </w:hyperlink>
    </w:p>
    <w:p>
      <w:pPr>
        <w:spacing w:after="100"/>
      </w:pPr>
      <w:r>
        <w:rPr>
          <w:sz w:val="19"/>
        </w:rPr>
        <w:t xml:space="preserve">6. Приказ ФНС России от 14.09.2020 № ЕД-7-20/662@ — форматы фискальных документов (ФФД 1.2): таблицы тегов 1163, 1212, 1260–1265, 2106, 2107; п. 20 примечаний к таблице 96; примечание 16 к таблице 97 (обязательность 2102/2106 у маркируемого товара). </w:t>
      </w:r>
      <w:hyperlink r:id="rId12">
        <w:r>
          <w:rPr>
            <w:color w:val="0B5394"/>
            <w:u w:val="single"/>
            <w:sz w:val="21"/>
          </w:rPr>
          <w:t xml:space="preserve">КонсультантПлюс</w:t>
        </w:r>
      </w:hyperlink>
      <w:r>
        <w:rPr>
          <w:sz w:val="19"/>
        </w:rPr>
        <w:t xml:space="preserve"> · </w:t>
      </w:r>
      <w:hyperlink r:id="rId15">
        <w:r>
          <w:rPr>
            <w:color w:val="0B5394"/>
            <w:u w:val="single"/>
            <w:sz w:val="21"/>
          </w:rPr>
          <w:t xml:space="preserve">Гарант</w:t>
        </w:r>
      </w:hyperlink>
      <w:r>
        <w:rPr>
          <w:sz w:val="19"/>
        </w:rPr>
        <w:t xml:space="preserve"> · </w:t>
      </w:r>
      <w:hyperlink r:id="rId13">
        <w:r>
          <w:rPr>
            <w:color w:val="0B5394"/>
            <w:u w:val="single"/>
            <w:sz w:val="21"/>
          </w:rPr>
          <w:t xml:space="preserve">Таблица 97</w:t>
        </w:r>
      </w:hyperlink>
      <w:r>
        <w:rPr>
          <w:sz w:val="19"/>
        </w:rPr>
        <w:t xml:space="preserve"> · </w:t>
      </w:r>
      <w:hyperlink r:id="rId22">
        <w:r>
          <w:rPr>
            <w:color w:val="0B5394"/>
            <w:u w:val="single"/>
            <w:sz w:val="21"/>
          </w:rPr>
          <w:t xml:space="preserve">Таблица 101 (1212)</w:t>
        </w:r>
      </w:hyperlink>
      <w:r>
        <w:rPr>
          <w:sz w:val="19"/>
        </w:rPr>
        <w:t xml:space="preserve"> · </w:t>
      </w:r>
      <w:hyperlink r:id="rId17">
        <w:r>
          <w:rPr>
            <w:color w:val="0B5394"/>
            <w:u w:val="single"/>
            <w:sz w:val="21"/>
          </w:rPr>
          <w:t xml:space="preserve">Таблица 110 (2106)</w:t>
        </w:r>
      </w:hyperlink>
    </w:p>
    <w:p>
      <w:pPr>
        <w:spacing w:after="100"/>
      </w:pPr>
      <w:r>
        <w:rPr>
          <w:sz w:val="19"/>
        </w:rPr>
        <w:t xml:space="preserve">7. Налоговый кодекс РФ, ст. 181, пп. 23 п. 1 — сахаросодержащие напитки как подакцизные товары (критерий выбора 1212 = 31 или 33). </w:t>
      </w:r>
      <w:hyperlink r:id="rId23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8. Хорека РСК: ТС ПИоТ и «Честный знак» для общепита — практика настройки 1212 (31/33), ОСУ, iiko/r_keeper. </w:t>
      </w:r>
      <w:hyperlink r:id="rId24">
        <w:r>
          <w:rPr>
            <w:color w:val="0B5394"/>
            <w:u w:val="single"/>
            <w:sz w:val="21"/>
          </w:rPr>
          <w:t xml:space="preserve">74f1.ru</w:t>
        </w:r>
      </w:hyperlink>
    </w:p>
    <w:p>
      <w:pPr>
        <w:spacing w:after="100"/>
      </w:pPr>
      <w:r>
        <w:rPr>
          <w:sz w:val="19"/>
        </w:rPr>
        <w:t xml:space="preserve">9. КоАП РФ, ст. 14.5 (ч. 4 — применение ККТ с нарушением порядка) и примечание к ней (освобождение от ответственности при направлении чека коррекции, в ред. ФЗ № 240-ФЗ). </w:t>
      </w:r>
      <w:hyperlink r:id="rId28">
        <w:r>
          <w:rPr>
            <w:color w:val="0B5394"/>
            <w:u w:val="single"/>
            <w:sz w:val="21"/>
          </w:rPr>
          <w:t xml:space="preserve">КонсультантПлюс</w:t>
        </w:r>
      </w:hyperlink>
    </w:p>
    <w:p>
      <w:pPr>
        <w:spacing w:after="100"/>
      </w:pPr>
      <w:r>
        <w:rPr>
          <w:sz w:val="19"/>
        </w:rPr>
        <w:t xml:space="preserve">10. ФНС России: методические материалы по исправлению ошибок при применении ККТ — пара чеков коррекции для ФФД 1.1/1.2, коррекция по каждому расчёту. </w:t>
      </w:r>
      <w:hyperlink r:id="rId30">
        <w:r>
          <w:rPr>
            <w:color w:val="0B5394"/>
            <w:u w:val="single"/>
            <w:sz w:val="21"/>
          </w:rPr>
          <w:t xml:space="preserve">Листовка ФНС (PDF)</w:t>
        </w:r>
      </w:hyperlink>
      <w:r>
        <w:rPr>
          <w:sz w:val="19"/>
        </w:rPr>
        <w:t xml:space="preserve"> · </w:t>
      </w:r>
      <w:hyperlink r:id="rId31">
        <w:r>
          <w:rPr>
            <w:color w:val="0B5394"/>
            <w:u w:val="single"/>
            <w:sz w:val="21"/>
          </w:rPr>
          <w:t xml:space="preserve">Разъяснение ФНС (А. Сорокин)</w:t>
        </w:r>
      </w:hyperlink>
    </w:p>
    <w:p>
      <w:pPr>
        <w:spacing w:after="100"/>
      </w:pPr>
      <w:r>
        <w:rPr>
          <w:sz w:val="19"/>
        </w:rPr>
        <w:t xml:space="preserve">11. Приказ Минфина России от 06.06.2023 № 88н — индикаторы риска для внеплановых проверок ККТ (в т.ч. доля чеков коррекции ≥ 30% за 30 дней). </w:t>
      </w:r>
      <w:hyperlink r:id="rId34">
        <w:r>
          <w:rPr>
            <w:color w:val="0B5394"/>
            <w:u w:val="single"/>
            <w:sz w:val="21"/>
          </w:rPr>
          <w:t xml:space="preserve">Гарант, обзор</w:t>
        </w:r>
      </w:hyperlink>
    </w:p>
    <w:p>
      <w:pPr>
        <w:spacing w:after="100"/>
      </w:pPr>
      <w:r>
        <w:rPr>
          <w:sz w:val="19"/>
        </w:rPr>
        <w:t xml:space="preserve">12. Срок давности привлечения к ответственности за нарушения при применении ККТ — один год (ст. 4.5 КоАП). </w:t>
      </w:r>
      <w:hyperlink r:id="rId29">
        <w:r>
          <w:rPr>
            <w:color w:val="0B5394"/>
            <w:u w:val="single"/>
            <w:sz w:val="21"/>
          </w:rPr>
          <w:t xml:space="preserve">Подборка КонсультантПлюс</w:t>
        </w:r>
      </w:hyperlink>
    </w:p>
    <w:p>
      <w:pPr>
        <w:spacing w:after="100"/>
      </w:pPr>
      <w:r>
        <w:rPr>
          <w:sz w:val="19"/>
        </w:rPr>
        <w:t xml:space="preserve">13. Методические рекомендации ЦРПТ для разработчиков кассового ПО по заполнению тегов Horeca (схема послабления: код товара + mode=horeca). </w:t>
      </w:r>
      <w:hyperlink r:id="rId10">
        <w:r>
          <w:rPr>
            <w:color w:val="0B5394"/>
            <w:u w:val="single"/>
            <w:sz w:val="21"/>
          </w:rPr>
          <w:t xml:space="preserve">честныйзнак.рф (PDF)</w:t>
        </w:r>
      </w:hyperlink>
    </w:p>
    <w:p>
      <w:pPr>
        <w:spacing w:after="100"/>
      </w:pPr>
      <w:r>
        <w:rPr>
          <w:sz w:val="19"/>
        </w:rPr>
        <w:t xml:space="preserve">14. Методические рекомендации ЦРПТ по разрешительному режиму, вер. 01_3 rev + офлайн (заполнение 1260 с UUID/Time, офлайн через Локальный модуль). </w:t>
      </w:r>
      <w:hyperlink r:id="rId11">
        <w:r>
          <w:rPr>
            <w:color w:val="0B5394"/>
            <w:u w:val="single"/>
            <w:sz w:val="21"/>
          </w:rPr>
          <w:t xml:space="preserve">честныйзнак.рф (PDF)</w:t>
        </w:r>
      </w:hyperlink>
    </w:p>
    <w:p>
      <w:pPr>
        <w:spacing w:after="100"/>
      </w:pPr>
      <w:r>
        <w:rPr>
          <w:sz w:val="19"/>
        </w:rPr>
        <w:t xml:space="preserve">15. Методические рекомендации ЦРПТ по выводу из оборота маркированного товара для услуг общепита (Horeca). </w:t>
      </w:r>
      <w:hyperlink r:id="rId35">
        <w:r>
          <w:rPr>
            <w:color w:val="0B5394"/>
            <w:u w:val="single"/>
            <w:sz w:val="21"/>
          </w:rPr>
          <w:t xml:space="preserve">копия PDF</w:t>
        </w:r>
      </w:hyperlink>
    </w:p>
    <w:p>
      <w:pPr>
        <w:spacing w:after="100"/>
      </w:pPr>
      <w:r>
        <w:rPr>
          <w:sz w:val="19"/>
        </w:rPr>
        <w:t xml:space="preserve">16. Честный знак: сроки и этапы маркировки безалкогольных напитков (в т.ч. переход на поэкземплярный учёт с 01.03.2026). </w:t>
      </w:r>
      <w:hyperlink r:id="rId36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17. Честный знак: регистрация и действия HoReCa по безалкогольным напиткам (вывод из оборота в течение 3 рабочих дней). </w:t>
      </w:r>
      <w:hyperlink r:id="rId18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18. Честный знак: разрешительный режим на кассах — этапы и даты. </w:t>
      </w:r>
      <w:hyperlink r:id="rId20">
        <w:r>
          <w:rPr>
            <w:color w:val="0B5394"/>
            <w:u w:val="single"/>
            <w:sz w:val="21"/>
          </w:rPr>
          <w:t xml:space="preserve">markirovka.ru</w:t>
        </w:r>
      </w:hyperlink>
    </w:p>
    <w:p>
      <w:pPr>
        <w:spacing w:after="100"/>
      </w:pPr>
      <w:r>
        <w:rPr>
          <w:sz w:val="19"/>
        </w:rPr>
        <w:t xml:space="preserve">19. 1С: разрешительный режим розничной продажи маркированных товаров с 01.04.2024 (таблица дат по группам). </w:t>
      </w:r>
      <w:hyperlink r:id="rId37">
        <w:r>
          <w:rPr>
            <w:color w:val="0B5394"/>
            <w:u w:val="single"/>
            <w:sz w:val="21"/>
          </w:rPr>
          <w:t xml:space="preserve">v8.1c.ru</w:t>
        </w:r>
      </w:hyperlink>
    </w:p>
    <w:p>
      <w:pPr>
        <w:spacing w:after="100"/>
      </w:pPr>
      <w:r>
        <w:rPr>
          <w:sz w:val="19"/>
        </w:rPr>
        <w:t xml:space="preserve">20. Роспотребнадзор: офлайн-проверка разрешительного режима с 01.03.2025. </w:t>
      </w:r>
      <w:hyperlink r:id="rId38">
        <w:r>
          <w:rPr>
            <w:color w:val="0B5394"/>
            <w:u w:val="single"/>
            <w:sz w:val="21"/>
          </w:rPr>
          <w:t xml:space="preserve">56.rospotrebnadzor.ru</w:t>
        </w:r>
      </w:hyperlink>
    </w:p>
    <w:p>
      <w:pPr>
        <w:spacing w:after="100"/>
      </w:pPr>
      <w:r>
        <w:rPr>
          <w:sz w:val="19"/>
        </w:rPr>
        <w:t xml:space="preserve">21. Контур.Маркет: как общепиту работать с маркировкой — ТС ПИоТ и изменения 2026 года (бакалея с 01.09.2026, консервы с 01.10.2026, автоштрафы). </w:t>
      </w:r>
      <w:hyperlink r:id="rId39">
        <w:r>
          <w:rPr>
            <w:color w:val="0B5394"/>
            <w:u w:val="single"/>
            <w:sz w:val="21"/>
          </w:rPr>
          <w:t xml:space="preserve">kontur.ru</w:t>
        </w:r>
      </w:hyperlink>
    </w:p>
    <w:p>
      <w:pPr>
        <w:spacing w:after="100"/>
      </w:pPr>
      <w:r>
        <w:rPr>
          <w:sz w:val="19"/>
        </w:rPr>
        <w:t xml:space="preserve">22. Контур.Маркет: всё о ТС ПИоТ (обязанность розницы с 28.12.2025, ПП № 303 и № 515). </w:t>
      </w:r>
      <w:hyperlink r:id="rId21">
        <w:r>
          <w:rPr>
            <w:color w:val="0B5394"/>
            <w:u w:val="single"/>
            <w:sz w:val="21"/>
          </w:rPr>
          <w:t xml:space="preserve">kontur.ru</w:t>
        </w:r>
      </w:hyperlink>
      <w:r>
        <w:rPr>
          <w:sz w:val="19"/>
        </w:rPr>
        <w:t xml:space="preserve"> · </w:t>
      </w:r>
      <w:hyperlink r:id="rId40">
        <w:r>
          <w:rPr>
            <w:color w:val="0B5394"/>
            <w:u w:val="single"/>
            <w:sz w:val="21"/>
          </w:rPr>
          <w:t xml:space="preserve">новость о запрете продаж без ТС ПИоТ с 01.07.2026</w:t>
        </w:r>
      </w:hyperlink>
    </w:p>
    <w:p>
      <w:pPr>
        <w:spacing w:after="100"/>
      </w:pPr>
      <w:r>
        <w:rPr>
          <w:sz w:val="19"/>
        </w:rPr>
        <w:t xml:space="preserve">23. Rokass: ТС ПИоТ для общепита — обязателен ли, работа по послаблению. </w:t>
      </w:r>
      <w:hyperlink r:id="rId41">
        <w:r>
          <w:rPr>
            <w:color w:val="0B5394"/>
            <w:u w:val="single"/>
            <w:sz w:val="21"/>
          </w:rPr>
          <w:t xml:space="preserve">rokass.ru</w:t>
        </w:r>
      </w:hyperlink>
    </w:p>
    <w:p>
      <w:pPr>
        <w:spacing w:before="200"/>
      </w:pPr>
      <w:r>
        <w:rPr>
          <w:i/>
          <w:color w:val="777777"/>
          <w:sz w:val="18"/>
        </w:rPr>
        <w:t>Документ подготовлен на основе перечисленных первоисточников по состоянию на 23.07.2026 и не является юридическим заключением. Места, где официального разъяснения нет и приведена наша интерпретация, помечены знаком (?).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42359/c66f699f7114b0ac2d3309283162539ad93ea8d1/" TargetMode="External"/><Relationship Id="rId10" Type="http://schemas.openxmlformats.org/officeDocument/2006/relationships/hyperlink" Target="https://xn--80ajghhoc2aj1c8b.xn--p1ai/upload/%D0%9C%D0%A0_%D0%B4%D0%BB%D1%8F_%D1%80%D0%B0%D0%B7%D1%80%D0%B0%D0%B1%D0%BE%D1%82%D1%87%D0%B8%D0%BA%D0%BE%D0%B2_%D0%BA%D0%B0%D1%81%D1%81%D0%BE%D0%B2%D0%BE%D0%B3%D0%BE_%D0%9F%D0%9E_%D0%BF%D0%BE_%D0%B7%D0%B0%D0%BF%D0%BE%D0%BB%D0%BD%D0%B5%D0%BD%D0%B8%D1%8E_%D0%B0%D0%B3%D0%BE%D0%B2_Horeca.pdf" TargetMode="External"/><Relationship Id="rId11" Type="http://schemas.openxmlformats.org/officeDocument/2006/relationships/hyperlink" Target="https://xn--80ajghhoc2aj1c8b.xn--p1ai/upload/2023_09_01_%D0%BC%D0%B5%D1%82%D0%BE%D0%B4%D0%B8%D1%87%D0%B5%D1%81%D0%BA%D0%B8%D0%B5_%D1%80%D0%B5%D0%BA%D0%BE%D0%BC%D0%B5%D0%BD%D0%B4%D0%B0%D1%86%D0%B8%D0%B8_%D0%B201_3_rev_%D0%B8_%D0%BE%D1%84%D0%BB%D0%B0%D0%B8%CC%86%D0%BD_2.pdf" TargetMode="External"/><Relationship Id="rId12" Type="http://schemas.openxmlformats.org/officeDocument/2006/relationships/hyperlink" Target="https://www.consultant.ru/document/cons_doc_LAW_362322/" TargetMode="External"/><Relationship Id="rId13" Type="http://schemas.openxmlformats.org/officeDocument/2006/relationships/hyperlink" Target="https://www.consultant.ru/document/cons_doc_LAW_362322/7fc1352165993fa9b7be1b7937c3ab714140f909/" TargetMode="External"/><Relationship Id="rId14" Type="http://schemas.openxmlformats.org/officeDocument/2006/relationships/hyperlink" Target="https://www.consultant.ru/document/cons_doc_LAW_448570/7877dc4c541f95782eaee9052c243299aa2909df/" TargetMode="External"/><Relationship Id="rId15" Type="http://schemas.openxmlformats.org/officeDocument/2006/relationships/hyperlink" Target="https://base.garant.ru/74660690/" TargetMode="External"/><Relationship Id="rId16" Type="http://schemas.openxmlformats.org/officeDocument/2006/relationships/hyperlink" Target="https://base.garant.ru/12130951/d2b3224c46a40b9266b496c5f3c6a68a/" TargetMode="External"/><Relationship Id="rId17" Type="http://schemas.openxmlformats.org/officeDocument/2006/relationships/hyperlink" Target="https://www.consultant.ru/document/cons_doc_LAW_362322/60f9ee9139c192d0536fa3c731c26b4312363d94/" TargetMode="External"/><Relationship Id="rId18" Type="http://schemas.openxmlformats.org/officeDocument/2006/relationships/hyperlink" Target="https://markirovka.ru/knowledge/tovarnye-gruppy/bezalcohol-napitki/dalneyshie-deystviya-posle-registratsii-po-bezalkogolnym-napitkam-horeca" TargetMode="External"/><Relationship Id="rId19" Type="http://schemas.openxmlformats.org/officeDocument/2006/relationships/hyperlink" Target="https://www.consultant.ru/document/cons_doc_LAW_462894/" TargetMode="External"/><Relationship Id="rId20" Type="http://schemas.openxmlformats.org/officeDocument/2006/relationships/hyperlink" Target="https://markirovka.ru/community/rezhim-proverokna-kassakh/rezhim-proverok-na-kassakh" TargetMode="External"/><Relationship Id="rId21" Type="http://schemas.openxmlformats.org/officeDocument/2006/relationships/hyperlink" Target="https://kontur.ru/market/spravka/85350-vsyo_o_ts_piot" TargetMode="External"/><Relationship Id="rId22" Type="http://schemas.openxmlformats.org/officeDocument/2006/relationships/hyperlink" Target="https://www.consultant.ru/document/cons_doc_LAW_362322/cc1e361ee41688e67fe65c4740a242a10c265c86/" TargetMode="External"/><Relationship Id="rId23" Type="http://schemas.openxmlformats.org/officeDocument/2006/relationships/hyperlink" Target="https://www.consultant.ru/document/cons_doc_LAW_28165/c4dda76950086823809763473e10fa70d9707463/" TargetMode="External"/><Relationship Id="rId24" Type="http://schemas.openxmlformats.org/officeDocument/2006/relationships/hyperlink" Target="https://74f1.ru/ts-piot-i-chestnyj-znak/" TargetMode="External"/><Relationship Id="rId25" Type="http://schemas.openxmlformats.org/officeDocument/2006/relationships/hyperlink" Target="https://www.consultant.ru/document/cons_doc_LAW_448570/d96340fd66cfec17a3d6b8f9fd1c70ff01faa09b/" TargetMode="External"/><Relationship Id="rId26" Type="http://schemas.openxmlformats.org/officeDocument/2006/relationships/hyperlink" Target="https://www.consultant.ru/document/cons_doc_LAW_462894/91bec0bd78577f2ec16ab425b469bf336d695670/" TargetMode="External"/><Relationship Id="rId27" Type="http://schemas.openxmlformats.org/officeDocument/2006/relationships/hyperlink" Target="https://www.consultant.ru/document/cons_doc_LAW_385620/7cebbcef1a0c786249070e7fcbe66173cc962d6b/" TargetMode="External"/><Relationship Id="rId28" Type="http://schemas.openxmlformats.org/officeDocument/2006/relationships/hyperlink" Target="https://www.consultant.ru/document/cons_doc_LAW_34661/3824bbacc6e85f19f12895b0ee20f3bbae92f439/" TargetMode="External"/><Relationship Id="rId29" Type="http://schemas.openxmlformats.org/officeDocument/2006/relationships/hyperlink" Target="https://www.consultant.ru/law/podborki/srok_davnosti_privlecheniya_k_administrativnoj_otvetstvennosti_kkt/" TargetMode="External"/><Relationship Id="rId30" Type="http://schemas.openxmlformats.org/officeDocument/2006/relationships/hyperlink" Target="https://www.nalog.gov.ru/html/sites/www.rn47.nalog.ru/media/Listovki/kktrekom.pdf" TargetMode="External"/><Relationship Id="rId31" Type="http://schemas.openxmlformats.org/officeDocument/2006/relationships/hyperlink" Target="https://www.nalog.gov.ru/rn77/news/activities_fts/16618985/" TargetMode="External"/><Relationship Id="rId32" Type="http://schemas.openxmlformats.org/officeDocument/2006/relationships/hyperlink" Target="https://www.consultant.ru/document/cons_doc_LAW_447544/" TargetMode="External"/><Relationship Id="rId33" Type="http://schemas.openxmlformats.org/officeDocument/2006/relationships/hyperlink" Target="http://publication.pravo.gov.ru/document/0001202311270058" TargetMode="External"/><Relationship Id="rId34" Type="http://schemas.openxmlformats.org/officeDocument/2006/relationships/hyperlink" Target="https://www.garant.ru/news/1633910/" TargetMode="External"/><Relationship Id="rId35" Type="http://schemas.openxmlformats.org/officeDocument/2006/relationships/hyperlink" Target="https://cdn.sbor.ru/Files/file/metodicheskie_rekomendatsii_po_vuvodu_iz_oborota_horeka(1)_2.pdf" TargetMode="External"/><Relationship Id="rId36" Type="http://schemas.openxmlformats.org/officeDocument/2006/relationships/hyperlink" Target="https://markirovka.ru/knowledge/tovarnye-gruppy/bezalcohol-napitki/sroki-i-etapy-markirovki-bezalkogolnykh-napitkov" TargetMode="External"/><Relationship Id="rId37" Type="http://schemas.openxmlformats.org/officeDocument/2006/relationships/hyperlink" Target="https://v8.1c.ru/metod/article/razreshitelnyy-rezhim-s-1-aprelya-2024-g-chto-takoe-i-kak-podgotovitsya.htm" TargetMode="External"/><Relationship Id="rId38" Type="http://schemas.openxmlformats.org/officeDocument/2006/relationships/hyperlink" Target="https://56.rospotrebnadzor.ru/razreshitelnyij-rezhim-oflajn-s-1-marta-2025-goda" TargetMode="External"/><Relationship Id="rId39" Type="http://schemas.openxmlformats.org/officeDocument/2006/relationships/hyperlink" Target="https://kontur.ru/market/spravka/86812-ts_piot_i_drugie_izmeneniya" TargetMode="External"/><Relationship Id="rId40" Type="http://schemas.openxmlformats.org/officeDocument/2006/relationships/hyperlink" Target="https://kontur.ru/market/news/86420-kassy_ne_smogut_prodavat_tovary_s_markirovkoy" TargetMode="External"/><Relationship Id="rId41" Type="http://schemas.openxmlformats.org/officeDocument/2006/relationships/hyperlink" Target="https://rokass.ru/blog/drugoe/ts-piot-dlya-obshchepita-obyazatelen-li-i-kak-rabotat-po-poslableniy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