
<file path=[Content_Types].xml><?xml version="1.0" encoding="utf-8"?>
<Types xmlns="http://schemas.openxmlformats.org/package/2006/content-types">
  <Default ContentType="image/gif" Extension="gi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68B1DB1-Heading11"/>
        <w:spacing w:before="0"/>
        <w:rPr>
          <w:color w:val="C00000"/>
        </w:rPr>
      </w:pPr>
      <w:bookmarkStart w:id="0" w:name="_top"/>
      <w:bookmarkEnd w:id="0"/>
      <w:r>
        <w:rPr>
          <w:sz w:val="18"/>
        </w:rPr>
        <w:t xml:space="preserve">Documento de Amostra</w:t>
      </w:r>
    </w:p>
    <w:p>
      <w:pPr/>
      <w:r>
        <w:rPr>
          <w:sz w:val="20"/>
        </w:rPr>
        <w:t xml:space="preserve">Este documento foi criado utilizando técnicas de acessibilidade para cabeçalhos, listas, texto alternativo para imagens, tabelas e colunas. Ele deve ser completamente acessível usando tecnologias assistivas, como leitores de tela.</w:t>
      </w:r>
    </w:p>
    <w:p>
      <w:pPr>
        <w:pStyle w:val="Heading2"/>
      </w:pPr>
      <w:r>
        <w:rPr>
          <w:sz w:val="36"/>
        </w:rPr>
        <w:t>Títulos</w:t>
      </w:r>
    </w:p>
    <w:p>
      <w:pPr/>
      <w:r>
        <w:rPr>
          <w:sz w:val="20"/>
        </w:rPr>
        <w:t xml:space="preserve">Há oito cabeçalhos de seção neste documento. No início, "Documento de Exemplo" é um cabeçalho de nível 1. Os cabeçalhos principais, como "Cabeçalhos" e "Listas", são cabeçalhos de nível 2. A seção de Tabelas contém dois sub-cabeçalhos, "Tabela Simples" e "Tabela Complexa", que são ambos cabeçalhos de nível 3.</w:t>
      </w:r>
    </w:p>
    <w:p>
      <w:pPr>
        <w:pStyle w:val="Heading2"/>
      </w:pPr>
      <w:r>
        <w:rPr>
          <w:sz w:val="28"/>
        </w:rPr>
        <w:t>Listas</w:t>
      </w:r>
    </w:p>
    <w:p>
      <w:pPr/>
      <w:r>
        <w:rPr>
          <w:sz w:val="20"/>
        </w:rPr>
        <w:t xml:space="preserve">O seguinte esboço das seções deste documento é uma lista ordenada (numerada) com seis itens. O quinto item, "Tabelas," contém uma lista não ordenada (com marcadores) com dois itens.</w:t>
      </w:r>
    </w:p>
    <w:p>
      <w:pPr>
        <w:pStyle w:val="ListParagraph"/>
        <w:numPr>
          <w:ilvl w:val="0"/>
          <w:numId w:val="1"/>
        </w:numPr>
      </w:pPr>
      <w:r>
        <w:rPr>
          <w:sz w:val="18"/>
        </w:rPr>
        <w:t>Cabeçalhos</w:t>
      </w:r>
    </w:p>
    <w:p>
      <w:pPr>
        <w:pStyle w:val="ListParagraph"/>
        <w:numPr>
          <w:ilvl w:val="0"/>
          <w:numId w:val="1"/>
        </w:numPr>
      </w:pPr>
      <w:r>
        <w:rPr>
          <w:sz w:val="18"/>
        </w:rPr>
        <w:t>Listas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Links</w:t>
      </w:r>
    </w:p>
    <w:p>
      <w:pPr>
        <w:pStyle w:val="ListParagraph"/>
        <w:numPr>
          <w:ilvl w:val="0"/>
          <w:numId w:val="1"/>
        </w:numPr>
      </w:pPr>
      <w:r>
        <w:rPr>
          <w:sz w:val="18"/>
        </w:rPr>
        <w:t>Imagens</w:t>
      </w:r>
    </w:p>
    <w:p>
      <w:pPr>
        <w:pStyle w:val="ListParagraph"/>
        <w:numPr>
          <w:ilvl w:val="0"/>
          <w:numId w:val="1"/>
        </w:numPr>
      </w:pPr>
      <w:r>
        <w:rPr>
          <w:sz w:val="18"/>
        </w:rPr>
        <w:t>Tabelas</w:t>
      </w:r>
    </w:p>
    <w:p>
      <w:pPr>
        <w:pStyle w:val="ListParagraph"/>
        <w:numPr>
          <w:ilvl w:val="0"/>
          <w:numId w:val="2"/>
        </w:numPr>
      </w:pPr>
      <w:r>
        <w:rPr>
          <w:sz w:val="18"/>
        </w:rPr>
        <w:t xml:space="preserve">Tabelas Simples</w:t>
      </w:r>
    </w:p>
    <w:p>
      <w:pPr>
        <w:pStyle w:val="ListParagraph"/>
        <w:numPr>
          <w:ilvl w:val="0"/>
          <w:numId w:val="2"/>
        </w:numPr>
      </w:pPr>
      <w:r>
        <w:rPr>
          <w:sz w:val="18"/>
        </w:rPr>
        <w:t xml:space="preserve">Tabelas Complexas</w:t>
      </w:r>
    </w:p>
    <w:p>
      <w:pPr>
        <w:pStyle w:val="ListParagraph"/>
        <w:numPr>
          <w:ilvl w:val="0"/>
          <w:numId w:val="1"/>
        </w:numPr>
      </w:pPr>
      <w:r>
        <w:rPr>
          <w:sz w:val="24"/>
        </w:rPr>
        <w:t>Colunas</w:t>
      </w:r>
    </w:p>
    <w:p>
      <w:pPr>
        <w:pStyle w:val="Heading2"/>
      </w:pPr>
      <w:r>
        <w:rPr>
          <w:sz w:val="36"/>
        </w:rPr>
        <w:t>Links</w:t>
      </w:r>
    </w:p>
    <w:p>
      <w:pPr/>
      <w:r>
        <w:rPr>
          <w:sz w:val="18"/>
        </w:rPr>
        <w:t xml:space="preserve">Em documentos da web, os links podem apontar para diferentes locais na página, diferentes páginas ou até mesmo documentos baixáveis, como documentos do Word ou PDFs:</w:t>
      </w:r>
    </w:p>
    <w:p>
      <w:pPr/>
      <w:r>
        <w:rPr>
          <w:sz w:val="18"/>
        </w:rPr>
        <w:t xml:space="preserve">Topo desta PáginaDocumento de ExemploDocumento de Exemplo (docx)</w:t>
      </w:r>
    </w:p>
    <w:p>
      <w:pPr>
        <w:pStyle w:val="Heading2"/>
      </w:pPr>
      <w:r>
        <w:rPr>
          <w:sz w:val="30"/>
        </w:rPr>
        <w:t>Imagens</w:t>
      </w:r>
    </w:p>
    <w:p>
      <w:pPr/>
      <w:r>
        <w:drawing>
          <wp:anchor distT="0" distB="0" distL="114300" distR="114300" simplePos="0" relativeHeight="251658240" behindDoc="0" locked="0" layoutInCell="1" allowOverlap="1" wp14:anchorId="115B42E5" wp14:editId="7522028F">
            <wp:simplePos x="0" y="0"/>
            <wp:positionH relativeFrom="column">
              <wp:posOffset>-53340</wp:posOffset>
            </wp:positionH>
            <wp:positionV relativeFrom="paragraph">
              <wp:posOffset>18415</wp:posOffset>
            </wp:positionV>
            <wp:extent cx="1339850" cy="1243965"/>
            <wp:effectExtent l="0" t="0" r="0" b="0"/>
            <wp:wrapSquare wrapText="bothSides"/>
            <wp:docPr id="3" name="[P179EED26-sub1]Imagem 3" descr="Web Access 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[P179EED26-sub2]Imagem 23" descr="C:\Users\Mike.Scott\Desktop\Web-Access-Symbol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850" cy="124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0"/>
        </w:rPr>
        <w:t xml:space="preserve">Os documentos podem conter imagens. Por exemplo, há uma imagem do símbolo de acessibilidade da web à esquerda deste parágrafo. Seu texto alternativo é "Símbolo de Acesso à Web".</w:t>
      </w:r>
    </w:p>
    <w:p>
      <w:pPr/>
      <w:r>
        <w:rPr>
          <w:sz w:val="16"/>
        </w:rPr>
        <w:t xml:space="preserve">O texto alternativo deve comunicar o que uma imagem significa, não como ela se parece.</w:t>
      </w:r>
    </w:p>
    <w:p>
      <w:pPr>
        <w:spacing w:before="0" w:after="200"/>
      </w:pPr>
      <w:r>
        <w:br w:type="page"/>
      </w:r>
    </w:p>
    <w:p>
      <w:pPr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-195580</wp:posOffset>
            </wp:positionV>
            <wp:extent cx="2700655" cy="1329055"/>
            <wp:effectExtent l="0" t="0" r="4445" b="4445"/>
            <wp:wrapSquare wrapText="bothSides"/>
            <wp:docPr id="4" name="[P179EED3E-sub1]Imagem 4" descr="Chart of Screen Reader Market Share. (Unfortunately, there isn't a way in Word or PDF to include rich formatting, such as a table, in alternate text.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[P179EED3E-sub2]Imagem 24" descr="C:\Users\Mike.Scott\Desktop\Chart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65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8"/>
        </w:rPr>
        <w:t xml:space="preserve">Algumas imagens, como gráficos ou diagramas, exigem descrições longas, mas nem todos os tipos de documentos permitem isso. Em páginas da web, descrições longas podem ser fornecidas de várias maneiras: na página abaixo da imagem, por meio de um link abaixo da imagem ou por meio de um link na imagem.</w:t>
      </w:r>
    </w:p>
    <w:p>
      <w:pPr/>
    </w:p>
    <w:p>
      <w:pPr>
        <w:pStyle w:val="Heading2"/>
      </w:pPr>
      <w:r>
        <w:rPr>
          <w:sz w:val="36"/>
        </w:rPr>
        <w:t>Mesas</w:t>
      </w:r>
    </w:p>
    <w:p>
      <w:pPr>
        <w:pStyle w:val="Heading3"/>
      </w:pPr>
      <w:r>
        <w:rPr>
          <w:sz w:val="24"/>
        </w:rPr>
        <w:t xml:space="preserve">Tabelas Simples</w:t>
      </w:r>
    </w:p>
    <w:p>
      <w:pPr/>
      <w:r>
        <w:rPr>
          <w:sz w:val="22"/>
        </w:rPr>
        <w:t xml:space="preserve">Tabelas simples têm um número uniforme de colunas e linhas, sem células mescladas.</w:t>
      </w:r>
    </w:p>
    <w:tbl>
      <w:tblPr>
        <w:tblStyle w:val="TableGrid"/>
        <w:tblW w:w="0" w:type="auto"/>
        <w:tblInd w:w="108" w:type="dxa"/>
        <w:tblCellMar>
          <w:top w:w="58" w:type="dxa"/>
          <w:left w:w="115" w:type="dxa"/>
          <w:bottom w:w="58" w:type="dxa"/>
          <w:right w:w="115" w:type="dxa"/>
        </w:tblCellMar>
        <w:tblLook w:val="04A0" w:firstRow="1" w:lastRow="0" w:firstColumn="1" w:lastColumn="0" w:noHBand="0" w:noVBand="1"/>
      </w:tblPr>
      <w:tblGrid>
        <w:gridCol w:w="1617"/>
        <w:gridCol w:w="1270"/>
        <w:gridCol w:w="884"/>
      </w:tblGrid>
      <w:tr>
        <w:trPr>
          <w:tblHeader/>
        </w:trPr>
        <w:tc>
          <w:tcPr>
            <w:tcW w:w="1617" w:type="dxa"/>
          </w:tcPr>
          <w:p>
            <w:pPr>
              <w:spacing w:before="0" w:after="0"/>
              <w:rPr>
                <w:b/>
              </w:rPr>
              <w:pStyle w:val="P68B1DB1-Normal2"/>
            </w:pPr>
            <w:r>
              <w:rPr>
                <w:sz w:val="26"/>
              </w:rPr>
              <w:t xml:space="preserve">Leitor de tela</w:t>
            </w:r>
          </w:p>
        </w:tc>
        <w:tc>
          <w:tcPr>
            <w:tcW w:w="1270" w:type="dxa"/>
          </w:tcPr>
          <w:p>
            <w:pPr>
              <w:spacing w:before="0" w:after="0"/>
              <w:rPr>
                <w:b/>
              </w:rPr>
              <w:pStyle w:val="P68B1DB1-Normal2"/>
            </w:pPr>
            <w:r>
              <w:rPr>
                <w:sz w:val="24"/>
              </w:rPr>
              <w:t>Respostas</w:t>
            </w:r>
          </w:p>
        </w:tc>
        <w:tc>
          <w:tcPr>
            <w:tcW w:w="884" w:type="dxa"/>
          </w:tcPr>
          <w:p>
            <w:pPr>
              <w:spacing w:before="0" w:after="0"/>
              <w:rPr>
                <w:b/>
              </w:rPr>
              <w:pStyle w:val="P68B1DB1-Normal2"/>
            </w:pPr>
            <w:r>
              <w:rPr>
                <w:sz w:val="22"/>
              </w:rPr>
              <w:t>Compartilhar</w:t>
            </w:r>
          </w:p>
        </w:tc>
      </w:tr>
      <w:tr>
        <w:trPr>
          <w:tblHeader/>
        </w:trPr>
        <w:tc>
          <w:tcPr>
            <w:tcW w:w="1617" w:type="dxa"/>
          </w:tcPr>
          <w:p>
            <w:pPr>
              <w:spacing w:before="0" w:after="0"/>
            </w:pPr>
            <w:r>
              <w:rPr>
                <w:sz w:val="22"/>
              </w:rPr>
              <w:t>JAWS</w:t>
            </w:r>
          </w:p>
        </w:tc>
        <w:tc>
          <w:tcPr>
            <w:tcW w:w="1270" w:type="dxa"/>
          </w:tcPr>
          <w:p>
            <w:pPr>
              <w:spacing w:before="0" w:after="0"/>
            </w:pPr>
            <w:r>
              <w:rPr>
                <w:sz w:val="22"/>
              </w:rPr>
              <w:t>853</w:t>
            </w:r>
          </w:p>
        </w:tc>
        <w:tc>
          <w:tcPr>
            <w:tcW w:w="884" w:type="dxa"/>
          </w:tcPr>
          <w:p>
            <w:pPr>
              <w:spacing w:before="0" w:after="0"/>
            </w:pPr>
            <w:r>
              <w:rPr>
                <w:sz w:val="22"/>
              </w:rPr>
              <w:t>49%</w:t>
            </w:r>
          </w:p>
        </w:tc>
      </w:tr>
      <w:tr>
        <w:trPr>
          <w:tblHeader/>
        </w:trPr>
        <w:tc>
          <w:tcPr>
            <w:tcW w:w="1617" w:type="dxa"/>
          </w:tcPr>
          <w:p>
            <w:pPr>
              <w:spacing w:before="0" w:after="0"/>
            </w:pPr>
            <w:r>
              <w:rPr>
                <w:sz w:val="22"/>
              </w:rPr>
              <w:t>NVDA</w:t>
            </w:r>
          </w:p>
        </w:tc>
        <w:tc>
          <w:tcPr>
            <w:tcW w:w="1270" w:type="dxa"/>
          </w:tcPr>
          <w:p>
            <w:pPr>
              <w:spacing w:before="0" w:after="0"/>
            </w:pPr>
            <w:r>
              <w:rPr>
                <w:sz w:val="22"/>
              </w:rPr>
              <w:t>238</w:t>
            </w:r>
          </w:p>
        </w:tc>
        <w:tc>
          <w:tcPr>
            <w:tcW w:w="884" w:type="dxa"/>
          </w:tcPr>
          <w:p>
            <w:pPr>
              <w:spacing w:before="0" w:after="0"/>
            </w:pPr>
            <w:r>
              <w:rPr>
                <w:sz w:val="22"/>
              </w:rPr>
              <w:t>14%</w:t>
            </w:r>
          </w:p>
        </w:tc>
      </w:tr>
      <w:tr>
        <w:trPr>
          <w:tblHeader/>
        </w:trPr>
        <w:tc>
          <w:tcPr>
            <w:tcW w:w="1617" w:type="dxa"/>
          </w:tcPr>
          <w:p>
            <w:pPr>
              <w:spacing w:before="0" w:after="0"/>
            </w:pPr>
            <w:r>
              <w:rPr>
                <w:sz w:val="22"/>
              </w:rPr>
              <w:t>Window-Eyes</w:t>
            </w:r>
          </w:p>
        </w:tc>
        <w:tc>
          <w:tcPr>
            <w:tcW w:w="1270" w:type="dxa"/>
          </w:tcPr>
          <w:p>
            <w:pPr>
              <w:spacing w:before="0" w:after="0"/>
            </w:pPr>
            <w:r>
              <w:rPr>
                <w:sz w:val="22"/>
              </w:rPr>
              <w:t>214</w:t>
            </w:r>
          </w:p>
        </w:tc>
        <w:tc>
          <w:tcPr>
            <w:tcW w:w="884" w:type="dxa"/>
          </w:tcPr>
          <w:p>
            <w:pPr>
              <w:spacing w:before="0" w:after="0"/>
            </w:pPr>
            <w:r>
              <w:rPr>
                <w:sz w:val="22"/>
              </w:rPr>
              <w:t>12%</w:t>
            </w:r>
          </w:p>
        </w:tc>
      </w:tr>
      <w:tr>
        <w:trPr>
          <w:tblHeader/>
        </w:trPr>
        <w:tc>
          <w:tcPr>
            <w:tcW w:w="1617" w:type="dxa"/>
          </w:tcPr>
          <w:p>
            <w:pPr>
              <w:spacing w:before="0" w:after="0"/>
            </w:pPr>
            <w:r>
              <w:rPr>
                <w:sz w:val="18"/>
              </w:rPr>
              <w:t xml:space="preserve">Acesso ao Sistema</w:t>
            </w:r>
          </w:p>
        </w:tc>
        <w:tc>
          <w:tcPr>
            <w:tcW w:w="1270" w:type="dxa"/>
          </w:tcPr>
          <w:p>
            <w:pPr>
              <w:spacing w:before="0" w:after="0"/>
            </w:pPr>
            <w:r>
              <w:rPr>
                <w:sz w:val="22"/>
              </w:rPr>
              <w:t>181</w:t>
            </w:r>
          </w:p>
        </w:tc>
        <w:tc>
          <w:tcPr>
            <w:tcW w:w="884" w:type="dxa"/>
          </w:tcPr>
          <w:p>
            <w:pPr>
              <w:spacing w:before="0" w:after="0"/>
            </w:pPr>
            <w:r>
              <w:rPr>
                <w:sz w:val="22"/>
              </w:rPr>
              <w:t>10%</w:t>
            </w:r>
          </w:p>
        </w:tc>
      </w:tr>
      <w:tr>
        <w:trPr>
          <w:tblHeader/>
        </w:trPr>
        <w:tc>
          <w:tcPr>
            <w:tcW w:w="1617" w:type="dxa"/>
          </w:tcPr>
          <w:p>
            <w:pPr>
              <w:spacing w:before="0" w:after="0"/>
            </w:pPr>
            <w:r>
              <w:rPr>
                <w:sz w:val="22"/>
              </w:rPr>
              <w:t>VoiceOver</w:t>
            </w:r>
          </w:p>
        </w:tc>
        <w:tc>
          <w:tcPr>
            <w:tcW w:w="1270" w:type="dxa"/>
          </w:tcPr>
          <w:p>
            <w:pPr>
              <w:spacing w:before="0" w:after="0"/>
            </w:pPr>
            <w:r>
              <w:rPr>
                <w:sz w:val="22"/>
              </w:rPr>
              <w:t>159</w:t>
            </w:r>
          </w:p>
        </w:tc>
        <w:tc>
          <w:tcPr>
            <w:tcW w:w="884" w:type="dxa"/>
          </w:tcPr>
          <w:p>
            <w:pPr>
              <w:spacing w:before="0" w:after="0"/>
            </w:pPr>
            <w:r>
              <w:rPr>
                <w:sz w:val="22"/>
              </w:rPr>
              <w:t>9%</w:t>
            </w:r>
          </w:p>
        </w:tc>
      </w:tr>
    </w:tbl>
    <w:p>
      <w:pPr>
        <w:spacing w:before="0" w:after="0" w:line="120" w:lineRule="auto"/>
      </w:pPr>
    </w:p>
    <w:p>
      <w:pPr>
        <w:pStyle w:val="Heading3"/>
      </w:pPr>
      <w:r>
        <w:rPr>
          <w:sz w:val="22"/>
        </w:rPr>
        <w:t xml:space="preserve">Tabelas Complexas</w:t>
      </w:r>
    </w:p>
    <w:p>
      <w:pPr/>
      <w:r>
        <w:rPr>
          <w:sz w:val="18"/>
        </w:rPr>
        <w:t xml:space="preserve">A seguir está uma tabela complexa, utilizando células mescladas como cabeçalhos para seções dentro da tabela. Isso não pode ser tornado acessível em todos os tipos de documentos:</w:t>
      </w:r>
    </w:p>
    <w:tbl>
      <w:tblPr>
        <w:tblStyle w:val="TableGrid"/>
        <w:tblW w:w="0" w:type="auto"/>
        <w:tblInd w:w="115" w:type="dxa"/>
        <w:tblCellMar>
          <w:top w:w="58" w:type="dxa"/>
          <w:left w:w="115" w:type="dxa"/>
          <w:bottom w:w="58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1915"/>
        <w:gridCol w:w="1915"/>
        <w:gridCol w:w="1915"/>
        <w:gridCol w:w="1916"/>
      </w:tblGrid>
      <w:tr>
        <w:tc>
          <w:tcPr>
            <w:tcW w:w="1800" w:type="dxa"/>
          </w:tcPr>
          <w:p>
            <w:pPr>
              <w:spacing w:before="0" w:after="0"/>
              <w:rPr>
                <w:b/>
              </w:rPr>
            </w:pPr>
          </w:p>
        </w:tc>
        <w:tc>
          <w:tcPr>
            <w:tcW w:w="3830" w:type="dxa"/>
            <w:gridSpan w:val="2"/>
          </w:tcPr>
          <w:p>
            <w:pPr>
              <w:spacing w:before="0" w:after="0"/>
              <w:rPr>
                <w:b/>
              </w:rPr>
              <w:pStyle w:val="P68B1DB1-Normal2"/>
            </w:pPr>
            <w:r>
              <w:rPr>
                <w:sz w:val="16"/>
              </w:rPr>
              <w:t xml:space="preserve">Maio de 2012</w:t>
            </w:r>
          </w:p>
        </w:tc>
        <w:tc>
          <w:tcPr>
            <w:tcW w:w="3831" w:type="dxa"/>
            <w:gridSpan w:val="2"/>
          </w:tcPr>
          <w:p>
            <w:pPr>
              <w:spacing w:before="0" w:after="0"/>
              <w:rPr>
                <w:b/>
              </w:rPr>
              <w:pStyle w:val="P68B1DB1-Normal2"/>
            </w:pPr>
            <w:r>
              <w:rPr>
                <w:sz w:val="20"/>
              </w:rPr>
              <w:t xml:space="preserve">Setembro de 2010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  <w:rPr>
                <w:b/>
              </w:rPr>
              <w:pStyle w:val="P68B1DB1-Normal2"/>
            </w:pPr>
            <w:r>
              <w:rPr>
                <w:sz w:val="24"/>
              </w:rPr>
              <w:t xml:space="preserve">Leitor de Tela</w:t>
            </w:r>
          </w:p>
        </w:tc>
        <w:tc>
          <w:tcPr>
            <w:tcW w:w="1915" w:type="dxa"/>
          </w:tcPr>
          <w:p>
            <w:pPr>
              <w:spacing w:before="0" w:after="0"/>
              <w:rPr>
                <w:b/>
              </w:rPr>
              <w:pStyle w:val="P68B1DB1-Normal2"/>
            </w:pPr>
            <w:r>
              <w:rPr>
                <w:sz w:val="24"/>
              </w:rPr>
              <w:t>Respostas</w:t>
            </w:r>
          </w:p>
        </w:tc>
        <w:tc>
          <w:tcPr>
            <w:tcW w:w="1915" w:type="dxa"/>
          </w:tcPr>
          <w:p>
            <w:pPr>
              <w:spacing w:before="0" w:after="0"/>
              <w:rPr>
                <w:b/>
              </w:rPr>
              <w:pStyle w:val="P68B1DB1-Normal2"/>
            </w:pPr>
            <w:r>
              <w:rPr>
                <w:sz w:val="22"/>
              </w:rPr>
              <w:t>Compartilhar</w:t>
            </w:r>
          </w:p>
        </w:tc>
        <w:tc>
          <w:tcPr>
            <w:tcW w:w="1915" w:type="dxa"/>
          </w:tcPr>
          <w:p>
            <w:pPr>
              <w:spacing w:before="0" w:after="0"/>
              <w:rPr>
                <w:b/>
              </w:rPr>
              <w:pStyle w:val="P68B1DB1-Normal2"/>
            </w:pPr>
            <w:r>
              <w:rPr>
                <w:sz w:val="24"/>
              </w:rPr>
              <w:t>Respostas</w:t>
            </w:r>
          </w:p>
        </w:tc>
        <w:tc>
          <w:tcPr>
            <w:tcW w:w="1916" w:type="dxa"/>
          </w:tcPr>
          <w:p>
            <w:pPr>
              <w:spacing w:before="0" w:after="0"/>
              <w:rPr>
                <w:b/>
              </w:rPr>
              <w:pStyle w:val="P68B1DB1-Normal2"/>
            </w:pPr>
            <w:r>
              <w:rPr>
                <w:sz w:val="22"/>
              </w:rPr>
              <w:t>Compartilhar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sz w:val="22"/>
              </w:rPr>
              <w:t>JAWS</w:t>
            </w:r>
          </w:p>
        </w:tc>
        <w:tc>
          <w:tcPr>
            <w:tcW w:w="1915" w:type="dxa"/>
          </w:tcPr>
          <w:p>
            <w:pPr>
              <w:spacing w:before="0" w:after="0"/>
            </w:pPr>
            <w:r>
              <w:rPr>
                <w:sz w:val="22"/>
              </w:rPr>
              <w:t>853</w:t>
            </w:r>
          </w:p>
        </w:tc>
        <w:tc>
          <w:tcPr>
            <w:tcW w:w="1915" w:type="dxa"/>
          </w:tcPr>
          <w:p>
            <w:pPr>
              <w:spacing w:before="0" w:after="0"/>
            </w:pPr>
            <w:r>
              <w:rPr>
                <w:sz w:val="22"/>
              </w:rPr>
              <w:t>49%</w:t>
            </w:r>
          </w:p>
        </w:tc>
        <w:tc>
          <w:tcPr>
            <w:tcW w:w="1915" w:type="dxa"/>
          </w:tcPr>
          <w:p>
            <w:pPr>
              <w:spacing w:before="0" w:after="0"/>
            </w:pPr>
            <w:r>
              <w:rPr>
                <w:sz w:val="22"/>
              </w:rPr>
              <w:t>727</w:t>
            </w:r>
          </w:p>
        </w:tc>
        <w:tc>
          <w:tcPr>
            <w:tcW w:w="1916" w:type="dxa"/>
          </w:tcPr>
          <w:p>
            <w:pPr>
              <w:spacing w:before="0" w:after="0"/>
            </w:pPr>
            <w:r>
              <w:rPr>
                <w:sz w:val="22"/>
              </w:rPr>
              <w:t>59%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sz w:val="22"/>
              </w:rPr>
              <w:t>NVDA</w:t>
            </w:r>
          </w:p>
        </w:tc>
        <w:tc>
          <w:tcPr>
            <w:tcW w:w="1915" w:type="dxa"/>
          </w:tcPr>
          <w:p>
            <w:pPr>
              <w:spacing w:before="0" w:after="0"/>
            </w:pPr>
            <w:r>
              <w:rPr>
                <w:sz w:val="22"/>
              </w:rPr>
              <w:t>238</w:t>
            </w:r>
          </w:p>
        </w:tc>
        <w:tc>
          <w:tcPr>
            <w:tcW w:w="1915" w:type="dxa"/>
          </w:tcPr>
          <w:p>
            <w:pPr>
              <w:spacing w:before="0" w:after="0"/>
            </w:pPr>
            <w:r>
              <w:rPr>
                <w:sz w:val="22"/>
              </w:rPr>
              <w:t>14%</w:t>
            </w:r>
          </w:p>
        </w:tc>
        <w:tc>
          <w:tcPr>
            <w:tcW w:w="1915" w:type="dxa"/>
          </w:tcPr>
          <w:p>
            <w:pPr>
              <w:spacing w:before="0" w:after="0"/>
            </w:pPr>
            <w:r>
              <w:rPr>
                <w:sz w:val="22"/>
              </w:rPr>
              <w:t>105</w:t>
            </w:r>
          </w:p>
        </w:tc>
        <w:tc>
          <w:tcPr>
            <w:tcW w:w="1916" w:type="dxa"/>
          </w:tcPr>
          <w:p>
            <w:pPr>
              <w:spacing w:before="0" w:after="0"/>
            </w:pPr>
            <w:r>
              <w:rPr>
                <w:sz w:val="22"/>
              </w:rPr>
              <w:t>9%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sz w:val="22"/>
              </w:rPr>
              <w:t>Window-Eyes</w:t>
            </w:r>
          </w:p>
        </w:tc>
        <w:tc>
          <w:tcPr>
            <w:tcW w:w="1915" w:type="dxa"/>
          </w:tcPr>
          <w:p>
            <w:pPr>
              <w:spacing w:before="0" w:after="0"/>
            </w:pPr>
            <w:r>
              <w:rPr>
                <w:sz w:val="22"/>
              </w:rPr>
              <w:t>214</w:t>
            </w:r>
          </w:p>
        </w:tc>
        <w:tc>
          <w:tcPr>
            <w:tcW w:w="1915" w:type="dxa"/>
          </w:tcPr>
          <w:p>
            <w:pPr>
              <w:spacing w:before="0" w:after="0"/>
            </w:pPr>
            <w:r>
              <w:rPr>
                <w:sz w:val="22"/>
              </w:rPr>
              <w:t>12%</w:t>
            </w:r>
          </w:p>
        </w:tc>
        <w:tc>
          <w:tcPr>
            <w:tcW w:w="1915" w:type="dxa"/>
          </w:tcPr>
          <w:p>
            <w:pPr>
              <w:spacing w:before="0" w:after="0"/>
            </w:pPr>
            <w:r>
              <w:rPr>
                <w:sz w:val="22"/>
              </w:rPr>
              <w:t>138</w:t>
            </w:r>
          </w:p>
        </w:tc>
        <w:tc>
          <w:tcPr>
            <w:tcW w:w="1916" w:type="dxa"/>
          </w:tcPr>
          <w:p>
            <w:pPr>
              <w:spacing w:before="0" w:after="0"/>
            </w:pPr>
            <w:r>
              <w:rPr>
                <w:sz w:val="22"/>
              </w:rPr>
              <w:t>11%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sz w:val="18"/>
              </w:rPr>
              <w:t xml:space="preserve">Acesso ao Sistema</w:t>
            </w:r>
          </w:p>
        </w:tc>
        <w:tc>
          <w:tcPr>
            <w:tcW w:w="1915" w:type="dxa"/>
          </w:tcPr>
          <w:p>
            <w:pPr>
              <w:spacing w:before="0" w:after="0"/>
            </w:pPr>
            <w:r>
              <w:rPr>
                <w:sz w:val="22"/>
              </w:rPr>
              <w:t>181</w:t>
            </w:r>
          </w:p>
        </w:tc>
        <w:tc>
          <w:tcPr>
            <w:tcW w:w="1915" w:type="dxa"/>
          </w:tcPr>
          <w:p>
            <w:pPr>
              <w:spacing w:before="0" w:after="0"/>
            </w:pPr>
            <w:r>
              <w:rPr>
                <w:sz w:val="22"/>
              </w:rPr>
              <w:t>10%</w:t>
            </w:r>
          </w:p>
        </w:tc>
        <w:tc>
          <w:tcPr>
            <w:tcW w:w="1915" w:type="dxa"/>
          </w:tcPr>
          <w:p>
            <w:pPr>
              <w:spacing w:before="0" w:after="0"/>
            </w:pPr>
            <w:r>
              <w:rPr>
                <w:sz w:val="22"/>
              </w:rPr>
              <w:t>58</w:t>
            </w:r>
          </w:p>
        </w:tc>
        <w:tc>
          <w:tcPr>
            <w:tcW w:w="1916" w:type="dxa"/>
          </w:tcPr>
          <w:p>
            <w:pPr>
              <w:spacing w:before="0" w:after="0"/>
            </w:pPr>
            <w:r>
              <w:rPr>
                <w:sz w:val="22"/>
              </w:rPr>
              <w:t>5%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sz w:val="22"/>
              </w:rPr>
              <w:t>VoiceOver</w:t>
            </w:r>
          </w:p>
        </w:tc>
        <w:tc>
          <w:tcPr>
            <w:tcW w:w="1915" w:type="dxa"/>
          </w:tcPr>
          <w:p>
            <w:pPr>
              <w:spacing w:before="0" w:after="0"/>
            </w:pPr>
            <w:r>
              <w:rPr>
                <w:sz w:val="22"/>
              </w:rPr>
              <w:t>159</w:t>
            </w:r>
          </w:p>
        </w:tc>
        <w:tc>
          <w:tcPr>
            <w:tcW w:w="1915" w:type="dxa"/>
          </w:tcPr>
          <w:p>
            <w:pPr>
              <w:spacing w:before="0" w:after="0"/>
            </w:pPr>
            <w:r>
              <w:rPr>
                <w:sz w:val="22"/>
              </w:rPr>
              <w:t>9%</w:t>
            </w:r>
          </w:p>
        </w:tc>
        <w:tc>
          <w:tcPr>
            <w:tcW w:w="1915" w:type="dxa"/>
          </w:tcPr>
          <w:p>
            <w:pPr>
              <w:spacing w:before="0" w:after="0"/>
            </w:pPr>
            <w:r>
              <w:rPr>
                <w:sz w:val="22"/>
              </w:rPr>
              <w:t>120</w:t>
            </w:r>
          </w:p>
        </w:tc>
        <w:tc>
          <w:tcPr>
            <w:tcW w:w="1916" w:type="dxa"/>
          </w:tcPr>
          <w:p>
            <w:pPr>
              <w:spacing w:before="0" w:after="0"/>
            </w:pPr>
            <w:r>
              <w:rPr>
                <w:sz w:val="22"/>
              </w:rPr>
              <w:t>10%</w:t>
            </w:r>
          </w:p>
        </w:tc>
      </w:tr>
    </w:tbl>
    <w:p>
      <w:pPr>
        <w:spacing w:before="0" w:after="0" w:line="120" w:lineRule="auto"/>
      </w:pPr>
      <w:r>
        <w:rPr>
          <w:sz w:val="22"/>
        </w:rPr>
        <w:t xml:space="preserve">Please provide the text you would like translated to PT-BR.</w:t>
      </w:r>
    </w:p>
    <w:p>
      <w:pPr>
        <w:pStyle w:val="Heading2"/>
      </w:pPr>
      <w:r>
        <w:rPr>
          <w:sz w:val="38"/>
        </w:rPr>
        <w:t>Colunas</w:t>
      </w:r>
    </w:p>
    <w:p>
      <w:pPr>
        <w:sectPr w:rsidR="00A604CD" w:rsidSect="00FE6769">
          <w:pgSz w:w="12240" w:h="15840"/>
          <w:pgMar w:top="1440" w:right="1440" w:bottom="720" w:left="1440" w:header="720" w:footer="720" w:gutter="0"/>
          <w:cols w:space="720"/>
          <w:docGrid w:linePitch="360"/>
        </w:sectPr>
      </w:pPr>
    </w:p>
    <w:p>
      <w:pPr/>
      <w:r>
        <w:rPr>
          <w:sz w:val="20"/>
        </w:rPr>
        <w:t xml:space="preserve">Este é um exemplo de colunas. Com colunas, a página é dividida em duas ou mais seções horizontais. Ao contrário das tabelas, nas quais você geralmente lê uma linha e depois desce para a próxima, nas colunas, você lê para baixo em uma coluna e depois atravessa para a próxima. Quando as colunas não são criadas corretamente, os leitores de tela podem juntar linhas, lendo a primeira linha da primeira coluna, depois a primeira linha da segunda coluna, depois a segunda linha da primeira coluna, e assim por diante. Obviamente, isso não é acessível.</w:t>
      </w:r>
    </w:p>
    <w:sectPr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4575FE"/>
    <w:multiLevelType w:val="hybridMultilevel"/>
    <w:tmpl w:val="E9FE60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786758A1"/>
    <w:multiLevelType w:val="hybridMultilevel"/>
    <w:tmpl w:val="D1320E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04CD"/>
    <w:rsid w:val="00002F8D"/>
    <w:rsid w:val="000047C6"/>
    <w:rsid w:val="0001234B"/>
    <w:rsid w:val="00013602"/>
    <w:rsid w:val="00015258"/>
    <w:rsid w:val="00022E85"/>
    <w:rsid w:val="00034F8C"/>
    <w:rsid w:val="00037177"/>
    <w:rsid w:val="000543CF"/>
    <w:rsid w:val="00057D56"/>
    <w:rsid w:val="00061B96"/>
    <w:rsid w:val="00065757"/>
    <w:rsid w:val="00073CFE"/>
    <w:rsid w:val="000754BF"/>
    <w:rsid w:val="00083FCB"/>
    <w:rsid w:val="00085EBC"/>
    <w:rsid w:val="00086834"/>
    <w:rsid w:val="00087225"/>
    <w:rsid w:val="000A12E7"/>
    <w:rsid w:val="000A37F4"/>
    <w:rsid w:val="000A518E"/>
    <w:rsid w:val="000D720F"/>
    <w:rsid w:val="000E2A77"/>
    <w:rsid w:val="000E5C3D"/>
    <w:rsid w:val="000F1B5C"/>
    <w:rsid w:val="000F6935"/>
    <w:rsid w:val="00101E6C"/>
    <w:rsid w:val="00103F18"/>
    <w:rsid w:val="00111D7B"/>
    <w:rsid w:val="00120EB8"/>
    <w:rsid w:val="0013070C"/>
    <w:rsid w:val="00140475"/>
    <w:rsid w:val="0014485B"/>
    <w:rsid w:val="00146D8D"/>
    <w:rsid w:val="0017045B"/>
    <w:rsid w:val="00171C11"/>
    <w:rsid w:val="0017375A"/>
    <w:rsid w:val="00175FFB"/>
    <w:rsid w:val="0018003A"/>
    <w:rsid w:val="00192B33"/>
    <w:rsid w:val="001934A1"/>
    <w:rsid w:val="00195E56"/>
    <w:rsid w:val="001B53FB"/>
    <w:rsid w:val="001B6A9A"/>
    <w:rsid w:val="001C5C3D"/>
    <w:rsid w:val="001C775E"/>
    <w:rsid w:val="001D4DB5"/>
    <w:rsid w:val="001F56C9"/>
    <w:rsid w:val="001F6341"/>
    <w:rsid w:val="002446B1"/>
    <w:rsid w:val="002503F4"/>
    <w:rsid w:val="002504C7"/>
    <w:rsid w:val="00251440"/>
    <w:rsid w:val="0027653D"/>
    <w:rsid w:val="00281EF9"/>
    <w:rsid w:val="00282D25"/>
    <w:rsid w:val="0029367F"/>
    <w:rsid w:val="002956C9"/>
    <w:rsid w:val="002A21B3"/>
    <w:rsid w:val="002A4B22"/>
    <w:rsid w:val="002C0A5F"/>
    <w:rsid w:val="002C65D3"/>
    <w:rsid w:val="002F75BF"/>
    <w:rsid w:val="003079D1"/>
    <w:rsid w:val="00311EAA"/>
    <w:rsid w:val="00327BC2"/>
    <w:rsid w:val="00333A46"/>
    <w:rsid w:val="00347C2F"/>
    <w:rsid w:val="0035037D"/>
    <w:rsid w:val="003507B6"/>
    <w:rsid w:val="0035159A"/>
    <w:rsid w:val="00367DCB"/>
    <w:rsid w:val="00371702"/>
    <w:rsid w:val="00371ACC"/>
    <w:rsid w:val="00382768"/>
    <w:rsid w:val="0038398E"/>
    <w:rsid w:val="00383B7F"/>
    <w:rsid w:val="003B1080"/>
    <w:rsid w:val="003B1650"/>
    <w:rsid w:val="003B7E16"/>
    <w:rsid w:val="003C3674"/>
    <w:rsid w:val="004108D6"/>
    <w:rsid w:val="00411423"/>
    <w:rsid w:val="00423304"/>
    <w:rsid w:val="00425702"/>
    <w:rsid w:val="004433A9"/>
    <w:rsid w:val="00454657"/>
    <w:rsid w:val="00462E18"/>
    <w:rsid w:val="004773FE"/>
    <w:rsid w:val="00480177"/>
    <w:rsid w:val="0048054C"/>
    <w:rsid w:val="00482E09"/>
    <w:rsid w:val="004842FD"/>
    <w:rsid w:val="00494D7A"/>
    <w:rsid w:val="004A5C3D"/>
    <w:rsid w:val="004A6302"/>
    <w:rsid w:val="004F3216"/>
    <w:rsid w:val="00504E12"/>
    <w:rsid w:val="005422A3"/>
    <w:rsid w:val="00551EDB"/>
    <w:rsid w:val="00552EE1"/>
    <w:rsid w:val="0055689C"/>
    <w:rsid w:val="00566214"/>
    <w:rsid w:val="0057019C"/>
    <w:rsid w:val="00575428"/>
    <w:rsid w:val="00577593"/>
    <w:rsid w:val="005A082A"/>
    <w:rsid w:val="005A71AB"/>
    <w:rsid w:val="005B59B5"/>
    <w:rsid w:val="005B7310"/>
    <w:rsid w:val="005C2A31"/>
    <w:rsid w:val="005D11CD"/>
    <w:rsid w:val="005E27D7"/>
    <w:rsid w:val="005E7B06"/>
    <w:rsid w:val="005F35FB"/>
    <w:rsid w:val="005F69C5"/>
    <w:rsid w:val="00613C8F"/>
    <w:rsid w:val="00620EAA"/>
    <w:rsid w:val="00624865"/>
    <w:rsid w:val="006252D8"/>
    <w:rsid w:val="006328F2"/>
    <w:rsid w:val="00633DC2"/>
    <w:rsid w:val="00645D8C"/>
    <w:rsid w:val="00662309"/>
    <w:rsid w:val="006673F8"/>
    <w:rsid w:val="00687F77"/>
    <w:rsid w:val="006919F2"/>
    <w:rsid w:val="00696570"/>
    <w:rsid w:val="006A5737"/>
    <w:rsid w:val="006B2167"/>
    <w:rsid w:val="006B3A59"/>
    <w:rsid w:val="006C0402"/>
    <w:rsid w:val="006E207A"/>
    <w:rsid w:val="006F0198"/>
    <w:rsid w:val="006F5402"/>
    <w:rsid w:val="00736027"/>
    <w:rsid w:val="007403C5"/>
    <w:rsid w:val="00742F90"/>
    <w:rsid w:val="00747348"/>
    <w:rsid w:val="00747F63"/>
    <w:rsid w:val="007631FE"/>
    <w:rsid w:val="0076461B"/>
    <w:rsid w:val="00791F9C"/>
    <w:rsid w:val="007B6D28"/>
    <w:rsid w:val="007C66F5"/>
    <w:rsid w:val="007C6989"/>
    <w:rsid w:val="008000EA"/>
    <w:rsid w:val="0081060A"/>
    <w:rsid w:val="00817A12"/>
    <w:rsid w:val="0083075A"/>
    <w:rsid w:val="008400A6"/>
    <w:rsid w:val="008427D3"/>
    <w:rsid w:val="0088016C"/>
    <w:rsid w:val="008860CC"/>
    <w:rsid w:val="008906B4"/>
    <w:rsid w:val="008A0CB4"/>
    <w:rsid w:val="008A6DB9"/>
    <w:rsid w:val="008B1E39"/>
    <w:rsid w:val="008C2BDE"/>
    <w:rsid w:val="008C5751"/>
    <w:rsid w:val="008D243F"/>
    <w:rsid w:val="008D61D0"/>
    <w:rsid w:val="008E1924"/>
    <w:rsid w:val="008F0094"/>
    <w:rsid w:val="008F0DED"/>
    <w:rsid w:val="008F6865"/>
    <w:rsid w:val="009359C9"/>
    <w:rsid w:val="00951CB5"/>
    <w:rsid w:val="00957B14"/>
    <w:rsid w:val="00994A90"/>
    <w:rsid w:val="009C1165"/>
    <w:rsid w:val="009C5FB1"/>
    <w:rsid w:val="009C6229"/>
    <w:rsid w:val="009D1CFD"/>
    <w:rsid w:val="009D1D48"/>
    <w:rsid w:val="009F0713"/>
    <w:rsid w:val="009F1B84"/>
    <w:rsid w:val="009F2E60"/>
    <w:rsid w:val="00A01731"/>
    <w:rsid w:val="00A05215"/>
    <w:rsid w:val="00A121C2"/>
    <w:rsid w:val="00A14575"/>
    <w:rsid w:val="00A22F7E"/>
    <w:rsid w:val="00A31ABC"/>
    <w:rsid w:val="00A372A1"/>
    <w:rsid w:val="00A460B1"/>
    <w:rsid w:val="00A47F65"/>
    <w:rsid w:val="00A5379D"/>
    <w:rsid w:val="00A54F93"/>
    <w:rsid w:val="00A6049F"/>
    <w:rsid w:val="00A604CD"/>
    <w:rsid w:val="00A710C5"/>
    <w:rsid w:val="00A76631"/>
    <w:rsid w:val="00A950A8"/>
    <w:rsid w:val="00AA3F75"/>
    <w:rsid w:val="00AC1794"/>
    <w:rsid w:val="00AE238F"/>
    <w:rsid w:val="00AF0112"/>
    <w:rsid w:val="00AF16DE"/>
    <w:rsid w:val="00B1677C"/>
    <w:rsid w:val="00B2081B"/>
    <w:rsid w:val="00B32D8B"/>
    <w:rsid w:val="00B35D66"/>
    <w:rsid w:val="00B52DC7"/>
    <w:rsid w:val="00B5324A"/>
    <w:rsid w:val="00B70067"/>
    <w:rsid w:val="00B806DD"/>
    <w:rsid w:val="00B856E6"/>
    <w:rsid w:val="00B923D1"/>
    <w:rsid w:val="00BB00DA"/>
    <w:rsid w:val="00BB2836"/>
    <w:rsid w:val="00BC7E36"/>
    <w:rsid w:val="00BD6A27"/>
    <w:rsid w:val="00C11EF5"/>
    <w:rsid w:val="00C17052"/>
    <w:rsid w:val="00C31DA7"/>
    <w:rsid w:val="00C31EBA"/>
    <w:rsid w:val="00C33EE6"/>
    <w:rsid w:val="00C34F06"/>
    <w:rsid w:val="00C40E3B"/>
    <w:rsid w:val="00C44F32"/>
    <w:rsid w:val="00C532D6"/>
    <w:rsid w:val="00C54CC2"/>
    <w:rsid w:val="00C608B6"/>
    <w:rsid w:val="00C715D8"/>
    <w:rsid w:val="00C74510"/>
    <w:rsid w:val="00C9254D"/>
    <w:rsid w:val="00C92950"/>
    <w:rsid w:val="00C940B6"/>
    <w:rsid w:val="00CA7853"/>
    <w:rsid w:val="00CB500D"/>
    <w:rsid w:val="00CB530C"/>
    <w:rsid w:val="00CC0674"/>
    <w:rsid w:val="00CC0AA9"/>
    <w:rsid w:val="00CC25D0"/>
    <w:rsid w:val="00CD21D8"/>
    <w:rsid w:val="00CD5867"/>
    <w:rsid w:val="00CD6CDD"/>
    <w:rsid w:val="00CE0274"/>
    <w:rsid w:val="00CE7846"/>
    <w:rsid w:val="00D032FF"/>
    <w:rsid w:val="00D0649E"/>
    <w:rsid w:val="00D25031"/>
    <w:rsid w:val="00D3146D"/>
    <w:rsid w:val="00D31DCE"/>
    <w:rsid w:val="00D3693C"/>
    <w:rsid w:val="00D726AA"/>
    <w:rsid w:val="00D747B4"/>
    <w:rsid w:val="00D777B4"/>
    <w:rsid w:val="00D97040"/>
    <w:rsid w:val="00DA2002"/>
    <w:rsid w:val="00DB1C83"/>
    <w:rsid w:val="00DD3908"/>
    <w:rsid w:val="00DE1996"/>
    <w:rsid w:val="00DF05E0"/>
    <w:rsid w:val="00E16F86"/>
    <w:rsid w:val="00E220B3"/>
    <w:rsid w:val="00E26158"/>
    <w:rsid w:val="00E3384C"/>
    <w:rsid w:val="00E3521F"/>
    <w:rsid w:val="00E42F32"/>
    <w:rsid w:val="00E4729D"/>
    <w:rsid w:val="00E51848"/>
    <w:rsid w:val="00E6278A"/>
    <w:rsid w:val="00E805C2"/>
    <w:rsid w:val="00E95408"/>
    <w:rsid w:val="00EA3A04"/>
    <w:rsid w:val="00EC1D47"/>
    <w:rsid w:val="00ED05EE"/>
    <w:rsid w:val="00ED300B"/>
    <w:rsid w:val="00EF10FF"/>
    <w:rsid w:val="00EF69EB"/>
    <w:rsid w:val="00F0162B"/>
    <w:rsid w:val="00F06483"/>
    <w:rsid w:val="00F141FB"/>
    <w:rsid w:val="00F33ECE"/>
    <w:rsid w:val="00F402BD"/>
    <w:rsid w:val="00F45BF9"/>
    <w:rsid w:val="00F511C3"/>
    <w:rsid w:val="00F52755"/>
    <w:rsid w:val="00F53231"/>
    <w:rsid w:val="00F84A1C"/>
    <w:rsid w:val="00FA42C6"/>
    <w:rsid w:val="00FA4BDE"/>
    <w:rsid w:val="00FB5283"/>
    <w:rsid w:val="00FD5EDE"/>
    <w:rsid w:val="00FE6769"/>
    <w:rsid w:val="00FF5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spacing w:after="200" w:line="276" w:lineRule="auto"/>
      </w:pPr>
    </w:pPrDefault>
    <w:rPrDefault>
      <w:rPr>
        <w:rFonts w:asciiTheme="minorHAnsi" w:hAnsiTheme="minorHAnsi" w:cstheme="minorBidi" w:eastAsiaTheme="minorHAnsi"/>
        <w:sz w:val="22"/>
        <w:szCs w:val="22"/>
      </w:rPr>
    </w:r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28F2"/>
    <w:pPr>
      <w:spacing w:before="12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604CD"/>
    <w:pPr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04CD"/>
    <w:pPr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04CD"/>
    <w:pPr>
      <w:outlineLvl w:val="2"/>
    </w:pPr>
    <w:rPr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4CD"/>
    <w:rPr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604CD"/>
    <w:rPr>
      <w:b/>
      <w:sz w:val="36"/>
      <w:szCs w:val="36"/>
    </w:rPr>
  </w:style>
  <w:style w:type="paragraph" w:styleId="ListParagraph">
    <w:name w:val="List Paragraph"/>
    <w:basedOn w:val="Normal"/>
    <w:uiPriority w:val="34"/>
    <w:qFormat/>
    <w:rsid w:val="00A604C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604CD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604CD"/>
    <w:rPr>
      <w:b/>
      <w:sz w:val="28"/>
      <w:szCs w:val="28"/>
    </w:rPr>
  </w:style>
  <w:style w:type="table" w:styleId="TableGrid">
    <w:name w:val="Table Grid"/>
    <w:basedOn w:val="TableNormal"/>
    <w:uiPriority w:val="59"/>
    <w:rsid w:val="00A604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328F2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28F2"/>
    <w:rPr>
      <w:rFonts w:ascii="Tahoma" w:hAnsi="Tahoma" w:cs="Tahoma"/>
      <w:sz w:val="16"/>
      <w:szCs w:val="16"/>
    </w:rPr>
  </w:style>
  <w:style w:type="paragraph" w:styleId="P68B1DB1-Heading11">
    <w:name w:val="P68B1DB1-Heading11"/>
    <w:basedOn w:val="Heading1"/>
    <w:rPr>
      <w:color w:val="C00000"/>
    </w:rPr>
  </w:style>
  <w:style w:type="paragraph" w:styleId="P68B1DB1-Normal2">
    <w:name w:val="P68B1DB1-Normal2"/>
    <w:basedOn w:val="Normal"/>
    <w:rPr>
      <w:b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28F2"/>
    <w:pPr>
      <w:spacing w:before="12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604CD"/>
    <w:pPr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04CD"/>
    <w:pPr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04CD"/>
    <w:pPr>
      <w:outlineLvl w:val="2"/>
    </w:pPr>
    <w:rPr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4CD"/>
    <w:rPr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604CD"/>
    <w:rPr>
      <w:b/>
      <w:sz w:val="36"/>
      <w:szCs w:val="36"/>
    </w:rPr>
  </w:style>
  <w:style w:type="paragraph" w:styleId="ListParagraph">
    <w:name w:val="List Paragraph"/>
    <w:basedOn w:val="Normal"/>
    <w:uiPriority w:val="34"/>
    <w:qFormat/>
    <w:rsid w:val="00A604C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604CD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604CD"/>
    <w:rPr>
      <w:b/>
      <w:sz w:val="28"/>
      <w:szCs w:val="28"/>
    </w:rPr>
  </w:style>
  <w:style w:type="table" w:styleId="TableGrid">
    <w:name w:val="Table Grid"/>
    <w:basedOn w:val="TableNormal"/>
    <w:uiPriority w:val="59"/>
    <w:rsid w:val="00A604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328F2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28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8120647">
      <w:bodyDiv w:val="1"/>
      <w:marLeft w:val="2"/>
      <w:marRight w:val="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72708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6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7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9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125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8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997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styles.xml" Type="http://schemas.openxmlformats.org/officeDocument/2006/relationships/styles"/><Relationship Id="rId3" Target="stylesWithEffects.xml" Type="http://schemas.microsoft.com/office/2007/relationships/stylesWithEffect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http://www.dhs.state.il.us/page.aspx?item=67072" TargetMode="External" Type="http://schemas.openxmlformats.org/officeDocument/2006/relationships/hyperlink"/><Relationship Id="rId7" Target="http://www.dhs.state.il.us/OneNetLibrary/27897/documents/Initiatives/IITAA/Sample-Document.docx" TargetMode="External" Type="http://schemas.openxmlformats.org/officeDocument/2006/relationships/hyperlink"/><Relationship Id="rId8" Target="media/image1.gif" Type="http://schemas.openxmlformats.org/officeDocument/2006/relationships/image"/><Relationship Id="rId9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State of Illinois</Company>
  <LinksUpToDate>false</LinksUpToDate>
  <CharactersWithSpaces>2834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2016-12-06T21:20:00Z</dcterms:created>
  <dc:creator>Mike Scott</dc:creator>
  <cp:lastModifiedBy>Mike Scott</cp:lastModifiedBy>
  <dcterms:modified xsi:type="dcterms:W3CDTF">2016-12-06T22:10:00Z</dcterms:modified>
  <cp:revision>3</cp:revision>
</cp:coreProperties>
</file>