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 w:val="0"/>
        <w:autoSpaceDE w:val="0"/>
        <w:autoSpaceDN w:val="0"/>
        <w:spacing w:line="14" w:lineRule="exact" w:before="0" w:after="2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3723600" cy="11747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0" cy="1174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/>
        <w:wordWrap w:val="0"/>
        <w:autoSpaceDE w:val="0"/>
        <w:autoSpaceDN w:val="0"/>
        <w:spacing w:line="471" w:lineRule="exact" w:before="436" w:after="186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ACH4503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Pesquisa de 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arketing II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372" w:after="208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ACH4513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Estatística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plicada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arketing 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4 4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6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ACH4523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Finanças I 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15" w:lineRule="exact" w:before="412" w:after="206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ACH4533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Microeconomia 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412" w:after="208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ACH4543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Comportamento d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o C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onsumidor 4 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8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ACH4553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Cálculo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plicado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arketing 4 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60</w:t>
      </w:r>
    </w:p>
    <w:p>
      <w:pPr>
        <w:widowControl/>
        <w:wordWrap w:val="0"/>
        <w:autoSpaceDE w:val="0"/>
        <w:autoSpaceDN w:val="0"/>
        <w:spacing w:line="511" w:lineRule="exact" w:before="416" w:after="205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ACH4563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Matemática Financeira 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471" w:lineRule="exact" w:before="411" w:after="642"/>
        <w:ind w:left="16994" w:right="0" w:firstLine="0"/>
        <w:jc w:val="left"/>
        <w:pStyle w:val="P68B1DB1-Normal1"/>
      </w:pPr>
      <w:r>
        <w:rPr>
          <w:rFonts w:ascii="font1" w:hAnsi="font1" w:eastAsia="font1"/>
        </w:rPr>
        <w:t>TOTAL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1" w:hAnsi="font1" w:eastAsia="font1"/>
        </w:rPr>
        <w:t>20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1" w:hAnsi="font1" w:eastAsia="font1"/>
        </w:rPr>
        <w:t>20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1" w:hAnsi="font1" w:eastAsia="font1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1" w:hAnsi="font1" w:eastAsia="font1"/>
        </w:rPr>
        <w:t>300</w:t>
      </w:r>
    </w:p>
    <w:p>
      <w:pPr>
        <w:widowControl/>
        <w:wordWrap w:val="0"/>
        <w:autoSpaceDE w:val="0"/>
        <w:autoSpaceDN w:val="0"/>
        <w:spacing w:line="471" w:lineRule="exact" w:before="1285" w:after="596"/>
        <w:ind w:left="16518" w:right="0" w:firstLine="0"/>
        <w:jc w:val="left"/>
        <w:pStyle w:val="P68B1DB1-Normal1"/>
      </w:pPr>
      <w:r>
        <w:rPr>
          <w:rFonts w:ascii="font1" w:hAnsi="font1" w:eastAsia="font1"/>
        </w:rPr>
        <w:t>4º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1" w:hAnsi="font1" w:eastAsia="font1"/>
        </w:rPr>
        <w:t>SEMESTRE</w:t>
      </w:r>
    </w:p>
    <w:p>
      <w:pPr>
        <w:widowControl/>
        <w:wordWrap w:val="0"/>
        <w:autoSpaceDE w:val="0"/>
        <w:autoSpaceDN w:val="0"/>
        <w:spacing w:line="511" w:lineRule="exact" w:before="1192" w:after="203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ACH4514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Estatística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plicada 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M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arketing I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I 4 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60</w:t>
      </w:r>
    </w:p>
    <w:p>
      <w:pPr>
        <w:widowControl/>
        <w:wordWrap w:val="0"/>
        <w:autoSpaceDE w:val="0"/>
        <w:autoSpaceDN w:val="0"/>
        <w:spacing w:line="515" w:lineRule="exact" w:before="407" w:after="206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ACH4524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Finanças II 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11" w:lineRule="exact" w:before="412" w:after="208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ACH4534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Macroeconomia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11" w:lineRule="exact" w:before="416" w:after="208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ACH4544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Gestão de Operações 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506" w:lineRule="exact" w:before="416" w:after="206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ACH4554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Gestão de Produtos 4 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60</w:t>
      </w:r>
    </w:p>
    <w:p>
      <w:pPr>
        <w:widowControl/>
        <w:wordWrap w:val="0"/>
        <w:autoSpaceDE w:val="0"/>
        <w:autoSpaceDN w:val="0"/>
        <w:spacing w:line="14" w:lineRule="exact" w:before="398" w:after="0"/>
        <w:ind w:left="0" w:right="0"/>
      </w:pPr>
    </w:p>
    <w:tbl>
      <w:tblPr>
        <w:tblW w:type="auto" w:w="0"/>
        <w:tblInd w:type="dxa" w:w="9417"/>
        <w:tblLayout w:type="fixed"/>
        <w:tblLook w:firstColumn="1" w:firstRow="1" w:lastColumn="0" w:lastRow="0" w:noHBand="0" w:noVBand="1" w:val="04A0"/>
      </w:tblPr>
      <w:tblGrid>
        <w:gridCol w:w="5890"/>
        <w:gridCol w:w="5890"/>
        <w:gridCol w:w="5890"/>
        <w:gridCol w:w="5890"/>
        <w:gridCol w:w="5890"/>
        <w:gridCol w:w="5890"/>
      </w:tblGrid>
      <w:tr>
        <w:trPr>
          <w:trHeight w:hRule="exact" w:val="477"/>
        </w:trPr>
        <w:tc>
          <w:tcPr>
            <w:tcW w:type="dxa" w:w="2187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71" w:lineRule="exact" w:before="44" w:after="0"/>
              <w:ind w:left="0" w:right="0" w:firstLine="0"/>
              <w:jc w:val="left"/>
              <w:pStyle w:val="P68B1DB1-Normal2"/>
            </w:pPr>
            <w:r>
              <w:t>ACH4564</w:t>
            </w:r>
          </w:p>
        </w:tc>
        <w:tc>
          <w:tcPr>
            <w:tcW w:type="dxa" w:w="641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330" w:right="0" w:firstLine="0"/>
              <w:jc w:val="left"/>
              <w:pStyle w:val="P68B1DB1-Normal1"/>
            </w:pPr>
            <w:r>
              <w:rPr>
                <w:rFonts w:ascii="font2" w:hAnsi="font2" w:eastAsia="font2"/>
              </w:rPr>
              <w:t>Gestão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font2" w:hAnsi="font2" w:eastAsia="font2"/>
              </w:rPr>
              <w:t>de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font2" w:hAnsi="font2" w:eastAsia="font2"/>
              </w:rPr>
              <w:t>Comunicação</w:t>
            </w:r>
          </w:p>
        </w:tc>
        <w:tc>
          <w:tcPr>
            <w:tcW w:type="dxa" w:w="2519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1451" w:right="0" w:firstLine="0"/>
              <w:jc w:val="left"/>
              <w:pStyle w:val="P68B1DB1-Normal3"/>
            </w:pPr>
            <w:r>
              <w:t>4</w:t>
            </w:r>
          </w:p>
        </w:tc>
        <w:tc>
          <w:tcPr>
            <w:tcW w:type="dxa" w:w="183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834" w:right="0" w:firstLine="0"/>
              <w:jc w:val="left"/>
              <w:pStyle w:val="P68B1DB1-Normal3"/>
            </w:pPr>
            <w:r>
              <w:t>4</w:t>
            </w:r>
          </w:p>
        </w:tc>
        <w:tc>
          <w:tcPr>
            <w:tcW w:type="dxa" w:w="183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768" w:right="0" w:firstLine="0"/>
              <w:jc w:val="left"/>
              <w:pStyle w:val="P68B1DB1-Normal3"/>
            </w:pPr>
            <w:r>
              <w:t>-</w:t>
            </w:r>
          </w:p>
        </w:tc>
        <w:tc>
          <w:tcPr>
            <w:tcW w:type="dxa" w:w="1396"/>
            <w:vMerge w:val="restart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0" w:after="0"/>
              <w:ind w:left="909" w:right="0" w:firstLine="0"/>
              <w:jc w:val="left"/>
              <w:pStyle w:val="P68B1DB1-Normal3"/>
            </w:pPr>
            <w:r>
              <w:t>60</w:t>
            </w:r>
          </w:p>
        </w:tc>
      </w:tr>
      <w:tr>
        <w:trPr>
          <w:trHeight w:hRule="exact" w:val="477"/>
        </w:trPr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641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66" w:lineRule="exact" w:before="11" w:after="0"/>
              <w:ind w:left="330" w:right="0" w:firstLine="0"/>
              <w:jc w:val="left"/>
              <w:pStyle w:val="P68B1DB1-Normal1"/>
            </w:pPr>
            <w:r>
              <w:rPr>
                <w:rFonts w:ascii="font2" w:hAnsi="font2" w:eastAsia="font2"/>
              </w:rPr>
              <w:t>Integrada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font2" w:hAnsi="font2" w:eastAsia="font2"/>
              </w:rPr>
              <w:t>de</w:t>
            </w:r>
            <w:r>
              <w:rPr>
                <w:rFonts w:ascii="Times New Roman" w:hAnsi="Times New Roman" w:eastAsia="Times New Roman"/>
              </w:rPr>
              <w:t xml:space="preserve"> </w:t>
            </w:r>
            <w:r>
              <w:rPr>
                <w:rFonts w:ascii="font2" w:hAnsi="font2" w:eastAsia="font2"/>
              </w:rPr>
              <w:t>Marketing</w:t>
            </w:r>
          </w:p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  <w:tc>
          <w:tcPr>
            <w:tcW w:type="dxa" w:w="5890"/>
            <w:vMerge/>
            <w:tcMar>
              <w:left w:type="dxa" w:w="0"/>
              <w:right w:type="dxa" w:w="0"/>
            </w:tcMar>
          </w:tcPr>
          <w:p/>
        </w:tc>
      </w:tr>
    </w:tbl>
    <w:p>
      <w:pPr>
        <w:widowControl/>
        <w:wordWrap w:val="0"/>
        <w:autoSpaceDE w:val="0"/>
        <w:autoSpaceDN w:val="0"/>
        <w:spacing w:line="511" w:lineRule="exact" w:before="372" w:after="274"/>
        <w:ind w:left="9417" w:right="0" w:firstLine="0"/>
        <w:jc w:val="left"/>
        <w:pStyle w:val="P68B1DB1-Normal1"/>
      </w:pPr>
      <w:r>
        <w:rPr>
          <w:rFonts w:ascii="font1" w:hAnsi="font1" w:eastAsia="font1"/>
        </w:rPr>
        <w:t>ACH4574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Gestão E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stratégica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 xml:space="preserve">2 2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-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font2" w:hAnsi="font2" w:eastAsia="font2"/>
        </w:rPr>
        <w:t>30</w:t>
      </w:r>
    </w:p>
    <w:p>
      <w:pPr>
        <w:widowControl/>
        <w:wordWrap w:val="0"/>
        <w:autoSpaceDE w:val="0"/>
        <w:autoSpaceDN w:val="0"/>
        <w:spacing w:line="14" w:lineRule="exact" w:before="535" w:after="0"/>
        <w:ind w:left="0" w:right="0"/>
      </w:pPr>
    </w:p>
    <w:tbl>
      <w:tblPr>
        <w:tblW w:type="auto" w:w="0"/>
        <w:tblInd w:type="dxa" w:w="40"/>
        <w:tblLayout w:type="fixed"/>
        <w:tblLook w:firstColumn="1" w:firstRow="1" w:lastColumn="0" w:lastRow="0" w:noHBand="0" w:noVBand="1" w:val="04A0"/>
      </w:tblPr>
      <w:tblGrid>
        <w:gridCol w:w="11779"/>
        <w:gridCol w:w="11779"/>
        <w:gridCol w:w="11779"/>
      </w:tblGrid>
      <w:tr>
        <w:trPr>
          <w:trHeight w:hRule="exact" w:val="400"/>
        </w:trPr>
        <w:tc>
          <w:tcPr>
            <w:tcW w:type="dxa" w:w="10401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400" w:lineRule="exact" w:before="0" w:after="0"/>
              <w:ind w:left="0" w:right="0" w:firstLine="0"/>
              <w:jc w:val="left"/>
              <w:pStyle w:val="P68B1DB1-Normal4"/>
            </w:pPr>
            <w:r>
              <w:t xml:space="preserve">Baixar este PDF</w:t>
            </w:r>
          </w:p>
        </w:tc>
        <w:tc>
          <w:tcPr>
            <w:tcW w:type="dxa" w:w="8028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350" w:lineRule="exact" w:before="29" w:after="0"/>
              <w:ind w:left="7669" w:right="0" w:firstLine="0"/>
              <w:jc w:val="left"/>
              <w:pStyle w:val="P68B1DB1-Normal5"/>
            </w:pPr>
            <w:r>
              <w:t>2</w:t>
            </w:r>
          </w:p>
        </w:tc>
        <w:tc>
          <w:tcPr>
            <w:tcW w:type="dxa" w:w="581"/>
            <w:tcMar>
              <w:left w:type="dxa" w:w="0"/>
              <w:right w:type="dxa" w:w="0"/>
            </w:tcMar>
          </w:tcPr>
          <w:p>
            <w:pPr>
              <w:widowControl/>
              <w:wordWrap w:val="0"/>
              <w:autoSpaceDE w:val="0"/>
              <w:autoSpaceDN w:val="0"/>
              <w:spacing w:line="357" w:lineRule="exact" w:before="22" w:after="0"/>
              <w:ind w:left="144" w:right="0" w:firstLine="0"/>
              <w:jc w:val="left"/>
              <w:pStyle w:val="P68B1DB1-Normal6"/>
            </w:pPr>
            <w:r>
              <w:t xml:space="preserve">/ 4</w:t>
            </w:r>
          </w:p>
        </w:tc>
      </w:tr>
    </w:tbl>
    <w:p>
      <w:pPr>
        <w:widowControl/>
        <w:wordWrap w:val="0"/>
        <w:autoSpaceDE w:val="0"/>
        <w:autoSpaceDN w:val="0"/>
        <w:spacing w:line="14" w:lineRule="exact" w:before="0" w:after="0"/>
        <w:ind w:left="0" w:right="0"/>
      </w:pPr>
    </w:p>
    <w:sectPr>
      <w:pgSz w:w="37358" w:h="18499"/>
      <w:pgMar w:top="410" w:right="1440" w:bottom="196" w:left="580" w:header="720" w:footer="720" w:gutter="0"/>
      <w:cols w:space="720" w:num="1" w:equalWidth="0">
        <w:col w:w="3533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/>
  <w:proofState w:spelling="clean" w:grammar="clean"/>
  <w:defaultTabStop w:val="720"/>
  <w:noPunctuationKerning/>
  <w:characterSpacingControl w:val="compressPunctuationAndJapaneseKana"/>
  <w:savePreviewPicture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spacing w:after="200" w:line="276" w:lineRule="auto"/>
      </w:pPr>
    </w:pPrDefault>
    <w:rPrDefault>
      <w:rPr>
        <w:rFonts w:asciiTheme="minorHAnsi" w:hAnsiTheme="minorHAnsi" w:cstheme="minorBidi" w:eastAsiaTheme="minorEastAsia"/>
        <w:sz w:val="22"/>
        <w:szCs w:val="22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Theme="major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Theme="major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Theme="major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Theme="major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Theme="major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Theme="majorEastAsia"/>
      <w:color w:val="17365D" w:themeColor="text2" w:themeShade="BF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Theme="majorEastAsia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Theme="majorEastAsia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Theme="majorEastAsia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Theme="major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Theme="major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Theme="major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Theme="major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Theme="major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68B1DB1-Normal1">
    <w:name w:val="P68B1DB1-Normal1"/>
    <w:basedOn w:val="Normal"/>
    <w:rPr>
      <w:color w:val="000000"/>
      <w:sz w:val="47"/>
    </w:rPr>
  </w:style>
  <w:style w:type="paragraph" w:styleId="P68B1DB1-Normal2">
    <w:name w:val="P68B1DB1-Normal2"/>
    <w:basedOn w:val="Normal"/>
    <w:rPr>
      <w:rFonts w:ascii="font1" w:hAnsi="font1" w:eastAsia="font1"/>
      <w:color w:val="000000"/>
      <w:sz w:val="47"/>
    </w:rPr>
  </w:style>
  <w:style w:type="paragraph" w:styleId="P68B1DB1-Normal3">
    <w:name w:val="P68B1DB1-Normal3"/>
    <w:basedOn w:val="Normal"/>
    <w:rPr>
      <w:rFonts w:ascii="font2" w:hAnsi="font2" w:eastAsia="font2"/>
      <w:color w:val="000000"/>
      <w:sz w:val="47"/>
    </w:rPr>
  </w:style>
  <w:style w:type="paragraph" w:styleId="P68B1DB1-Normal4">
    <w:name w:val="P68B1DB1-Normal4"/>
    <w:basedOn w:val="Normal"/>
    <w:rPr>
      <w:rFonts w:ascii="Times New Roman" w:hAnsi="Times New Roman"/>
      <w:color w:val="282828"/>
      <w:sz w:val="40"/>
    </w:rPr>
  </w:style>
  <w:style w:type="paragraph" w:styleId="P68B1DB1-Normal5">
    <w:name w:val="P68B1DB1-Normal5"/>
    <w:basedOn w:val="Normal"/>
    <w:rPr>
      <w:rFonts w:ascii="Times New Roman" w:hAnsi="Times New Roman" w:eastAsia="SimSun"/>
      <w:color w:val="282828"/>
      <w:sz w:val="35"/>
    </w:rPr>
  </w:style>
  <w:style w:type="paragraph" w:styleId="P68B1DB1-Normal6">
    <w:name w:val="P68B1DB1-Normal6"/>
    <w:basedOn w:val="Normal"/>
    <w:rPr>
      <w:rFonts w:ascii="Times New Roman" w:hAnsi="Times New Roman"/>
      <w:color w:val="282828"/>
      <w:sz w:val="3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LightPDF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LightPDF</cp:lastModifiedBy>
  <cp:revision>1</cp:revision>
  <dcterms:created xsi:type="dcterms:W3CDTF">2026-05-01T22:18:43Z</dcterms:created>
  <dcterms:modified xsi:type="dcterms:W3CDTF">2026-05-01T22:18:43Z</dcterms:modified>
  <cp:category/>
</cp:coreProperties>
</file>