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Reunión sobre toma de requerimientos y desarrollo de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Baltazar Roa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21/08/2025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Divino Bizcochito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75"/>
        <w:gridCol w:w="1560"/>
        <w:gridCol w:w="1680"/>
        <w:gridCol w:w="3135"/>
        <w:tblGridChange w:id="0">
          <w:tblGrid>
            <w:gridCol w:w="3975"/>
            <w:gridCol w:w="1560"/>
            <w:gridCol w:w="1680"/>
            <w:gridCol w:w="31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Baltazar Roa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Anjaba Tech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+56 9 5157 2061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bal.roa@duocuc.cl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Joaquin Galarce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Anjaba Tech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+56 9 8547 1673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joa.galarce@duocuc.cl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Angel Pinto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Anjaba Tech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+56 9 7872 9527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ang.pintoh@duocuc.cl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Temas tratados en la reunión: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Levantamiento detallado de requerimientos funcionales y no funcionales.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y validación de requerimientos con base en la problemática del negocio.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de alcance inicial de los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casos de uso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principales.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Identificación de actores involucrados (cliente, sistema, administrador).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Planificación de la próxima reunión para validar diagramas de casos de uso y relaciones.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Durante la reunión se levantaron y documentaron los requerimientos iniciales del sistema, organizados en funcionales y no funcionales. Posteriormente, se discutió cómo estos se traducen en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casos de uso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que representen el comportamiento esperado de la aplicación web y móvil.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iniciar con los casos de uso de: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Registro e inicio de sesión de clientes.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Visualización de catálogo de productos.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Configuración de pedidos personalizados.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Gestión de pedidos y estados.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Comunicación y notificaciones hacia los clientes.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definió que cada integrante trabajará en la redacción y extensión de los casos de uso correspondientes a su área de responsabilidad.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documentaron los requerimientos funcionales y no funcionales levantados en esta sesión.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Casos de uso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iniciará el desarrollo de casos de uso a nivel de propuesta para cada módulo del sistema.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Próxima Reunión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28/08/2025, Se revisará y validará el documento de requerimientos junto con los casos de uso redactados, asegurando que estén alineados con las necesidades del cliente..</w:t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35.0" w:type="dxa"/>
        <w:jc w:val="left"/>
        <w:tblInd w:w="-127.0" w:type="dxa"/>
        <w:tblLayout w:type="fixed"/>
        <w:tblLook w:val="0000"/>
      </w:tblPr>
      <w:tblGrid>
        <w:gridCol w:w="3180"/>
        <w:gridCol w:w="2055"/>
        <w:gridCol w:w="5100"/>
        <w:tblGridChange w:id="0">
          <w:tblGrid>
            <w:gridCol w:w="3180"/>
            <w:gridCol w:w="205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Consolidar el documento de requerimientos levantados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21/08/2025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Baltazar Roa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Elaborar la propuesta inicial de casos de uso de 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21/08/2025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Joaquin Galarce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Elaborar la propuesta inicial de casos de uso de 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21/08/2025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Angel Pinto</w:t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Se sugirió utilizar plantilla estándar de casos de uso extendido para mantener uniformidad en la documentación.</w:t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6352</wp:posOffset>
              </wp:positionH>
              <wp:positionV relativeFrom="paragraph">
                <wp:posOffset>-38098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6352</wp:posOffset>
              </wp:positionH>
              <wp:positionV relativeFrom="paragraph">
                <wp:posOffset>-38098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9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A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BcPPKlmdXo9iRfgsDi5ngKxDSg==">CgMxLjA4AHIhMUt3RDFsSjNuYjkyR0hkeHBQR1Y4NlkyQzdnYUJwMDJt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