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numPr>
          <w:ilvl w:val="5"/>
          <w:numId w:val="4"/>
        </w:numPr>
        <w:spacing w:after="360" w:lineRule="auto"/>
        <w:ind w:left="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275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20"/>
        <w:gridCol w:w="1320"/>
        <w:gridCol w:w="2895"/>
        <w:gridCol w:w="1605"/>
        <w:gridCol w:w="3435"/>
        <w:tblGridChange w:id="0">
          <w:tblGrid>
            <w:gridCol w:w="1020"/>
            <w:gridCol w:w="1320"/>
            <w:gridCol w:w="2895"/>
            <w:gridCol w:w="1605"/>
            <w:gridCol w:w="3435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4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APT - 05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Validación de documentos y avances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Baltazar Roa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Proyecto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03/10/2025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Duoc UC.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Divino Bizcochito</w:t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50.0" w:type="dxa"/>
        <w:jc w:val="left"/>
        <w:tblInd w:w="-127.0" w:type="dxa"/>
        <w:tblLayout w:type="fixed"/>
        <w:tblLook w:val="0000"/>
      </w:tblPr>
      <w:tblGrid>
        <w:gridCol w:w="3975"/>
        <w:gridCol w:w="1425"/>
        <w:gridCol w:w="2025"/>
        <w:gridCol w:w="2925"/>
        <w:tblGridChange w:id="0">
          <w:tblGrid>
            <w:gridCol w:w="3975"/>
            <w:gridCol w:w="1425"/>
            <w:gridCol w:w="2025"/>
            <w:gridCol w:w="292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4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4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4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4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4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e-mail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3"/>
              </w:numPr>
              <w:spacing w:after="0" w:before="0" w:lineRule="auto"/>
              <w:ind w:left="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Baltazar Roa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1"/>
              <w:spacing w:after="200" w:before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Anjaba Tech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numPr>
                <w:ilvl w:val="5"/>
                <w:numId w:val="2"/>
              </w:numPr>
              <w:spacing w:after="200" w:before="0" w:lineRule="auto"/>
              <w:ind w:left="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+56 9 5157 2061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spacing w:after="200" w:before="0" w:lineRule="auto"/>
              <w:rPr>
                <w:rFonts w:ascii="Calibri" w:cs="Calibri" w:eastAsia="Calibri" w:hAnsi="Calibri"/>
                <w:color w:val="0000ff"/>
                <w:sz w:val="22"/>
                <w:szCs w:val="22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2"/>
                <w:szCs w:val="22"/>
                <w:u w:val="single"/>
                <w:rtl w:val="0"/>
              </w:rPr>
              <w:t xml:space="preserve">bal.roa@duocuc.cl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8">
            <w:pPr>
              <w:spacing w:after="0" w:before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Joaquin Galarce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1"/>
              <w:spacing w:after="200" w:before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Anjaba Tech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spacing w:after="200" w:before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+56 9 8547 1673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spacing w:after="200" w:before="0" w:lineRule="auto"/>
              <w:rPr>
                <w:rFonts w:ascii="Calibri" w:cs="Calibri" w:eastAsia="Calibri" w:hAnsi="Calibri"/>
                <w:color w:val="0000ff"/>
                <w:sz w:val="22"/>
                <w:szCs w:val="22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2"/>
                <w:szCs w:val="22"/>
                <w:u w:val="single"/>
                <w:rtl w:val="0"/>
              </w:rPr>
              <w:t xml:space="preserve">joa.galarce@duocuc.cl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C">
            <w:pPr>
              <w:spacing w:after="0" w:before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Angel Pinto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1"/>
              <w:spacing w:after="200" w:before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Anjaba Tech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spacing w:after="200" w:before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+56 9 7872 9527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spacing w:after="200" w:before="0" w:lineRule="auto"/>
              <w:rPr>
                <w:rFonts w:ascii="Calibri" w:cs="Calibri" w:eastAsia="Calibri" w:hAnsi="Calibri"/>
                <w:color w:val="0000ff"/>
                <w:sz w:val="22"/>
                <w:szCs w:val="22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2"/>
                <w:szCs w:val="22"/>
                <w:u w:val="single"/>
                <w:rtl w:val="0"/>
              </w:rPr>
              <w:t xml:space="preserve">ang.pintoh@duocuc.cl</w:t>
            </w:r>
          </w:p>
        </w:tc>
      </w:tr>
    </w:tbl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31">
            <w:pPr>
              <w:numPr>
                <w:ilvl w:val="5"/>
                <w:numId w:val="4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numPr>
                <w:ilvl w:val="0"/>
                <w:numId w:val="1"/>
              </w:numPr>
              <w:tabs>
                <w:tab w:val="center" w:leader="none" w:pos="4320"/>
                <w:tab w:val="right" w:leader="none" w:pos="8640"/>
              </w:tabs>
              <w:spacing w:after="0" w:afterAutospacing="0" w:lineRule="auto"/>
              <w:ind w:left="720" w:hanging="36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DAS (4+1): confirmación de metas/restricciones y de las vistas (Escenarios, Procesos, Lógica, Desarrollo/Despliegue, Física). Actualización del diagrama de arquitectura (Web: Next.js + Prisma; App: React Native/Expo; API: Node.js; BD: PostgreSQL; pagos y notificaciones).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1"/>
              </w:numPr>
              <w:tabs>
                <w:tab w:val="center" w:leader="none" w:pos="4320"/>
                <w:tab w:val="right" w:leader="none" w:pos="8640"/>
              </w:tabs>
              <w:spacing w:after="0" w:afterAutospacing="0" w:lineRule="auto"/>
              <w:ind w:left="720" w:hanging="36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Matriz RACI: validación de roles y responsabilidades; se mantienen sin cambios.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1"/>
              </w:numPr>
              <w:tabs>
                <w:tab w:val="center" w:leader="none" w:pos="4320"/>
                <w:tab w:val="right" w:leader="none" w:pos="8640"/>
              </w:tabs>
              <w:spacing w:after="0" w:afterAutospacing="0" w:lineRule="auto"/>
              <w:ind w:left="720" w:hanging="36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Gestión de riesgos: confirmación de riesgos (retrasos, integración pasarela de pago, curva de aprendizaje) y planes de mitigación.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1"/>
              </w:numPr>
              <w:tabs>
                <w:tab w:val="center" w:leader="none" w:pos="4320"/>
                <w:tab w:val="right" w:leader="none" w:pos="8640"/>
              </w:tabs>
              <w:spacing w:after="0" w:afterAutospacing="0" w:lineRule="auto"/>
              <w:ind w:left="720" w:hanging="36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Diagramas: revisión de procesos (pedido end-to-end), ERD PostgreSQL, clases y secuencias (login/compra); definición de pendientes.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1"/>
              </w:numPr>
              <w:tabs>
                <w:tab w:val="center" w:leader="none" w:pos="4320"/>
                <w:tab w:val="right" w:leader="none" w:pos="8640"/>
              </w:tabs>
              <w:spacing w:after="0" w:afterAutospacing="0" w:lineRule="auto"/>
              <w:ind w:left="720" w:hanging="36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Mockups UI/UX (Web y App): feedback final y lineamientos aprobados para implementación.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1"/>
              </w:numPr>
              <w:tabs>
                <w:tab w:val="center" w:leader="none" w:pos="4320"/>
                <w:tab w:val="right" w:leader="none" w:pos="8640"/>
              </w:tabs>
              <w:spacing w:after="0" w:afterAutospacing="0" w:lineRule="auto"/>
              <w:ind w:left="720" w:hanging="36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Avances técnicos: entorno Web y Mobile configurado, repositorios y flujo de ramas (main/develop/feature), BD provisionada, endpoints iniciales; integración sandbox de pagos en progreso.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1"/>
              </w:numPr>
              <w:tabs>
                <w:tab w:val="center" w:leader="none" w:pos="4320"/>
                <w:tab w:val="right" w:leader="none" w:pos="8640"/>
              </w:tabs>
              <w:spacing w:after="0" w:afterAutospacing="0" w:lineRule="auto"/>
              <w:ind w:left="720" w:hanging="36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Plan de pruebas: definición de smoke tests y criterios de aceptación para los primeros módulos.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1"/>
              </w:numPr>
              <w:tabs>
                <w:tab w:val="center" w:leader="none" w:pos="4320"/>
                <w:tab w:val="right" w:leader="none" w:pos="8640"/>
              </w:tabs>
              <w:spacing w:after="120" w:lineRule="auto"/>
              <w:ind w:left="720" w:hanging="36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Próximos pasos: cerrar ajustes menores del ERS, completar diagramas faltantes e iniciar desarrollo de Autenticación y Gestión de Productos conforme a la Carta Gantt.</w:t>
            </w:r>
          </w:p>
        </w:tc>
      </w:tr>
    </w:tbl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spacing w:after="0" w:before="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Durante la reunión se revisaron y validaron los documentos elaborados en la Fase 2, incluyendo el </w:t>
            </w: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ERS, Documento de Casos de Uso, DAS (Documento de Arquitectura del Sistema), Matriz RACI y Gestión de Riesgos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D">
            <w:pPr>
              <w:spacing w:after="0" w:before="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constató que los entregables cumplen con lo planificado y permiten avanzar de manera ordenada a la fase de desarrollo. Se discutieron pequeños ajustes de redacción en algunos requerimientos y diagramas, pero no se identificaron cambios estructurales.</w:t>
            </w:r>
          </w:p>
          <w:p w:rsidR="00000000" w:rsidDel="00000000" w:rsidP="00000000" w:rsidRDefault="00000000" w:rsidRPr="00000000" w14:paraId="0000003E">
            <w:pPr>
              <w:spacing w:after="0" w:before="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Además, se expusieron los </w:t>
            </w: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avances en la preparación del entorno de desarrollo web y móvil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, así como la configuración inicial de la base de datos en PostgreSQL.</w:t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7371"/>
        <w:tblGridChange w:id="0">
          <w:tblGrid>
            <w:gridCol w:w="2977"/>
            <w:gridCol w:w="7371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numPr>
                <w:ilvl w:val="5"/>
                <w:numId w:val="4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numPr>
                <w:ilvl w:val="5"/>
                <w:numId w:val="4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numPr>
                <w:ilvl w:val="5"/>
                <w:numId w:val="4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numPr>
                <w:ilvl w:val="5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DAS – Arquitectura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8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aprueba el documento con las vistas 4+1, quedando como base del desarrollo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numPr>
                <w:ilvl w:val="5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Gestión de Riesgos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A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confirman los riesgos y planes de mitigación propuestos</w:t>
            </w:r>
          </w:p>
        </w:tc>
      </w:tr>
    </w:tbl>
    <w:p w:rsidR="00000000" w:rsidDel="00000000" w:rsidP="00000000" w:rsidRDefault="00000000" w:rsidRPr="00000000" w14:paraId="0000004B">
      <w:pPr>
        <w:numPr>
          <w:ilvl w:val="5"/>
          <w:numId w:val="4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335.0" w:type="dxa"/>
        <w:jc w:val="left"/>
        <w:tblInd w:w="-127.0" w:type="dxa"/>
        <w:tblLayout w:type="fixed"/>
        <w:tblLook w:val="0000"/>
      </w:tblPr>
      <w:tblGrid>
        <w:gridCol w:w="4215"/>
        <w:gridCol w:w="2910"/>
        <w:gridCol w:w="3210"/>
        <w:tblGridChange w:id="0">
          <w:tblGrid>
            <w:gridCol w:w="4215"/>
            <w:gridCol w:w="2910"/>
            <w:gridCol w:w="3210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F">
            <w:pPr>
              <w:numPr>
                <w:ilvl w:val="5"/>
                <w:numId w:val="4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0">
            <w:pPr>
              <w:numPr>
                <w:ilvl w:val="5"/>
                <w:numId w:val="4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numPr>
                <w:ilvl w:val="5"/>
                <w:numId w:val="4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numPr>
                <w:ilvl w:val="5"/>
                <w:numId w:val="4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Finalizar diagramas UML (procesos y clases)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numPr>
                <w:ilvl w:val="5"/>
                <w:numId w:val="4"/>
              </w:numPr>
              <w:ind w:right="-15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07/10/2025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numPr>
                <w:ilvl w:val="5"/>
                <w:numId w:val="4"/>
              </w:numPr>
              <w:ind w:left="0" w:right="-15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Grupo general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numPr>
                <w:ilvl w:val="5"/>
                <w:numId w:val="4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Verificar y respaldar la configuración de la base de datos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numPr>
                <w:ilvl w:val="5"/>
                <w:numId w:val="4"/>
              </w:numPr>
              <w:ind w:left="0" w:right="-15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07/10/2025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numPr>
                <w:ilvl w:val="5"/>
                <w:numId w:val="4"/>
              </w:numPr>
              <w:ind w:left="0" w:right="-15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Baltazar Roa Soto / Angel Pinto</w:t>
            </w:r>
          </w:p>
        </w:tc>
      </w:tr>
    </w:tbl>
    <w:p w:rsidR="00000000" w:rsidDel="00000000" w:rsidP="00000000" w:rsidRDefault="00000000" w:rsidRPr="00000000" w14:paraId="00000058">
      <w:pPr>
        <w:numPr>
          <w:ilvl w:val="5"/>
          <w:numId w:val="4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spacing w:after="0" w:before="0" w:lineRule="auto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El proyecto avanza conforme a la Carta Gantt sin retrasos ni ajustes. Se destacó que ya se inició de forma anticipada el desarrollo web y móvil, lo que permitirá disponer de mayor tiempo para pruebas e integración en fases posteriores.</w:t>
            </w:r>
          </w:p>
        </w:tc>
      </w:tr>
    </w:tbl>
    <w:p w:rsidR="00000000" w:rsidDel="00000000" w:rsidP="00000000" w:rsidRDefault="00000000" w:rsidRPr="00000000" w14:paraId="0000005B">
      <w:pPr>
        <w:numPr>
          <w:ilvl w:val="5"/>
          <w:numId w:val="4"/>
        </w:num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keepNext w:val="0"/>
      <w:keepLines w:val="0"/>
      <w:widowControl w:val="0"/>
      <w:numPr>
        <w:ilvl w:val="5"/>
        <w:numId w:val="4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5082</wp:posOffset>
              </wp:positionH>
              <wp:positionV relativeFrom="paragraph">
                <wp:posOffset>-43812</wp:posOffset>
              </wp:positionV>
              <wp:extent cx="0" cy="12700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5082</wp:posOffset>
              </wp:positionH>
              <wp:positionV relativeFrom="paragraph">
                <wp:posOffset>-43812</wp:posOffset>
              </wp:positionV>
              <wp:extent cx="0" cy="12700"/>
              <wp:effectExtent b="0" l="0" r="0" t="0"/>
              <wp:wrapNone/>
              <wp:docPr id="5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keepNext w:val="0"/>
      <w:keepLines w:val="0"/>
      <w:widowControl w:val="0"/>
      <w:numPr>
        <w:ilvl w:val="5"/>
        <w:numId w:val="4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keepNext w:val="0"/>
      <w:keepLines w:val="0"/>
      <w:widowControl w:val="0"/>
      <w:numPr>
        <w:ilvl w:val="5"/>
        <w:numId w:val="4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D">
    <w:pPr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5E">
          <w:pPr>
            <w:numPr>
              <w:ilvl w:val="5"/>
              <w:numId w:val="4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5F">
          <w:pPr>
            <w:numPr>
              <w:ilvl w:val="5"/>
              <w:numId w:val="4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0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keepNext w:val="0"/>
      <w:keepLines w:val="0"/>
      <w:widowControl w:val="0"/>
      <w:numPr>
        <w:ilvl w:val="5"/>
        <w:numId w:val="4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numPr>
        <w:ilvl w:val="5"/>
        <w:numId w:val="4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i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 w:val="1"/>
    <w:pPr>
      <w:tabs>
        <w:tab w:val="right" w:pos="9360"/>
      </w:tabs>
      <w:spacing w:after="60" w:before="240"/>
      <w:ind w:right="720"/>
    </w:pPr>
  </w:style>
  <w:style w:type="paragraph" w:styleId="TDC2">
    <w:name w:val="toc 2"/>
    <w:basedOn w:val="Normal"/>
    <w:next w:val="Normal"/>
    <w:semiHidden w:val="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 w:val="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Bullet1" w:customStyle="1">
    <w:name w:val="Bullet1"/>
    <w:basedOn w:val="Normal"/>
    <w:pPr>
      <w:ind w:left="720" w:hanging="432"/>
    </w:p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</w:style>
  <w:style w:type="paragraph" w:styleId="TDC5">
    <w:name w:val="toc 5"/>
    <w:basedOn w:val="Normal"/>
    <w:next w:val="Normal"/>
    <w:semiHidden w:val="1"/>
    <w:pPr>
      <w:ind w:left="800"/>
    </w:pPr>
  </w:style>
  <w:style w:type="paragraph" w:styleId="TDC6">
    <w:name w:val="toc 6"/>
    <w:basedOn w:val="Normal"/>
    <w:next w:val="Normal"/>
    <w:semiHidden w:val="1"/>
    <w:pPr>
      <w:ind w:left="1000"/>
    </w:pPr>
  </w:style>
  <w:style w:type="paragraph" w:styleId="TDC7">
    <w:name w:val="toc 7"/>
    <w:basedOn w:val="Normal"/>
    <w:next w:val="Normal"/>
    <w:semiHidden w:val="1"/>
    <w:pPr>
      <w:ind w:left="1200"/>
    </w:pPr>
  </w:style>
  <w:style w:type="paragraph" w:styleId="TDC8">
    <w:name w:val="toc 8"/>
    <w:basedOn w:val="Normal"/>
    <w:next w:val="Normal"/>
    <w:semiHidden w:val="1"/>
    <w:pPr>
      <w:ind w:left="1400"/>
    </w:pPr>
  </w:style>
  <w:style w:type="paragraph" w:styleId="TDC9">
    <w:name w:val="toc 9"/>
    <w:basedOn w:val="Normal"/>
    <w:next w:val="Normal"/>
    <w:semiHidden w:val="1"/>
    <w:pPr>
      <w:ind w:left="1600"/>
    </w:p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rFonts w:ascii="Arial" w:hAnsi="Arial"/>
      <w:b w:val="1"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 w:val="1"/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pPr>
      <w:spacing w:after="120"/>
      <w:ind w:left="720"/>
    </w:pPr>
    <w:rPr>
      <w:i w:val="1"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 w:val="1"/>
    <w:rPr>
      <w:rFonts w:ascii="Tahoma" w:cs="Tahoma" w:hAnsi="Tahoma"/>
      <w:sz w:val="16"/>
      <w:szCs w:val="16"/>
    </w:rPr>
  </w:style>
  <w:style w:type="paragraph" w:styleId="Textoindependiente3">
    <w:name w:val="Body Text 3"/>
    <w:basedOn w:val="Normal"/>
    <w:pPr>
      <w:numPr>
        <w:ilvl w:val="0"/>
        <w:numId w:val="0"/>
      </w:numPr>
    </w:pPr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 w:val="1"/>
    <w:rsid w:val="00C80BEE"/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JkvcDIjoOBGVHAEi9Kn2Tipqbg==">CgMxLjA4AHIhMU1YcjZGRzBvN1JnSmswcVpZSGgzUF9NQ2twTkM0elNr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2022-03-05T19:23:00Z</dcterms:created>
  <dc:creator>tisal</dc:creator>
</cp:coreProperties>
</file>