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4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275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20"/>
        <w:gridCol w:w="1320"/>
        <w:gridCol w:w="1830"/>
        <w:gridCol w:w="2670"/>
        <w:gridCol w:w="3435"/>
        <w:tblGridChange w:id="0">
          <w:tblGrid>
            <w:gridCol w:w="1020"/>
            <w:gridCol w:w="1320"/>
            <w:gridCol w:w="1830"/>
            <w:gridCol w:w="2670"/>
            <w:gridCol w:w="3435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- 04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Objetivos 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tabs>
                <w:tab w:val="center" w:leader="none" w:pos="4320"/>
                <w:tab w:val="right" w:leader="none" w:pos="8640"/>
              </w:tabs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Baltazar Roa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26/09/2025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Duoc UC.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Divino Bizcochito</w:t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50.0" w:type="dxa"/>
        <w:jc w:val="left"/>
        <w:tblInd w:w="-127.0" w:type="dxa"/>
        <w:tblLayout w:type="fixed"/>
        <w:tblLook w:val="0000"/>
      </w:tblPr>
      <w:tblGrid>
        <w:gridCol w:w="3975"/>
        <w:gridCol w:w="1425"/>
        <w:gridCol w:w="2025"/>
        <w:gridCol w:w="2925"/>
        <w:tblGridChange w:id="0">
          <w:tblGrid>
            <w:gridCol w:w="3975"/>
            <w:gridCol w:w="1425"/>
            <w:gridCol w:w="2025"/>
            <w:gridCol w:w="292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Baltazar Roa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+56 9 5157 2061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bal.roa@duocuc.cl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Joaquin Galarce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+56 9 8547 1673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joa.galarce@duocuc.cl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Angel Pinto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1"/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Anjaba Tech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spacing w:after="200" w:before="0" w:lineRule="auto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+56 9 7872 9527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spacing w:after="200" w:before="0" w:lineRule="auto"/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ff"/>
                <w:sz w:val="22"/>
                <w:szCs w:val="22"/>
                <w:u w:val="single"/>
                <w:rtl w:val="0"/>
              </w:rPr>
              <w:t xml:space="preserve">ang.pintoh@duocuc.cl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del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avance en la documentación del proyecto (Fase 2)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consolidando los entregables planificados en la Carta Gantt.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y validación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Matriz RACI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definiendo responsables, aprobadores, consultados e informados para cada actividad del proyecto.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Desarrollo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Gestión de Riesgos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identificando posibles retrasos en tiempos, dificultades en el uso de frameworks, dependencia de servicios externos y estrategias de mitigación.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Revisión y actualización del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Documento de Arquitectura del Sistema (DAS)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incorporando metas, restricciones y vistas arquitectónicas bajo el enfoque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4+1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Vista de Escenarios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 los casos de uso priorizados y actores del sistema.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Vista de Procesos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 diagramas de actividades que representan el flujo de pedidos desde la toma hasta la entrega.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Vista Lógica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incluyendo el modelo de clases y el modelo entidad–relación de la base de datos PostgreSQL.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Vista de Desarrollo/Despliegue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mostrando la organización de componentes (Web, App, API, BD, pasarela de pago, notificaciones).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Presentación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Vista Física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detallando la infraestructura de hosting en la nube y la integración con servicios externos.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0" w:afterAutospacing="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Validación de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mockups de la aplicación web y móvil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confirmando lineamientos de diseño UI/UX.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3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720" w:hanging="36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Confirmación de que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planificación y actividades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 se mantienen sin ajustes ni retrasos respecto de la Carta Gantt.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spacing w:after="240" w:before="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Durante la reunión se revisaron los avances de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Fase 2 de Documentación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consolidando los entregables planificados. Se expuso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Matriz RACI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que permitió clarificar roles y responsabilidades del equipo; la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Gestión de Riesgos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donde se identificaron posibles retrasos y dependencias externas, definiendo planes de mitigación; y el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Documento de Arquitectura del Sistema (DAS)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que incorpora las vistas arquitectónicas bajo el enfoque 4+1.</w:t>
            </w:r>
          </w:p>
          <w:p w:rsidR="00000000" w:rsidDel="00000000" w:rsidP="00000000" w:rsidRDefault="00000000" w:rsidRPr="00000000" w14:paraId="00000040">
            <w:pPr>
              <w:numPr>
                <w:ilvl w:val="5"/>
                <w:numId w:val="4"/>
              </w:num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Asimismo, se validaron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casos de uso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diagramas de procesos y base de datos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y los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mockups de la aplicación web y móvil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, confirmando que el diseño cumple con los requerimientos levantados.</w:t>
            </w:r>
          </w:p>
          <w:p w:rsidR="00000000" w:rsidDel="00000000" w:rsidP="00000000" w:rsidRDefault="00000000" w:rsidRPr="00000000" w14:paraId="00000041">
            <w:pPr>
              <w:numPr>
                <w:ilvl w:val="5"/>
                <w:numId w:val="4"/>
              </w:numPr>
              <w:spacing w:after="240" w:befor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Finalmente, se constató que no existen retrasos respecto a la Carta Gantt y que incluso se ha dado inicio anticipado al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desarrollo web y mobile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. Se asignaron compromisos específicos para consolidar los entregables y se fijó la próxima reunión para revisar avances de implementación.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5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Matriz RACI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B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aprueba la distribución de roles y responsabilidades para todas las actividades del proyecto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5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Gestión de Riesgos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validan los riesgos identificados y se aprueban las estrategias de mitigación.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Arquitectura del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aprueba el DAS con las vistas bajo el enfoque 4+1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Mockups Web y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validan los prototipos de interfaz y se mantienen como guía para el desarrollo</w:t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4"/>
        </w:num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35.0" w:type="dxa"/>
        <w:jc w:val="left"/>
        <w:tblInd w:w="-127.0" w:type="dxa"/>
        <w:tblLayout w:type="fixed"/>
        <w:tblLook w:val="0000"/>
      </w:tblPr>
      <w:tblGrid>
        <w:gridCol w:w="4215"/>
        <w:gridCol w:w="2910"/>
        <w:gridCol w:w="3210"/>
        <w:tblGridChange w:id="0">
          <w:tblGrid>
            <w:gridCol w:w="4215"/>
            <w:gridCol w:w="2910"/>
            <w:gridCol w:w="3210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4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numPr>
                <w:ilvl w:val="5"/>
                <w:numId w:val="4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Consolidar el DAS final y dejarlo listo para entregar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30/09/2025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Baltazar Roa Soto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4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Iniciar implementación del módulo de autenticación web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4"/>
              </w:numPr>
              <w:ind w:right="-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Joaquin Galarce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numPr>
                <w:ilvl w:val="5"/>
                <w:numId w:val="4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Preparar la base de datos PostgreSQL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4"/>
              </w:numPr>
              <w:ind w:right="-15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03/10/2025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4"/>
              </w:numPr>
              <w:ind w:left="0" w:right="-15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Angel Pinto</w:t>
            </w:r>
          </w:p>
        </w:tc>
      </w:tr>
    </w:tbl>
    <w:p w:rsidR="00000000" w:rsidDel="00000000" w:rsidP="00000000" w:rsidRDefault="00000000" w:rsidRPr="00000000" w14:paraId="00000062">
      <w:pPr>
        <w:numPr>
          <w:ilvl w:val="5"/>
          <w:numId w:val="4"/>
        </w:num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3">
            <w:pPr>
              <w:jc w:val="center"/>
              <w:rPr>
                <w:rFonts w:ascii="Tahoma" w:cs="Tahoma" w:eastAsia="Tahoma" w:hAnsi="Tahoma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0" w:before="0" w:lineRule="auto"/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El proyecto avanza conforme a la Carta Gantt sin retrasos ni ajustes. Se destacó que ya se inició de forma anticipada el desarrollo web y móvil, lo que permitirá disponer de mayor tiempo para pruebas e integración en fases posteriores.</w:t>
            </w:r>
          </w:p>
        </w:tc>
      </w:tr>
    </w:tbl>
    <w:p w:rsidR="00000000" w:rsidDel="00000000" w:rsidP="00000000" w:rsidRDefault="00000000" w:rsidRPr="00000000" w14:paraId="00000065">
      <w:pPr>
        <w:numPr>
          <w:ilvl w:val="5"/>
          <w:numId w:val="4"/>
        </w:num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11431</wp:posOffset>
              </wp:positionH>
              <wp:positionV relativeFrom="paragraph">
                <wp:posOffset>-43814</wp:posOffset>
              </wp:positionV>
              <wp:extent cx="0" cy="12700"/>
              <wp:effectExtent b="0" l="0" r="0" t="0"/>
              <wp:wrapNone/>
              <wp:docPr id="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numPr>
        <w:ilvl w:val="5"/>
        <w:numId w:val="4"/>
      </w:num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8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9">
          <w:pPr>
            <w:numPr>
              <w:ilvl w:val="5"/>
              <w:numId w:val="4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A">
          <w:pPr>
            <w:numPr>
              <w:ilvl w:val="5"/>
              <w:numId w:val="4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0"/>
      <w:numPr>
        <w:ilvl w:val="5"/>
        <w:numId w:val="4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HxtAJLW5mrMX7HiUKXOBoj18Gg==">CgMxLjA4AHIhMUhxM1M0bDJDMjBkR3VjMDRFN3B3ek5HOEFzcWJrcVpj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