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are Odysseus’s best and worst leadership moments in this tale? What do we learn about our own criteria for a good leader by our responses to Odysseus?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Leader Qualities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Selfless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Putting life down for others to rescue from Circe TRUE</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Refused to eat and dine with Circe, because he would not let himself take pleasure while his men were still bewitched.</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Wanting to kill Eurachus FALSE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Taunting cyclops FALSE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Taking all riches for himself FALSE</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Crew took out magical wind bag</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Crew disobeyed Zeuss by eating cows on island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Smart / able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Calling himself Noman with Cyclops, sheep on top of men TRUE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Not telling men their inevitable death so as to have the best outcome for the group TRUE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Even Athena believes Odysseus is a smart trickster.</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Wise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Listen to Agamemnon and tested wife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In face of goddess temptation for staying with her, he remains loyal to his responsibilities as a husband and a father who needs to return home</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Before going on his murderous rampage, Odysseus asked cowherd and swineherd whether they sided with or against the suitors. (466) before asking for their help to lock the house so suitors could not escape.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