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9580" w14:textId="0237CB0D" w:rsidR="00336D3C" w:rsidRDefault="00336D3C">
      <w:r>
        <w:t>Summary of Improved Approach to Identifying Extreme Weather Events</w:t>
      </w:r>
    </w:p>
    <w:p w14:paraId="37A1FB94" w14:textId="77777777" w:rsidR="00735F8B" w:rsidRDefault="00735F8B" w:rsidP="00735F8B">
      <w:pPr>
        <w:pStyle w:val="ListParagraph"/>
        <w:numPr>
          <w:ilvl w:val="0"/>
          <w:numId w:val="1"/>
        </w:numPr>
      </w:pPr>
      <w:r>
        <w:t>Thresholds are now defined from the fixed baseline period (2006–2035), not the full dataset.</w:t>
      </w:r>
    </w:p>
    <w:p w14:paraId="5C3D3FAB" w14:textId="149FF13F" w:rsidR="00735F8B" w:rsidRDefault="00735F8B" w:rsidP="00735F8B">
      <w:pPr>
        <w:pStyle w:val="ListParagraph"/>
        <w:numPr>
          <w:ilvl w:val="1"/>
          <w:numId w:val="1"/>
        </w:numPr>
      </w:pPr>
      <w:r>
        <w:t>This</w:t>
      </w:r>
      <w:r w:rsidR="00663F88">
        <w:t xml:space="preserve"> </w:t>
      </w:r>
      <w:r>
        <w:t>avoids “moving goalposts” and makes future changes in extreme-event frequency interpretable.</w:t>
      </w:r>
    </w:p>
    <w:p w14:paraId="34C07A55" w14:textId="77777777" w:rsidR="00735F8B" w:rsidRDefault="00735F8B" w:rsidP="00735F8B">
      <w:pPr>
        <w:pStyle w:val="ListParagraph"/>
        <w:numPr>
          <w:ilvl w:val="0"/>
          <w:numId w:val="1"/>
        </w:numPr>
      </w:pPr>
      <w:r>
        <w:t>Temperature extremes are defined using month-specific percentiles (baseline 90th percentile by month) instead of one global threshold.</w:t>
      </w:r>
    </w:p>
    <w:p w14:paraId="5721E858" w14:textId="7CFAA671" w:rsidR="00735F8B" w:rsidRDefault="00735F8B" w:rsidP="00735F8B">
      <w:pPr>
        <w:pStyle w:val="ListParagraph"/>
        <w:numPr>
          <w:ilvl w:val="1"/>
          <w:numId w:val="1"/>
        </w:numPr>
      </w:pPr>
      <w:r>
        <w:t xml:space="preserve">This accounts for seasonality and avoids </w:t>
      </w:r>
      <w:r w:rsidR="00A7557D">
        <w:t>labelling</w:t>
      </w:r>
      <w:r>
        <w:t xml:space="preserve"> normal summer temperatures as “extreme” just because the annual distribution is broad.</w:t>
      </w:r>
    </w:p>
    <w:p w14:paraId="4ADB4D29" w14:textId="77777777" w:rsidR="00735F8B" w:rsidRDefault="00735F8B" w:rsidP="00735F8B">
      <w:pPr>
        <w:pStyle w:val="ListParagraph"/>
        <w:numPr>
          <w:ilvl w:val="0"/>
          <w:numId w:val="1"/>
        </w:numPr>
      </w:pPr>
      <w:r>
        <w:t>Precipitation extremes are defined using wet-day-only percentiles (baseline 95th percentile of wet days, by month).</w:t>
      </w:r>
    </w:p>
    <w:p w14:paraId="5A2C0BE3" w14:textId="77777777" w:rsidR="00735F8B" w:rsidRDefault="00735F8B" w:rsidP="00735F8B">
      <w:pPr>
        <w:pStyle w:val="ListParagraph"/>
        <w:numPr>
          <w:ilvl w:val="1"/>
          <w:numId w:val="1"/>
        </w:numPr>
      </w:pPr>
      <w:r>
        <w:t>This is more physically meaningful for precipitation because the distribution is highly skewed and includes many dry/near-zero days.</w:t>
      </w:r>
    </w:p>
    <w:p w14:paraId="66D0F62E" w14:textId="77777777" w:rsidR="00735F8B" w:rsidRDefault="00735F8B" w:rsidP="00735F8B">
      <w:pPr>
        <w:pStyle w:val="ListParagraph"/>
        <w:numPr>
          <w:ilvl w:val="0"/>
          <w:numId w:val="1"/>
        </w:numPr>
      </w:pPr>
      <w:r>
        <w:t>A wet-day filter is added (e.g., ≥1 mm/day) before classifying precipitation extremes.</w:t>
      </w:r>
    </w:p>
    <w:p w14:paraId="79812012" w14:textId="77777777" w:rsidR="00735F8B" w:rsidRDefault="00735F8B" w:rsidP="00735F8B">
      <w:pPr>
        <w:pStyle w:val="ListParagraph"/>
        <w:numPr>
          <w:ilvl w:val="1"/>
          <w:numId w:val="1"/>
        </w:numPr>
      </w:pPr>
      <w:r>
        <w:t>This prevents dry days from distorting the percentile threshold.</w:t>
      </w:r>
    </w:p>
    <w:p w14:paraId="69B838D0" w14:textId="77777777" w:rsidR="00735F8B" w:rsidRDefault="00735F8B" w:rsidP="00735F8B">
      <w:pPr>
        <w:pStyle w:val="ListParagraph"/>
        <w:numPr>
          <w:ilvl w:val="0"/>
          <w:numId w:val="1"/>
        </w:numPr>
      </w:pPr>
      <w:r>
        <w:t>Extreme-event frequency is computed as annual counts first, then averaged within each block (instead of dividing block totals by a fixed number of years).</w:t>
      </w:r>
    </w:p>
    <w:p w14:paraId="5B688184" w14:textId="77777777" w:rsidR="00735F8B" w:rsidRDefault="00735F8B" w:rsidP="00735F8B">
      <w:pPr>
        <w:pStyle w:val="ListParagraph"/>
        <w:numPr>
          <w:ilvl w:val="1"/>
          <w:numId w:val="1"/>
        </w:numPr>
      </w:pPr>
      <w:r>
        <w:t>This is more robust to missing years/days and keeps the “days per year” interpretation clean.</w:t>
      </w:r>
    </w:p>
    <w:p w14:paraId="533D8BC1" w14:textId="77777777" w:rsidR="00735F8B" w:rsidRDefault="00735F8B" w:rsidP="00735F8B">
      <w:pPr>
        <w:pStyle w:val="ListParagraph"/>
        <w:numPr>
          <w:ilvl w:val="0"/>
          <w:numId w:val="1"/>
        </w:numPr>
      </w:pPr>
      <w:r>
        <w:t>Baseline reference lines are now based on mean annual baseline counts, calculated the same way as block frequencies.</w:t>
      </w:r>
    </w:p>
    <w:p w14:paraId="7B274D0B" w14:textId="77777777" w:rsidR="00735F8B" w:rsidRDefault="00735F8B" w:rsidP="00735F8B">
      <w:pPr>
        <w:pStyle w:val="ListParagraph"/>
        <w:numPr>
          <w:ilvl w:val="1"/>
          <w:numId w:val="1"/>
        </w:numPr>
      </w:pPr>
      <w:r>
        <w:t>This makes the comparison methodologically consistent.</w:t>
      </w:r>
    </w:p>
    <w:p w14:paraId="01F9ED36" w14:textId="2DC38859" w:rsidR="00336D3C" w:rsidRDefault="00735F8B" w:rsidP="00735F8B">
      <w:pPr>
        <w:pStyle w:val="ListParagraph"/>
        <w:numPr>
          <w:ilvl w:val="0"/>
          <w:numId w:val="1"/>
        </w:numPr>
      </w:pPr>
      <w:r>
        <w:t>Overall result: the new approach is more defensible, more comparable to climate-extremes literature, and less sensitive to distribution shape artifacts (especially seasonality and precipitation skew).</w:t>
      </w:r>
    </w:p>
    <w:p w14:paraId="5B81B66B" w14:textId="77777777" w:rsidR="00373DEB" w:rsidRDefault="00373DEB" w:rsidP="00373DEB"/>
    <w:p w14:paraId="6DFF054C" w14:textId="45A2EA07" w:rsidR="00373DEB" w:rsidRDefault="00373DEB" w:rsidP="00373DEB">
      <w:r>
        <w:t>The choices of the percentiles:</w:t>
      </w:r>
    </w:p>
    <w:p w14:paraId="5221BABF" w14:textId="72D7139A" w:rsidR="00373DEB" w:rsidRDefault="00373DEB" w:rsidP="00373DEB">
      <w:r>
        <w:t>Temp:</w:t>
      </w:r>
    </w:p>
    <w:p w14:paraId="0BAC8A1C" w14:textId="31F2FEB2" w:rsidR="00373DEB" w:rsidRDefault="00373DEB" w:rsidP="00373DEB">
      <w:pPr>
        <w:pStyle w:val="ListParagraph"/>
        <w:numPr>
          <w:ilvl w:val="0"/>
          <w:numId w:val="2"/>
        </w:numPr>
      </w:pPr>
      <w:r w:rsidRPr="00373DEB">
        <w:t>In the ETCCDI/</w:t>
      </w:r>
      <w:proofErr w:type="spellStart"/>
      <w:r w:rsidRPr="00373DEB">
        <w:t>Climdex</w:t>
      </w:r>
      <w:proofErr w:type="spellEnd"/>
      <w:r w:rsidRPr="00373DEB">
        <w:t xml:space="preserve"> framework, “warm days” / “warm nights” are commonly defined relative to the 90th percentile (TX90p / TN90p), using a calendar-day threshold from a fixed baseline period (often with a moving window)</w:t>
      </w:r>
      <w:r>
        <w:t>.</w:t>
      </w:r>
    </w:p>
    <w:p w14:paraId="237115FB" w14:textId="1727C490" w:rsidR="00373DEB" w:rsidRDefault="00373DEB" w:rsidP="00373DEB">
      <w:pPr>
        <w:pStyle w:val="ListParagraph"/>
        <w:numPr>
          <w:ilvl w:val="0"/>
          <w:numId w:val="2"/>
        </w:numPr>
      </w:pPr>
      <w:r w:rsidRPr="00373DEB">
        <w:t>90th gives a “moderately extreme” threshold that still leaves enough events per year to estimate trends reliably.</w:t>
      </w:r>
    </w:p>
    <w:p w14:paraId="151D8AF5" w14:textId="3569C1AB" w:rsidR="00E17832" w:rsidRDefault="00E17832" w:rsidP="00E17832">
      <w:proofErr w:type="spellStart"/>
      <w:r>
        <w:t>Precip</w:t>
      </w:r>
      <w:proofErr w:type="spellEnd"/>
      <w:r>
        <w:t>:</w:t>
      </w:r>
    </w:p>
    <w:p w14:paraId="47EC2F82" w14:textId="3B5F982E" w:rsidR="00E17832" w:rsidRDefault="00E17832" w:rsidP="00E17832">
      <w:pPr>
        <w:pStyle w:val="ListParagraph"/>
        <w:numPr>
          <w:ilvl w:val="0"/>
          <w:numId w:val="3"/>
        </w:numPr>
      </w:pPr>
      <w:r w:rsidRPr="00E17832">
        <w:t>ETCCDI-style precipitation extremes commonly use 95th and 99th percentiles, and crucially they are defined on wet days (typically RR ≥ 1 mm/day), not all days</w:t>
      </w:r>
      <w:r>
        <w:t>.</w:t>
      </w:r>
    </w:p>
    <w:p w14:paraId="62DDB89A" w14:textId="77777777" w:rsidR="002931CF" w:rsidRDefault="002931CF" w:rsidP="002931CF"/>
    <w:p w14:paraId="0904F32C" w14:textId="1784AD6D" w:rsidR="002931CF" w:rsidRDefault="002931CF" w:rsidP="002931CF">
      <w:r>
        <w:t>Critique/future further improvement idea:</w:t>
      </w:r>
    </w:p>
    <w:p w14:paraId="439FD003" w14:textId="5233B0A3" w:rsidR="002931CF" w:rsidRDefault="003C7651" w:rsidP="002931CF">
      <w:r>
        <w:t xml:space="preserve">This now uses month-specific thresholds. </w:t>
      </w:r>
      <w:r w:rsidR="00203D6D">
        <w:t>Could be even more rigorous if it used calendar day-percentile thresholds, rather than monthly bins.</w:t>
      </w:r>
    </w:p>
    <w:sectPr w:rsidR="002931CF" w:rsidSect="00336D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33AF"/>
    <w:multiLevelType w:val="hybridMultilevel"/>
    <w:tmpl w:val="1542D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02756D"/>
    <w:multiLevelType w:val="hybridMultilevel"/>
    <w:tmpl w:val="34E0C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C6254"/>
    <w:multiLevelType w:val="hybridMultilevel"/>
    <w:tmpl w:val="FFAAA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902503">
    <w:abstractNumId w:val="1"/>
  </w:num>
  <w:num w:numId="2" w16cid:durableId="1135610586">
    <w:abstractNumId w:val="2"/>
  </w:num>
  <w:num w:numId="3" w16cid:durableId="114743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3C"/>
    <w:rsid w:val="00203D6D"/>
    <w:rsid w:val="002931CF"/>
    <w:rsid w:val="00336D3C"/>
    <w:rsid w:val="00373DEB"/>
    <w:rsid w:val="003C7651"/>
    <w:rsid w:val="00663F88"/>
    <w:rsid w:val="006B6A59"/>
    <w:rsid w:val="00735F8B"/>
    <w:rsid w:val="00A7557D"/>
    <w:rsid w:val="00E17832"/>
    <w:rsid w:val="00FA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C0E73"/>
  <w15:chartTrackingRefBased/>
  <w15:docId w15:val="{F522FC93-5936-4E46-9D4B-C88945BFB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327</Words>
  <Characters>1975</Characters>
  <Application>Microsoft Office Word</Application>
  <DocSecurity>0</DocSecurity>
  <Lines>39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Woodland</dc:creator>
  <cp:keywords/>
  <dc:description/>
  <cp:lastModifiedBy>Jacob Woodland</cp:lastModifiedBy>
  <cp:revision>10</cp:revision>
  <dcterms:created xsi:type="dcterms:W3CDTF">2026-02-21T16:16:00Z</dcterms:created>
  <dcterms:modified xsi:type="dcterms:W3CDTF">2026-02-21T16:43:00Z</dcterms:modified>
</cp:coreProperties>
</file>