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PORTFOLIOBENCHMARKASSOCIATION Table Creation</w:t>
      </w:r>
    </w:p>
    <w:p>
      <w:r>
        <w:t>Overview &amp; Purpose</w:t>
      </w:r>
    </w:p>
    <w:p>
      <w:r>
        <w:t xml:space="preserve">The PORTFOLIOBENCHMARKASSOCIATION script builds the mapping between portfolios and benchmarks (e.g., ESGD, EFIV). </w:t>
        <w:br/>
        <w:t xml:space="preserve">It supports relative performance reporting, benchmark-aware narratives, and compliance-ready factsheets. </w:t>
        <w:br/>
        <w:t>Each record pairs a PORTFOLIOCODE with a BENCHMARKCODE and assigns a RANK to represent primary/secondary associations.</w:t>
      </w:r>
    </w:p>
    <w:p>
      <w:r>
        <w:t>Technical Design &amp; Methodology</w:t>
      </w:r>
    </w:p>
    <w:p>
      <w:r>
        <w:t>• Inputs: list of portfolio codes (from PORTFOLIOGENERALINFORMATION) and a curated list of benchmark tickers (from YAML or inline config).</w:t>
        <w:br/>
        <w:t>• Logic: assign 1–3 benchmarks per portfolio with unique RANK ordering; optional deterministic seeding for reproducibility.</w:t>
        <w:br/>
        <w:t>• Output: tidy, Snowflake-ready mapping table keyed by (PORTFOLIOCODE, BENCHMARKCODE) with RANK constraint.</w:t>
      </w:r>
    </w:p>
    <w:p>
      <w:r>
        <w:t>Execution Instructions</w:t>
      </w:r>
    </w:p>
    <w:p>
      <w:r>
        <w:t>1) Load portfolio codes from synthetic_alternatives_portfolios.csv.</w:t>
        <w:br/>
        <w:t>2) Define benchmark tickers (e.g., ENRG, SHE, VOTE, ESGD, EFIV) or read from benchmark_config.yaml.</w:t>
        <w:br/>
        <w:t>3) Run the association script; preview mapping.</w:t>
        <w:br/>
        <w:t>4) Export to CSV or load to Snowflake and enforce uniqueness on (PORTFOLIOCODE, BENCHMARKCODE, RANK).</w:t>
      </w:r>
    </w:p>
    <w:p>
      <w:r>
        <w:t>Outputs &amp; Schema</w:t>
      </w:r>
    </w:p>
    <w:p>
      <w:r>
        <w:t xml:space="preserve">Columns: PORTFOLIOCODE (PK in portfolio table), BENCHMARKCODE (FK to benchmark tables), RANK (1 = primary). </w:t>
        <w:br/>
        <w:t>This table is designed to be joined to benchmark performance for relative and excess return analytics.</w:t>
      </w:r>
    </w:p>
    <w:p>
      <w:r>
        <w:t>Integration with Other Tables</w:t>
      </w:r>
    </w:p>
    <w:p>
      <w:r>
        <w:t>• PORTFOLIOBENCHMARKASSOCIATION → BENCHMARKPERFORMANCE via BENCHMARKCODE + HISTORYDATE</w:t>
        <w:br/>
        <w:t>• PORTFOLIOBENCHMARKASSOCIATION → PORTFOLIOPERFORMANCE via PORTFOLIOCODE (for relative metrics)</w:t>
        <w:br/>
        <w:t>• Supports factsheet sections that display one or more benchmarks with clear precedence.</w:t>
      </w:r>
    </w:p>
    <w:p>
      <w:r>
        <w:t>Testing &amp; QA Use Cases</w:t>
      </w:r>
    </w:p>
    <w:p>
      <w:r>
        <w:t>• Verify each portfolio has ≥1 benchmark and unique RANK sequence.</w:t>
        <w:br/>
        <w:t>• Ensure ESG-themed portfolios map to ESG-relevant benchmarks where applicable.</w:t>
        <w:br/>
        <w:t>• Test downstream joins to compute excess returns and benchmark-relative visuals.</w:t>
      </w:r>
    </w:p>
    <w:p>
      <w:r>
        <w:t>Next Steps &amp; Recommendations</w:t>
      </w:r>
    </w:p>
    <w:p>
      <w:r>
        <w:t>• Add effective date ranges (EFFECTIVE_FROM/TO) for benchmark changes over time.</w:t>
        <w:br/>
        <w:t>• Support blended benchmarks via weights and validate totals = 100% for each portfolio.</w:t>
        <w:br/>
        <w:t>• Automate mapping rules based on portfolio style, region, or ESG profile to minimize manual curation.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