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Kitchenware (Florence-2) vs Phase 1 COCO (YOLO11)</w:t>
        <w:br/>
        <w:t>Side-by-Side Evaluation Report</w:t>
      </w:r>
    </w:p>
    <w:p>
      <w:pPr>
        <w:jc w:val="center"/>
      </w:pPr>
      <w:r>
        <w:t>Robotic vision project — summary of runs and metrics.</w:t>
      </w:r>
    </w:p>
    <w:p/>
    <w:p>
      <w:pPr>
        <w:pStyle w:val="Heading1"/>
      </w:pPr>
      <w:r>
        <w:t>1. What we did (Kitchenware / Kaggle)</w:t>
      </w:r>
    </w:p>
    <w:p>
      <w:pPr>
        <w:pStyle w:val="ListBullet"/>
      </w:pPr>
      <w:r>
        <w:t>Data: Kaggle Kitchenware Classification (train.csv + images). Six classes: cup, fork, glass, knife, plate, spoon.</w:t>
      </w:r>
    </w:p>
    <w:p>
      <w:pPr>
        <w:pStyle w:val="ListBullet"/>
      </w:pPr>
      <w:r>
        <w:t>Adaptation: Built a benchmark manifest with one full-image bounding box per image so Florence-2 could be fine-tuned on the existing &lt;OD&gt; detection training path.</w:t>
      </w:r>
    </w:p>
    <w:p>
      <w:pPr>
        <w:pStyle w:val="ListBullet"/>
      </w:pPr>
      <w:r>
        <w:t>Splits: Stratified train / val / test_real_heldout (seed 42). Full manifest: 5,559 labeled images.</w:t>
      </w:r>
    </w:p>
    <w:p>
      <w:pPr>
        <w:pStyle w:val="ListBullet"/>
      </w:pPr>
      <w:r>
        <w:t>Model: microsoft/Florence-2-base, 1 epoch, AdamW 1e-5, grad accum 8, FP16, CUDA.</w:t>
      </w:r>
    </w:p>
    <w:p>
      <w:pPr>
        <w:pStyle w:val="Heading1"/>
      </w:pPr>
      <w:r>
        <w:t>2. Side-by-side: overall metrics (held-out test)</w:t>
      </w:r>
    </w:p>
    <w:p>
      <w:r>
        <w:t>Compare the headline numbers from each run’s evaluation JSON. Prefer mAP50 when comparing to Florence-2 (mAP50-95 is duplicated in the Florence report for this pipeline).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Florence-2 — Kitchenware (Kaggle)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YOLO11 — Phase 1 COCO benchmark</w:t>
            </w:r>
          </w:p>
        </w:tc>
      </w:tr>
      <w:tr>
        <w:tc>
          <w:tcPr>
            <w:tcW w:type="dxa" w:w="2880"/>
          </w:tcPr>
          <w:p>
            <w:r>
              <w:t>mAP50</w:t>
            </w:r>
          </w:p>
        </w:tc>
        <w:tc>
          <w:tcPr>
            <w:tcW w:type="dxa" w:w="2880"/>
          </w:tcPr>
          <w:p>
            <w:r>
              <w:t>0.368</w:t>
            </w:r>
          </w:p>
        </w:tc>
        <w:tc>
          <w:tcPr>
            <w:tcW w:type="dxa" w:w="2880"/>
          </w:tcPr>
          <w:p>
            <w:r>
              <w:t>0.453</w:t>
            </w:r>
          </w:p>
        </w:tc>
      </w:tr>
      <w:tr>
        <w:tc>
          <w:tcPr>
            <w:tcW w:type="dxa" w:w="2880"/>
          </w:tcPr>
          <w:p>
            <w:r>
              <w:t>mAP50-95</w:t>
            </w:r>
          </w:p>
        </w:tc>
        <w:tc>
          <w:tcPr>
            <w:tcW w:type="dxa" w:w="2880"/>
          </w:tcPr>
          <w:p>
            <w:r>
              <w:t>0.368 *</w:t>
            </w:r>
          </w:p>
        </w:tc>
        <w:tc>
          <w:tcPr>
            <w:tcW w:type="dxa" w:w="2880"/>
          </w:tcPr>
          <w:p>
            <w:r>
              <w:t>0.303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0.409</w:t>
            </w:r>
          </w:p>
        </w:tc>
        <w:tc>
          <w:tcPr>
            <w:tcW w:type="dxa" w:w="2880"/>
          </w:tcPr>
          <w:p>
            <w:r>
              <w:t>0.491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0.612</w:t>
            </w:r>
          </w:p>
        </w:tc>
        <w:tc>
          <w:tcPr>
            <w:tcW w:type="dxa" w:w="2880"/>
          </w:tcPr>
          <w:p>
            <w:r>
              <w:t>0.470</w:t>
            </w:r>
          </w:p>
        </w:tc>
      </w:tr>
    </w:tbl>
    <w:p/>
    <w:p>
      <w:r>
        <w:t>* Florence-2 evaluation report stores the same value for mAP50 and mAP50-95 in this codebase (see train_florence2 evaluation).</w:t>
      </w:r>
    </w:p>
    <w:p>
      <w:pPr>
        <w:pStyle w:val="Heading1"/>
      </w:pPr>
      <w:r>
        <w:t>3. Side-by-side: per-class metrics</w:t>
      </w:r>
    </w:p>
    <w:p>
      <w:r>
        <w:t>Kitchenware: mAP50 per class (Florence-2). COCO Phase 1: mAP50-95 per class from YOLO11 report (two classes: mug, book). These label sets are different — not directly comparable class-for-class.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Kitchenware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COCO Phase 1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2160"/>
          </w:tcPr>
          <w:p>
            <w:r>
              <w:t>cup</w:t>
            </w:r>
          </w:p>
        </w:tc>
        <w:tc>
          <w:tcPr>
            <w:tcW w:type="dxa" w:w="2160"/>
          </w:tcPr>
          <w:p>
            <w:r>
              <w:t>0.825</w:t>
            </w:r>
          </w:p>
        </w:tc>
        <w:tc>
          <w:tcPr>
            <w:tcW w:type="dxa" w:w="2160"/>
          </w:tcPr>
          <w:p>
            <w:r>
              <w:t>mug</w:t>
            </w:r>
          </w:p>
        </w:tc>
        <w:tc>
          <w:tcPr>
            <w:tcW w:type="dxa" w:w="2160"/>
          </w:tcPr>
          <w:p>
            <w:r>
              <w:t>0.478</w:t>
            </w:r>
          </w:p>
        </w:tc>
      </w:tr>
      <w:tr>
        <w:tc>
          <w:tcPr>
            <w:tcW w:type="dxa" w:w="2160"/>
          </w:tcPr>
          <w:p>
            <w:r>
              <w:t>plate</w:t>
            </w:r>
          </w:p>
        </w:tc>
        <w:tc>
          <w:tcPr>
            <w:tcW w:type="dxa" w:w="2160"/>
          </w:tcPr>
          <w:p>
            <w:r>
              <w:t>0.524</w:t>
            </w:r>
          </w:p>
        </w:tc>
        <w:tc>
          <w:tcPr>
            <w:tcW w:type="dxa" w:w="2160"/>
          </w:tcPr>
          <w:p>
            <w:r>
              <w:t>book</w:t>
            </w:r>
          </w:p>
        </w:tc>
        <w:tc>
          <w:tcPr>
            <w:tcW w:type="dxa" w:w="2160"/>
          </w:tcPr>
          <w:p>
            <w:r>
              <w:t>0.128</w:t>
            </w:r>
          </w:p>
        </w:tc>
      </w:tr>
      <w:tr>
        <w:tc>
          <w:tcPr>
            <w:tcW w:type="dxa" w:w="2160"/>
          </w:tcPr>
          <w:p>
            <w:r>
              <w:t>glass</w:t>
            </w:r>
          </w:p>
        </w:tc>
        <w:tc>
          <w:tcPr>
            <w:tcW w:type="dxa" w:w="2160"/>
          </w:tcPr>
          <w:p>
            <w:r>
              <w:t>0.483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knife</w:t>
            </w:r>
          </w:p>
        </w:tc>
        <w:tc>
          <w:tcPr>
            <w:tcW w:type="dxa" w:w="2160"/>
          </w:tcPr>
          <w:p>
            <w:r>
              <w:t>0.156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fork</w:t>
            </w:r>
          </w:p>
        </w:tc>
        <w:tc>
          <w:tcPr>
            <w:tcW w:type="dxa" w:w="2160"/>
          </w:tcPr>
          <w:p>
            <w:r>
              <w:t>0.129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spoon</w:t>
            </w:r>
          </w:p>
        </w:tc>
        <w:tc>
          <w:tcPr>
            <w:tcW w:type="dxa" w:w="2160"/>
          </w:tcPr>
          <w:p>
            <w:r>
              <w:t>0.093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4. Which performed better (summary)</w:t>
      </w:r>
    </w:p>
    <w:p>
      <w:pPr>
        <w:pStyle w:val="ListBullet"/>
      </w:pPr>
      <w:r>
        <w:t>mAP50 and precision: YOLO11 on the Phase 1 COCO benchmark is higher (0.453 vs 0.368; precision 0.491 vs 0.409).</w:t>
      </w:r>
    </w:p>
    <w:p>
      <w:pPr>
        <w:pStyle w:val="ListBullet"/>
      </w:pPr>
      <w:r>
        <w:t>Recall: Florence-2 on kitchenware is higher (0.612 vs 0.470).</w:t>
      </w:r>
    </w:p>
    <w:p>
      <w:pPr>
        <w:pStyle w:val="ListBullet"/>
      </w:pPr>
      <w:r>
        <w:t>Why not a single winner: different number of classes (6 vs 2), different supervision (full-image pseudo-boxes vs real COCO boxes), and YOLO trained many epochs on a dedicated detector task vs one epoch Florence-2 fine-tuning.</w:t>
      </w:r>
    </w:p>
    <w:p>
      <w:pPr>
        <w:pStyle w:val="ListBullet"/>
      </w:pPr>
      <w:r>
        <w:t>YOLO is stronger on strict detection AP for its two-class COCO subset; Florence-2 shows strong signal on some kitchenware classes (e.g. cup) under the adapted setup.</w:t>
      </w:r>
    </w:p>
    <w:p>
      <w:pPr>
        <w:pStyle w:val="Heading1"/>
      </w:pPr>
      <w:r>
        <w:t>5. File references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Kitchenware Florence-2 report</w:t>
            </w:r>
          </w:p>
        </w:tc>
        <w:tc>
          <w:tcPr>
            <w:tcW w:type="dxa" w:w="4320"/>
          </w:tcPr>
          <w:p>
            <w:r>
              <w:t>artifacts/reports/kitchenware-kaggle-florence2-full.json</w:t>
            </w:r>
          </w:p>
        </w:tc>
      </w:tr>
      <w:tr>
        <w:tc>
          <w:tcPr>
            <w:tcW w:type="dxa" w:w="4320"/>
          </w:tcPr>
          <w:p>
            <w:r>
              <w:t>Kitchenware manifest</w:t>
            </w:r>
          </w:p>
        </w:tc>
        <w:tc>
          <w:tcPr>
            <w:tcW w:type="dxa" w:w="4320"/>
          </w:tcPr>
          <w:p>
            <w:r>
              <w:t>artifacts/manifests/kitchenware-kaggle-full.json</w:t>
            </w:r>
          </w:p>
        </w:tc>
      </w:tr>
      <w:tr>
        <w:tc>
          <w:tcPr>
            <w:tcW w:type="dxa" w:w="4320"/>
          </w:tcPr>
          <w:p>
            <w:r>
              <w:t>YOLO11 best eval</w:t>
            </w:r>
          </w:p>
        </w:tc>
        <w:tc>
          <w:tcPr>
            <w:tcW w:type="dxa" w:w="4320"/>
          </w:tcPr>
          <w:p>
            <w:r>
              <w:t>artifacts/reports/yolo11-best-eval.json</w:t>
            </w:r>
          </w:p>
        </w:tc>
      </w:tr>
      <w:tr>
        <w:tc>
          <w:tcPr>
            <w:tcW w:type="dxa" w:w="4320"/>
          </w:tcPr>
          <w:p>
            <w:r>
              <w:t>Phase 1 YOLO brief</w:t>
            </w:r>
          </w:p>
        </w:tc>
        <w:tc>
          <w:tcPr>
            <w:tcW w:type="dxa" w:w="4320"/>
          </w:tcPr>
          <w:p>
            <w:r>
              <w:t>artifacts/reports/phase1-summary-brief.md</w:t>
            </w:r>
          </w:p>
        </w:tc>
      </w:tr>
      <w:tr>
        <w:tc>
          <w:tcPr>
            <w:tcW w:type="dxa" w:w="4320"/>
          </w:tcPr>
          <w:p>
            <w:r>
              <w:t>Markdown version of this report</w:t>
            </w:r>
          </w:p>
        </w:tc>
        <w:tc>
          <w:tcPr>
            <w:tcW w:type="dxa" w:w="4320"/>
          </w:tcPr>
          <w:p>
            <w:r>
              <w:t>artifacts/reports/kitchenware-florence2-vs-yolo-coco-report.md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