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rFonts w:ascii="Symbola" w:hAnsi="Symbola"/>
        </w:rPr>
      </w:pPr>
      <w:r>
        <w:rPr>
          <w:rFonts w:ascii="Symbola" w:hAnsi="Symbola"/>
        </w:rPr>
        <w:t>Wax, minds, and Aristotelian bodies</w:t>
      </w:r>
    </w:p>
    <w:p>
      <w:pPr>
        <w:pStyle w:val="Normal"/>
        <w:jc w:val="both"/>
        <w:rPr>
          <w:rFonts w:ascii="Symbola" w:hAnsi="Symbola"/>
        </w:rPr>
      </w:pPr>
      <w:r>
        <w:rPr>
          <w:rFonts w:ascii="Symbola" w:hAnsi="Symbola"/>
        </w:rPr>
      </w:r>
    </w:p>
    <w:p>
      <w:pPr>
        <w:pStyle w:val="Normal"/>
        <w:ind w:left="720" w:hanging="0"/>
        <w:jc w:val="both"/>
        <w:rPr>
          <w:rFonts w:ascii="Symbola" w:hAnsi="Symbola"/>
        </w:rPr>
      </w:pPr>
      <w:r>
        <w:rPr>
          <w:rFonts w:ascii="Symbola" w:hAnsi="Symbola"/>
          <w:b/>
        </w:rPr>
        <w:t xml:space="preserve">Abstract </w:t>
      </w:r>
      <w:r>
        <w:rPr>
          <w:rFonts w:ascii="Symbola" w:hAnsi="Symbola"/>
          <w:b w:val="false"/>
          <w:bCs w:val="false"/>
        </w:rPr>
        <w:t>Since Burnyeat’s landmark 1992 paper, a large body of literature has arisen around its claim that functionalism presupposes a distinctly modern conception of matter, one first (or at least most famously) found in the physics of Rene Descartes and his followers. Consequently, Aristotle, previously regarded as the forefather of modern functionalism, could not himself have been a functionalist.</w:t>
      </w:r>
    </w:p>
    <w:p>
      <w:pPr>
        <w:pStyle w:val="Normal"/>
        <w:ind w:left="720" w:hanging="0"/>
        <w:jc w:val="both"/>
        <w:rPr>
          <w:rFonts w:ascii="Symbola" w:hAnsi="Symbola"/>
        </w:rPr>
      </w:pPr>
      <w:r>
        <w:rPr>
          <w:rFonts w:ascii="Symbola" w:hAnsi="Symbola"/>
        </w:rPr>
        <w:t xml:space="preserve">Only a little effort, however, has been put forth to explain where the modern conception of matter on which functionalism purportedly rests diverges from that found in Aristotle. I show how an answer to this question is aided not merely by Aristotle and Descartes’ texts on a common topic, but also by Descartes’ polemical </w:t>
      </w:r>
      <w:r>
        <w:rPr>
          <w:rFonts w:ascii="Symbola" w:hAnsi="Symbola"/>
        </w:rPr>
        <w:t xml:space="preserve">employment of </w:t>
      </w:r>
      <w:r>
        <w:rPr>
          <w:rFonts w:ascii="Symbola" w:hAnsi="Symbola"/>
        </w:rPr>
        <w:t xml:space="preserve">an </w:t>
      </w:r>
      <w:r>
        <w:rPr>
          <w:rFonts w:ascii="Symbola" w:hAnsi="Symbola"/>
        </w:rPr>
        <w:t xml:space="preserve"> example </w:t>
      </w:r>
      <w:r>
        <w:rPr>
          <w:rFonts w:ascii="Symbola" w:hAnsi="Symbola"/>
        </w:rPr>
        <w:t xml:space="preserve">found frequently in Aristotle’s own texts: that of </w:t>
      </w:r>
      <w:r>
        <w:rPr>
          <w:rFonts w:ascii="Symbola" w:hAnsi="Symbola"/>
        </w:rPr>
        <w:t xml:space="preserve">the relation of a piece of wax to its shape. </w:t>
      </w:r>
      <w:r>
        <w:rPr>
          <w:rFonts w:ascii="Symbola" w:hAnsi="Symbola"/>
        </w:rPr>
        <w:t>Through examining Aristotle’s and Descartes’ uses of this example, we find that w</w:t>
      </w:r>
      <w:r>
        <w:rPr>
          <w:rFonts w:ascii="Symbola" w:hAnsi="Symbola"/>
        </w:rPr>
        <w:t xml:space="preserve">hile there are major differences between an Aristotelian and a Cartesian conception of matter, the </w:t>
      </w:r>
      <w:r>
        <w:rPr>
          <w:rFonts w:ascii="Symbola" w:hAnsi="Symbola"/>
        </w:rPr>
        <w:t xml:space="preserve">Aristotle’s </w:t>
      </w:r>
      <w:r>
        <w:rPr>
          <w:rFonts w:ascii="Symbola" w:hAnsi="Symbola"/>
        </w:rPr>
        <w:t>account is by no means incredible: Aristotle himself addresses a conception in many respects like that given by Descartes, and explicitly rejects it.</w:t>
      </w:r>
    </w:p>
    <w:p>
      <w:pPr>
        <w:pStyle w:val="Normal"/>
        <w:jc w:val="both"/>
        <w:rPr>
          <w:rFonts w:ascii="Symbola" w:hAnsi="Symbola"/>
        </w:rPr>
      </w:pPr>
      <w:r>
        <w:rPr>
          <w:rFonts w:ascii="Symbola" w:hAnsi="Symbola"/>
        </w:rPr>
        <w:t>Keywords: Aristotle; Descartes; Wax experiment; hylomorphism; mind-body problem; functionalism; perception, ancient theories of; matter, ancient theories of.</w:t>
      </w:r>
    </w:p>
    <w:p>
      <w:pPr>
        <w:pStyle w:val="Heading1"/>
        <w:jc w:val="both"/>
        <w:rPr>
          <w:rFonts w:ascii="Symbola" w:hAnsi="Symbola"/>
        </w:rPr>
      </w:pPr>
      <w:r>
        <w:rPr>
          <w:rFonts w:ascii="Symbola" w:hAnsi="Symbola"/>
        </w:rPr>
        <w:t>1 Introduction</w:t>
      </w:r>
    </w:p>
    <w:p>
      <w:pPr>
        <w:pStyle w:val="Normal"/>
        <w:ind w:firstLine="180"/>
        <w:jc w:val="both"/>
        <w:rPr/>
      </w:pPr>
      <w:r>
        <w:rPr>
          <w:rFonts w:ascii="Symbola" w:hAnsi="Symbola"/>
        </w:rPr>
        <w:t xml:space="preserve">This article juxtaposes two claims of contemporary Aristotle scholarship, one larger, one smaller. The larger claim is that appropriations of </w:t>
      </w:r>
      <w:r>
        <w:rPr>
          <w:rFonts w:ascii="Symbola" w:hAnsi="Symbola"/>
          <w:i/>
          <w:iCs/>
        </w:rPr>
        <w:t xml:space="preserve">Aristotelian </w:t>
      </w:r>
      <w:r>
        <w:rPr>
          <w:rFonts w:ascii="Symbola" w:hAnsi="Symbola"/>
          <w:i/>
          <w:iCs/>
        </w:rPr>
        <w:t xml:space="preserve">hylomorphism, </w:t>
      </w:r>
      <w:r>
        <w:rPr>
          <w:rFonts w:ascii="Symbola" w:hAnsi="Symbola"/>
        </w:rPr>
        <w:t>according to which  terrestrial beings are composites of matter and form,</w:t>
      </w:r>
      <w:r>
        <w:rPr>
          <w:rFonts w:ascii="Symbola" w:hAnsi="Symbola"/>
        </w:rPr>
        <w:t xml:space="preserve"> </w:t>
      </w:r>
      <w:r>
        <w:rPr>
          <w:rFonts w:ascii="Symbola" w:hAnsi="Symbola"/>
        </w:rPr>
        <w:t xml:space="preserve">by advocates of functionalism in the philosophy of perception, according to which perceptual states are defined by their function rather than their makeup, </w:t>
      </w:r>
      <w:r>
        <w:rPr>
          <w:rFonts w:ascii="Symbola" w:hAnsi="Symbola"/>
        </w:rPr>
        <w:t xml:space="preserve">fail to </w:t>
      </w:r>
      <w:r>
        <w:rPr>
          <w:rFonts w:ascii="Symbola" w:hAnsi="Symbola"/>
        </w:rPr>
        <w:t>appreciate</w:t>
      </w:r>
      <w:r>
        <w:rPr>
          <w:rFonts w:ascii="Symbola" w:hAnsi="Symbola"/>
        </w:rPr>
        <w:t xml:space="preserve"> just how different Aristotle’s conception of matter is from our own. A corollary of this is that it is a mistake to view Aristotle as the father of modern functionalis</w:t>
      </w:r>
      <w:r>
        <w:rPr>
          <w:rFonts w:ascii="Symbola" w:hAnsi="Symbola"/>
        </w:rPr>
        <w:t>m</w:t>
      </w:r>
      <w:r>
        <w:rPr>
          <w:rFonts w:ascii="Symbola" w:hAnsi="Symbola"/>
        </w:rPr>
        <w:t xml:space="preserve">: </w:t>
      </w:r>
      <w:r>
        <w:rPr>
          <w:rFonts w:ascii="Symbola" w:hAnsi="Symbola"/>
        </w:rPr>
        <w:t xml:space="preserve">instead, functionalist accounts </w:t>
      </w:r>
      <w:r>
        <w:rPr>
          <w:rFonts w:ascii="Symbola" w:hAnsi="Symbola"/>
        </w:rPr>
        <w:t xml:space="preserve">simply graft a notion of function onto a distinctly </w:t>
      </w:r>
      <w:r>
        <w:rPr>
          <w:rFonts w:ascii="Symbola" w:hAnsi="Symbola"/>
          <w:i/>
        </w:rPr>
        <w:t xml:space="preserve">modern </w:t>
      </w:r>
      <w:r>
        <w:rPr>
          <w:rFonts w:ascii="Symbola" w:hAnsi="Symbola"/>
        </w:rPr>
        <w:t xml:space="preserve">conception of matter </w:t>
      </w:r>
      <w:r>
        <w:rPr>
          <w:rFonts w:ascii="Symbola" w:hAnsi="Symbola"/>
        </w:rPr>
        <w:t>originating with Descartes</w:t>
      </w:r>
      <w:r>
        <w:rPr>
          <w:rFonts w:ascii="Symbola" w:hAnsi="Symbola"/>
        </w:rPr>
        <w:t>, one that Aristotle could not possibly have accepted.</w:t>
      </w:r>
      <w:r>
        <w:rPr>
          <w:rStyle w:val="EndnoteAnchor"/>
          <w:rFonts w:ascii="Symbola" w:hAnsi="Symbola"/>
        </w:rPr>
        <w:endnoteReference w:id="2"/>
      </w:r>
    </w:p>
    <w:p>
      <w:pPr>
        <w:pStyle w:val="Normal"/>
        <w:ind w:firstLine="180"/>
        <w:jc w:val="both"/>
        <w:rPr/>
      </w:pPr>
      <w:r>
        <w:rPr>
          <w:rFonts w:ascii="Symbola" w:hAnsi="Symbola"/>
        </w:rPr>
        <w:t>The smaller claim is that against this backdrop, the examples Aristotle draws on to illuminate the soul-body relation, and particularly the various wax examples Aristotle uses, turn out to be unilluminating.</w:t>
      </w:r>
      <w:r>
        <w:rPr>
          <w:rStyle w:val="EndnoteAnchor"/>
          <w:rFonts w:ascii="Symbola" w:hAnsi="Symbola"/>
        </w:rPr>
        <w:endnoteReference w:id="3"/>
      </w:r>
    </w:p>
    <w:p>
      <w:pPr>
        <w:pStyle w:val="Normal"/>
        <w:ind w:firstLine="180"/>
        <w:jc w:val="both"/>
        <w:rPr/>
      </w:pPr>
      <w:r>
        <w:rPr>
          <w:rFonts w:ascii="Symbola" w:hAnsi="Symbola"/>
        </w:rPr>
        <w:t xml:space="preserve">In what follows, I show how </w:t>
      </w:r>
      <w:r>
        <w:rPr>
          <w:rFonts w:ascii="Symbola" w:hAnsi="Symbola"/>
        </w:rPr>
        <w:t xml:space="preserve">addressing the smaller claim allows us pinpoint exactly how the larger critique depends on a broadly Cartesian conception of matter: </w:t>
      </w:r>
      <w:r>
        <w:rPr>
          <w:rFonts w:ascii="Symbola" w:hAnsi="Symbola"/>
        </w:rPr>
        <w:t>Descartes’ usage of the wax example in his own work represents a polemical engagement with Aristotle that his earliest readers would have immediately recognized. Because of this, the uses of this example across both authors’ bodies of work provides intellectual historians with a particularly useful interpretive key to understanding where the Aristotelian and Cartesian conceptions of matter diverge.</w:t>
      </w:r>
    </w:p>
    <w:p>
      <w:pPr>
        <w:pStyle w:val="Normal"/>
        <w:ind w:firstLine="180"/>
        <w:jc w:val="both"/>
        <w:rPr>
          <w:rFonts w:ascii="Symbola" w:hAnsi="Symbola"/>
        </w:rPr>
      </w:pPr>
      <w:r>
        <w:rPr>
          <w:rFonts w:ascii="Symbola" w:hAnsi="Symbola"/>
        </w:rPr>
        <w:t xml:space="preserve">The argument </w:t>
      </w:r>
      <w:r>
        <w:rPr>
          <w:rFonts w:ascii="Symbola" w:hAnsi="Symbola"/>
        </w:rPr>
        <w:t>divides into two parts. The first par</w:t>
      </w:r>
      <w:r>
        <w:rPr>
          <w:rFonts w:ascii="Symbola" w:hAnsi="Symbola"/>
        </w:rPr>
        <w:t>t</w:t>
      </w:r>
      <w:r>
        <w:rPr>
          <w:rFonts w:ascii="Symbola" w:hAnsi="Symbola"/>
        </w:rPr>
        <w:t xml:space="preserve"> </w:t>
      </w:r>
      <w:r>
        <w:rPr>
          <w:rFonts w:ascii="Symbola" w:hAnsi="Symbola"/>
        </w:rPr>
        <w:t xml:space="preserve">analyzes </w:t>
      </w:r>
      <w:r>
        <w:rPr>
          <w:rFonts w:ascii="Symbola" w:hAnsi="Symbola"/>
        </w:rPr>
        <w:t xml:space="preserve">Descartes’ appropriation of the wax example in the latter half of the second Meditation and elsewhere, </w:t>
      </w:r>
      <w:r>
        <w:rPr>
          <w:rFonts w:ascii="Symbola" w:hAnsi="Symbola"/>
        </w:rPr>
        <w:t>then catalogues the uses to which Descartes put his example</w:t>
      </w:r>
      <w:r>
        <w:rPr>
          <w:rFonts w:ascii="Symbola" w:hAnsi="Symbola"/>
        </w:rPr>
        <w:t xml:space="preserve">. </w:t>
      </w:r>
      <w:r>
        <w:rPr>
          <w:rFonts w:ascii="Symbola" w:hAnsi="Symbola"/>
        </w:rPr>
        <w:t xml:space="preserve">I then provide a complete list of </w:t>
      </w:r>
      <w:r>
        <w:rPr>
          <w:rFonts w:ascii="Symbola" w:hAnsi="Symbola"/>
        </w:rPr>
        <w:t xml:space="preserve">Aristotle’s uses of wax examples throughout his corpus, </w:t>
      </w:r>
      <w:r>
        <w:rPr>
          <w:rFonts w:ascii="Symbola" w:hAnsi="Symbola"/>
        </w:rPr>
        <w:t xml:space="preserve">and </w:t>
      </w:r>
      <w:r>
        <w:rPr>
          <w:rFonts w:ascii="Symbola" w:hAnsi="Symbola"/>
        </w:rPr>
        <w:t xml:space="preserve">explain how they function </w:t>
      </w:r>
      <w:r>
        <w:rPr>
          <w:rFonts w:ascii="Symbola" w:hAnsi="Symbola"/>
        </w:rPr>
        <w:t xml:space="preserve">both </w:t>
      </w:r>
      <w:r>
        <w:rPr>
          <w:rFonts w:ascii="Symbola" w:hAnsi="Symbola"/>
        </w:rPr>
        <w:t xml:space="preserve">in Aristotelian physics broadly </w:t>
      </w:r>
      <w:r>
        <w:rPr>
          <w:rFonts w:ascii="Symbola" w:hAnsi="Symbola"/>
        </w:rPr>
        <w:t xml:space="preserve">and specifically in </w:t>
      </w:r>
      <w:r>
        <w:rPr>
          <w:rFonts w:ascii="Symbola" w:hAnsi="Symbola"/>
        </w:rPr>
        <w:t xml:space="preserve">Aristotle’s accounts of perception and memory. </w:t>
      </w:r>
      <w:r>
        <w:rPr>
          <w:rFonts w:ascii="Symbola" w:hAnsi="Symbola"/>
        </w:rPr>
        <w:t xml:space="preserve">This then allows us to move to </w:t>
      </w:r>
      <w:r>
        <w:rPr>
          <w:rFonts w:ascii="Symbola" w:hAnsi="Symbola"/>
        </w:rPr>
        <w:t xml:space="preserve">the primary arguments against Aristotle’s hylomorphic account of perception, </w:t>
      </w:r>
      <w:r>
        <w:rPr>
          <w:rFonts w:ascii="Symbola" w:hAnsi="Symbola"/>
        </w:rPr>
        <w:t>and show in what respect they themselves depend on a broadly Cartesian conception of matter</w:t>
      </w:r>
      <w:r>
        <w:rPr>
          <w:rFonts w:ascii="Symbola" w:hAnsi="Symbola"/>
        </w:rPr>
        <w:t xml:space="preserve">. </w:t>
      </w:r>
    </w:p>
    <w:p>
      <w:pPr>
        <w:pStyle w:val="Heading1"/>
        <w:rPr>
          <w:rFonts w:ascii="Symbola" w:hAnsi="Symbola"/>
        </w:rPr>
      </w:pPr>
      <w:r>
        <w:rPr>
          <w:rFonts w:ascii="Symbola" w:hAnsi="Symbola"/>
        </w:rPr>
        <w:t>2</w:t>
      </w:r>
      <w:r>
        <w:rPr>
          <w:rFonts w:ascii="Symbola" w:hAnsi="Symbola"/>
        </w:rPr>
        <w:t xml:space="preserve"> </w:t>
      </w:r>
      <w:r>
        <w:rPr>
          <w:rFonts w:ascii="Symbola" w:hAnsi="Symbola"/>
        </w:rPr>
        <w:t>T</w:t>
      </w:r>
      <w:r>
        <w:rPr>
          <w:rFonts w:ascii="Symbola" w:hAnsi="Symbola"/>
        </w:rPr>
        <w:t xml:space="preserve">he wax </w:t>
      </w:r>
      <w:r>
        <w:rPr>
          <w:rFonts w:ascii="Symbola" w:hAnsi="Symbola"/>
        </w:rPr>
        <w:t xml:space="preserve">example </w:t>
      </w:r>
      <w:r>
        <w:rPr>
          <w:rFonts w:ascii="Symbola" w:hAnsi="Symbola"/>
        </w:rPr>
        <w:t xml:space="preserve">in </w:t>
      </w:r>
      <w:r>
        <w:rPr>
          <w:rFonts w:ascii="Symbola" w:hAnsi="Symbola"/>
        </w:rPr>
        <w:t xml:space="preserve">Descartes’ </w:t>
      </w:r>
      <w:r>
        <w:rPr>
          <w:rFonts w:ascii="Symbola" w:hAnsi="Symbola"/>
          <w:i/>
        </w:rPr>
        <w:t xml:space="preserve">Meditations </w:t>
      </w:r>
      <w:r>
        <w:rPr>
          <w:rFonts w:ascii="Symbola" w:hAnsi="Symbola"/>
          <w:i w:val="false"/>
          <w:iCs w:val="false"/>
        </w:rPr>
        <w:t xml:space="preserve">and </w:t>
      </w:r>
      <w:r>
        <w:rPr>
          <w:rFonts w:ascii="Symbola" w:hAnsi="Symbola"/>
          <w:i/>
          <w:iCs/>
        </w:rPr>
        <w:t>Replies</w:t>
      </w:r>
    </w:p>
    <w:p>
      <w:pPr>
        <w:pStyle w:val="Normal"/>
        <w:tabs>
          <w:tab w:val="clear" w:pos="720"/>
          <w:tab w:val="left" w:pos="2160" w:leader="none"/>
        </w:tabs>
        <w:ind w:firstLine="180"/>
        <w:jc w:val="both"/>
        <w:rPr/>
      </w:pPr>
      <w:r>
        <w:rPr>
          <w:rFonts w:ascii="Symbola" w:hAnsi="Symbola"/>
        </w:rPr>
        <w:t xml:space="preserve">Descartes makes use of wax examples in two places in the </w:t>
      </w:r>
      <w:r>
        <w:rPr>
          <w:rFonts w:ascii="Symbola" w:hAnsi="Symbola"/>
          <w:i/>
        </w:rPr>
        <w:t>Meditations</w:t>
      </w:r>
      <w:r>
        <w:rPr>
          <w:rFonts w:ascii="Symbola" w:hAnsi="Symbola"/>
        </w:rPr>
        <w:t xml:space="preserve">: in the latter half of Meditation II and in paragraph 19 of Meditation III. </w:t>
      </w:r>
      <w:r>
        <w:rPr>
          <w:rFonts w:ascii="Symbola" w:hAnsi="Symbola"/>
        </w:rPr>
        <w:t xml:space="preserve">Descartes appropriates </w:t>
      </w:r>
      <w:r>
        <w:rPr>
          <w:rFonts w:ascii="Symbola" w:hAnsi="Symbola"/>
        </w:rPr>
        <w:t xml:space="preserve">the wax example bears </w:t>
      </w:r>
      <w:r>
        <w:rPr>
          <w:rFonts w:ascii="Symbola" w:hAnsi="Symbola"/>
        </w:rPr>
        <w:t xml:space="preserve">in explaining </w:t>
      </w:r>
      <w:r>
        <w:rPr>
          <w:rFonts w:ascii="Symbola" w:hAnsi="Symbola"/>
        </w:rPr>
        <w:t>the perception and the identity of material objects, in the context of a broader discussion o</w:t>
      </w:r>
      <w:r>
        <w:rPr>
          <w:rFonts w:ascii="Symbola" w:hAnsi="Symbola"/>
        </w:rPr>
        <w:t>n</w:t>
      </w:r>
      <w:r>
        <w:rPr>
          <w:rFonts w:ascii="Symbola" w:hAnsi="Symbola"/>
        </w:rPr>
        <w:t xml:space="preserve"> the nature of the soul or mind – the same </w:t>
      </w:r>
      <w:r>
        <w:rPr>
          <w:rFonts w:ascii="Symbola" w:hAnsi="Symbola"/>
        </w:rPr>
        <w:t xml:space="preserve">problems to which Aristotle applies the example, in the same </w:t>
      </w:r>
      <w:r>
        <w:rPr>
          <w:rFonts w:ascii="Symbola" w:hAnsi="Symbola"/>
        </w:rPr>
        <w:t xml:space="preserve">context, in </w:t>
      </w:r>
      <w:r>
        <w:rPr>
          <w:rFonts w:ascii="Symbola" w:hAnsi="Symbola"/>
          <w:i/>
        </w:rPr>
        <w:t>De Anima</w:t>
      </w:r>
      <w:r>
        <w:rPr>
          <w:rFonts w:ascii="Symbola" w:hAnsi="Symbola"/>
        </w:rPr>
        <w:t xml:space="preserve"> II.1 and 12. Descartes quotes the Greek text of the </w:t>
      </w:r>
      <w:r>
        <w:rPr>
          <w:rFonts w:ascii="Symbola" w:hAnsi="Symbola"/>
          <w:i/>
        </w:rPr>
        <w:t xml:space="preserve">De Anima </w:t>
      </w:r>
      <w:r>
        <w:rPr>
          <w:rFonts w:ascii="Symbola" w:hAnsi="Symbola"/>
        </w:rPr>
        <w:t>in the reply to the fourth set of objections,</w:t>
      </w:r>
      <w:r>
        <w:rPr>
          <w:rStyle w:val="EndnoteCharacters"/>
          <w:rStyle w:val="EndnoteAnchor"/>
          <w:rFonts w:ascii="Symbola" w:hAnsi="Symbola"/>
        </w:rPr>
        <w:endnoteReference w:id="4"/>
      </w:r>
      <w:r>
        <w:rPr>
          <w:rFonts w:ascii="Symbola" w:hAnsi="Symbola"/>
        </w:rPr>
        <w:t xml:space="preserve"> and several </w:t>
      </w:r>
      <w:r>
        <w:rPr>
          <w:rFonts w:ascii="Symbola" w:hAnsi="Symbola"/>
        </w:rPr>
        <w:t xml:space="preserve">other </w:t>
      </w:r>
      <w:r>
        <w:rPr>
          <w:rFonts w:ascii="Symbola" w:hAnsi="Symbola"/>
        </w:rPr>
        <w:t xml:space="preserve">places in the objections and replies </w:t>
      </w:r>
      <w:r>
        <w:rPr>
          <w:rFonts w:ascii="Symbola" w:hAnsi="Symbola"/>
        </w:rPr>
        <w:t xml:space="preserve">help explain </w:t>
      </w:r>
      <w:r>
        <w:rPr>
          <w:rFonts w:ascii="Symbola" w:hAnsi="Symbola"/>
        </w:rPr>
        <w:t xml:space="preserve">Descartes’ </w:t>
      </w:r>
      <w:r>
        <w:rPr>
          <w:rFonts w:ascii="Symbola" w:hAnsi="Symbola"/>
        </w:rPr>
        <w:t xml:space="preserve">intent </w:t>
      </w:r>
      <w:r>
        <w:rPr>
          <w:rFonts w:ascii="Symbola" w:hAnsi="Symbola"/>
        </w:rPr>
        <w:t>in th</w:t>
      </w:r>
      <w:r>
        <w:rPr>
          <w:rFonts w:ascii="Symbola" w:hAnsi="Symbola"/>
        </w:rPr>
        <w:t xml:space="preserve">e </w:t>
      </w:r>
      <w:r>
        <w:rPr>
          <w:rFonts w:ascii="Symbola" w:hAnsi="Symbola"/>
          <w:i/>
          <w:iCs/>
        </w:rPr>
        <w:t>Meditations</w:t>
      </w:r>
      <w:r>
        <w:rPr>
          <w:rFonts w:ascii="Symbola" w:hAnsi="Symbola"/>
          <w:i/>
          <w:iCs/>
        </w:rPr>
        <w:t xml:space="preserve"> </w:t>
      </w:r>
      <w:r>
        <w:rPr>
          <w:rFonts w:ascii="Symbola" w:hAnsi="Symbola"/>
        </w:rPr>
        <w:t xml:space="preserve">passages. </w:t>
      </w:r>
      <w:r>
        <w:rPr>
          <w:rFonts w:ascii="Symbola" w:hAnsi="Symbola"/>
        </w:rPr>
        <w:t xml:space="preserve">He summarizes the conclusions he derives from </w:t>
      </w:r>
      <w:r>
        <w:rPr>
          <w:rFonts w:ascii="Symbola" w:hAnsi="Symbola"/>
        </w:rPr>
        <w:t>the wax experiment in the second meditation, in that meditation’s final paragraph:</w:t>
      </w:r>
    </w:p>
    <w:p>
      <w:pPr>
        <w:pStyle w:val="Normal"/>
        <w:ind w:left="720" w:hanging="0"/>
        <w:jc w:val="both"/>
        <w:rPr/>
      </w:pPr>
      <w:r>
        <w:rPr>
          <w:rFonts w:ascii="Symbola" w:hAnsi="Symbola"/>
        </w:rPr>
        <w:t>For because it now be known to me that [1] bodies themselves are properly perceived [1a] not by the senses or [1b] by the faculty of imagining, but rather [2] by the intellect alone; and that [1’] bodies are perceived not from thence that they would be touched or seen, but rather [2’] from thence only that they were to be understood: I cognize overtly that [3] nothing can be perceived by me more easily or more evidently than my mind.</w:t>
      </w:r>
      <w:r>
        <w:rPr>
          <w:rStyle w:val="EndnoteAnchor"/>
          <w:rFonts w:ascii="Symbola" w:hAnsi="Symbola"/>
        </w:rPr>
        <w:endnoteReference w:id="5"/>
      </w:r>
    </w:p>
    <w:p>
      <w:pPr>
        <w:pStyle w:val="Normal"/>
        <w:jc w:val="both"/>
        <w:rPr/>
      </w:pPr>
      <w:r>
        <w:rPr>
          <w:rFonts w:ascii="Symbola" w:hAnsi="Symbola"/>
        </w:rPr>
        <w:t>Claims [1a], [1b], and [2] are linked as part of a disjunctive syllogism: since bodies are perceived neither by sense nor imagination,</w:t>
      </w:r>
      <w:r>
        <w:rPr>
          <w:rStyle w:val="EndnoteCharacters"/>
          <w:rStyle w:val="EndnoteAnchor"/>
          <w:rFonts w:ascii="Symbola" w:hAnsi="Symbola"/>
        </w:rPr>
        <w:endnoteReference w:id="6"/>
      </w:r>
      <w:r>
        <w:rPr>
          <w:rFonts w:ascii="Symbola" w:hAnsi="Symbola"/>
        </w:rPr>
        <w:t xml:space="preserve"> and perception must take place either by imagination or some particular sense or intellect, it follows that perception takes place only by intellect. Though claims [1] and [2] are distinct from [1’] and [2’], Descartes groups them together. [1] says that bodies are perceived not by the </w:t>
      </w:r>
      <w:r>
        <w:rPr>
          <w:rFonts w:ascii="Symbola" w:hAnsi="Symbola"/>
          <w:i/>
        </w:rPr>
        <w:t>faculty</w:t>
      </w:r>
      <w:r>
        <w:rPr>
          <w:rFonts w:ascii="Symbola" w:hAnsi="Symbola"/>
        </w:rPr>
        <w:t xml:space="preserve"> of sense, but by the intellect; while [1’] says that bodies are perceived not by </w:t>
      </w:r>
      <w:r>
        <w:rPr>
          <w:rFonts w:ascii="Symbola" w:hAnsi="Symbola"/>
          <w:i/>
        </w:rPr>
        <w:t>act</w:t>
      </w:r>
      <w:r>
        <w:rPr>
          <w:rFonts w:ascii="Symbola" w:hAnsi="Symbola"/>
        </w:rPr>
        <w:t>s of sensing, but by those of understanding. For instance, sight is not, strictly speaking, performed by the eye, but by the mind; and it is not enacted by a seeing identifiable with some underlying physiological process, but by the seeing that is a mode of thinking. As he explains the example in the 2</w:t>
      </w:r>
      <w:r>
        <w:rPr>
          <w:rFonts w:ascii="Symbola" w:hAnsi="Symbola"/>
          <w:vertAlign w:val="superscript"/>
        </w:rPr>
        <w:t>nd</w:t>
      </w:r>
      <w:r>
        <w:rPr>
          <w:rFonts w:ascii="Symbola" w:hAnsi="Symbola"/>
        </w:rPr>
        <w:t xml:space="preserve"> replies, “sensing one thing without some other thing is merely a matter of having an idea of one thing and understanding that this idea is not the same as the idea of the other thing.”</w:t>
      </w:r>
      <w:r>
        <w:rPr>
          <w:rStyle w:val="EndnoteCharacters"/>
          <w:rStyle w:val="EndnoteAnchor"/>
          <w:rFonts w:ascii="Symbola" w:hAnsi="Symbola"/>
        </w:rPr>
        <w:endnoteReference w:id="7"/>
      </w:r>
      <w:r>
        <w:rPr>
          <w:rFonts w:ascii="Symbola" w:hAnsi="Symbola"/>
        </w:rPr>
        <w:t xml:space="preserve"> The third claim gives the titular aim of this part of the second meditation, i.e. to show that the mind is better known than body.</w:t>
      </w:r>
    </w:p>
    <w:p>
      <w:pPr>
        <w:pStyle w:val="Normal"/>
        <w:ind w:firstLine="180"/>
        <w:jc w:val="both"/>
        <w:rPr>
          <w:rFonts w:ascii="Symbola" w:hAnsi="Symbola"/>
        </w:rPr>
      </w:pPr>
      <w:r>
        <w:rPr>
          <w:rFonts w:ascii="Symbola" w:hAnsi="Symbola"/>
        </w:rPr>
        <w:t xml:space="preserve">In the third Meditation, Descartes </w:t>
      </w:r>
      <w:r>
        <w:rPr>
          <w:rFonts w:ascii="Symbola" w:hAnsi="Symbola"/>
        </w:rPr>
        <w:t xml:space="preserve">then </w:t>
      </w:r>
      <w:r>
        <w:rPr>
          <w:rFonts w:ascii="Symbola" w:hAnsi="Symbola"/>
        </w:rPr>
        <w:t xml:space="preserve">uses the wax example to distinguish primary and secondary qualities: </w:t>
      </w:r>
    </w:p>
    <w:p>
      <w:pPr>
        <w:pStyle w:val="Normal"/>
        <w:ind w:left="720" w:hanging="0"/>
        <w:jc w:val="both"/>
        <w:rPr/>
      </w:pPr>
      <w:r>
        <w:rPr>
          <w:rFonts w:ascii="Symbola" w:hAnsi="Symbola"/>
        </w:rPr>
        <w:t>But as for the ideas of corporeal things, there occurs in them nothing that would be so great that it would not seem that it can have come from me myself. For if I were to inspect more penetratingly and were to examine these ideas individually in that manner in which I have yesterday examined the idea of the wax, I notice that there are only very few things in them that I clearly and distinctly perceive: namely, magnitude, or extension in length breadth and depth; figure, which arises from the determination of this extension; position, which different shaped things obtain among themselves; and movement, or the change of this position […] But the other things, such as light, and colors, sounds, odors, tastes, heat and cold, and other tactile qualities, are not cogitated by me except very confusedly and obscurely.</w:t>
      </w:r>
      <w:r>
        <w:rPr>
          <w:rStyle w:val="EndnoteAnchor"/>
          <w:rFonts w:ascii="Symbola" w:hAnsi="Symbola"/>
        </w:rPr>
        <w:endnoteReference w:id="8"/>
      </w:r>
    </w:p>
    <w:p>
      <w:pPr>
        <w:pStyle w:val="Normal"/>
        <w:ind w:firstLine="180"/>
        <w:jc w:val="both"/>
        <w:rPr>
          <w:rFonts w:ascii="Symbola" w:hAnsi="Symbola"/>
        </w:rPr>
      </w:pPr>
      <w:r>
        <w:rPr>
          <w:rFonts w:ascii="Symbola" w:hAnsi="Symbola"/>
        </w:rPr>
        <w:t xml:space="preserve">The lists in the above passage, summarized in table </w:t>
      </w:r>
      <w:r>
        <w:rPr>
          <w:rFonts w:ascii="Symbola" w:hAnsi="Symbola"/>
        </w:rPr>
        <w:t>1, are not wholly new</w:t>
      </w:r>
      <w:r>
        <w:rPr>
          <w:rFonts w:ascii="Symbola" w:hAnsi="Symbola"/>
        </w:rPr>
        <w:t>: the list of secondary qualities corresponds in part to Aristotle’s own list of proper sensibles,</w:t>
      </w:r>
      <w:r>
        <w:rPr>
          <w:rStyle w:val="EndnoteCharacters"/>
          <w:rStyle w:val="EndnoteAnchor"/>
          <w:rFonts w:ascii="Symbola" w:hAnsi="Symbola"/>
        </w:rPr>
        <w:endnoteReference w:id="9"/>
      </w:r>
      <w:r>
        <w:rPr>
          <w:rFonts w:ascii="Symbola" w:hAnsi="Symbola"/>
        </w:rPr>
        <w:t xml:space="preserve"> while the list of primary qualities overlaps with Aristotle’s </w:t>
      </w:r>
      <w:r>
        <w:rPr>
          <w:rFonts w:ascii="Symbola" w:hAnsi="Symbola"/>
        </w:rPr>
        <w:t xml:space="preserve">list of </w:t>
      </w:r>
      <w:r>
        <w:rPr>
          <w:rFonts w:ascii="Symbola" w:hAnsi="Symbola"/>
        </w:rPr>
        <w:t>common sensibles.</w:t>
      </w:r>
      <w:r>
        <w:rPr>
          <w:rStyle w:val="EndnoteCharacters"/>
          <w:rStyle w:val="EndnoteAnchor"/>
          <w:rFonts w:ascii="Symbola" w:hAnsi="Symbola"/>
        </w:rPr>
        <w:endnoteReference w:id="10"/>
      </w:r>
      <w:r>
        <w:rPr>
          <w:rFonts w:ascii="Symbola" w:hAnsi="Symbola"/>
        </w:rPr>
        <w:t xml:space="preserve"> </w:t>
      </w:r>
    </w:p>
    <w:tbl>
      <w:tblPr>
        <w:tblStyle w:val="TableGrid"/>
        <w:tblW w:w="6346" w:type="dxa"/>
        <w:jc w:val="left"/>
        <w:tblInd w:w="0" w:type="dxa"/>
        <w:tblCellMar>
          <w:top w:w="0" w:type="dxa"/>
          <w:left w:w="108" w:type="dxa"/>
          <w:bottom w:w="0" w:type="dxa"/>
          <w:right w:w="108" w:type="dxa"/>
        </w:tblCellMar>
        <w:tblLook w:noVBand="1" w:val="04a0" w:noHBand="0" w:lastColumn="0" w:firstColumn="1" w:lastRow="0" w:firstRow="1"/>
      </w:tblPr>
      <w:tblGrid>
        <w:gridCol w:w="2400"/>
        <w:gridCol w:w="3945"/>
      </w:tblGrid>
      <w:tr>
        <w:trPr/>
        <w:tc>
          <w:tcPr>
            <w:tcW w:w="2400" w:type="dxa"/>
            <w:tcBorders/>
            <w:shd w:fill="auto" w:val="clear"/>
          </w:tcPr>
          <w:p>
            <w:pPr>
              <w:pStyle w:val="Normal"/>
              <w:spacing w:lineRule="auto" w:line="240" w:before="0" w:after="0"/>
              <w:jc w:val="both"/>
              <w:rPr>
                <w:rFonts w:ascii="Symbola" w:hAnsi="Symbola"/>
              </w:rPr>
            </w:pPr>
            <w:r>
              <w:rPr>
                <w:rFonts w:ascii="Symbola" w:hAnsi="Symbola"/>
                <w:b/>
              </w:rPr>
              <w:t>Primary qualities of body</w:t>
            </w:r>
          </w:p>
        </w:tc>
        <w:tc>
          <w:tcPr>
            <w:tcW w:w="3945" w:type="dxa"/>
            <w:tcBorders/>
            <w:shd w:fill="auto" w:val="clear"/>
          </w:tcPr>
          <w:p>
            <w:pPr>
              <w:pStyle w:val="Normal"/>
              <w:spacing w:lineRule="auto" w:line="240" w:before="0" w:after="0"/>
              <w:jc w:val="both"/>
              <w:rPr>
                <w:rFonts w:ascii="Symbola" w:hAnsi="Symbola"/>
              </w:rPr>
            </w:pPr>
            <w:r>
              <w:rPr>
                <w:rFonts w:ascii="Symbola" w:hAnsi="Symbola"/>
                <w:b/>
              </w:rPr>
              <w:t>Secondary qualities of body</w:t>
            </w:r>
          </w:p>
        </w:tc>
      </w:tr>
      <w:tr>
        <w:trPr/>
        <w:tc>
          <w:tcPr>
            <w:tcW w:w="2400" w:type="dxa"/>
            <w:tcBorders/>
            <w:shd w:fill="auto" w:val="clear"/>
          </w:tcPr>
          <w:p>
            <w:pPr>
              <w:pStyle w:val="ListParagraph"/>
              <w:numPr>
                <w:ilvl w:val="0"/>
                <w:numId w:val="4"/>
              </w:numPr>
              <w:spacing w:lineRule="auto" w:line="240" w:before="0" w:after="0"/>
              <w:contextualSpacing/>
              <w:jc w:val="both"/>
              <w:rPr>
                <w:rFonts w:ascii="Symbola" w:hAnsi="Symbola"/>
              </w:rPr>
            </w:pPr>
            <w:r>
              <w:rPr>
                <w:rFonts w:ascii="Symbola" w:hAnsi="Symbola"/>
              </w:rPr>
              <w:t>Magnitude</w:t>
            </w:r>
          </w:p>
          <w:p>
            <w:pPr>
              <w:pStyle w:val="ListParagraph"/>
              <w:numPr>
                <w:ilvl w:val="0"/>
                <w:numId w:val="4"/>
              </w:numPr>
              <w:spacing w:lineRule="auto" w:line="240" w:before="0" w:after="0"/>
              <w:contextualSpacing/>
              <w:jc w:val="both"/>
              <w:rPr>
                <w:rFonts w:ascii="Symbola" w:hAnsi="Symbola"/>
              </w:rPr>
            </w:pPr>
            <w:r>
              <w:rPr>
                <w:rFonts w:ascii="Symbola" w:hAnsi="Symbola"/>
              </w:rPr>
              <w:t>Figure</w:t>
            </w:r>
          </w:p>
          <w:p>
            <w:pPr>
              <w:pStyle w:val="ListParagraph"/>
              <w:numPr>
                <w:ilvl w:val="0"/>
                <w:numId w:val="4"/>
              </w:numPr>
              <w:spacing w:lineRule="auto" w:line="240" w:before="0" w:after="0"/>
              <w:contextualSpacing/>
              <w:jc w:val="both"/>
              <w:rPr>
                <w:rFonts w:ascii="Symbola" w:hAnsi="Symbola"/>
              </w:rPr>
            </w:pPr>
            <w:r>
              <w:rPr>
                <w:rFonts w:ascii="Symbola" w:hAnsi="Symbola"/>
              </w:rPr>
              <w:t>Position</w:t>
            </w:r>
          </w:p>
          <w:p>
            <w:pPr>
              <w:pStyle w:val="ListParagraph"/>
              <w:numPr>
                <w:ilvl w:val="0"/>
                <w:numId w:val="4"/>
              </w:numPr>
              <w:spacing w:lineRule="auto" w:line="240" w:before="0" w:after="0"/>
              <w:contextualSpacing/>
              <w:jc w:val="both"/>
              <w:rPr>
                <w:rFonts w:ascii="Symbola" w:hAnsi="Symbola"/>
              </w:rPr>
            </w:pPr>
            <w:r>
              <w:rPr>
                <w:rFonts w:ascii="Symbola" w:hAnsi="Symbola"/>
              </w:rPr>
              <w:t>Movement</w:t>
            </w:r>
          </w:p>
        </w:tc>
        <w:tc>
          <w:tcPr>
            <w:tcW w:w="3945" w:type="dxa"/>
            <w:tcBorders/>
            <w:shd w:fill="auto" w:val="clear"/>
          </w:tcPr>
          <w:p>
            <w:pPr>
              <w:pStyle w:val="ListParagraph"/>
              <w:numPr>
                <w:ilvl w:val="0"/>
                <w:numId w:val="4"/>
              </w:numPr>
              <w:spacing w:lineRule="auto" w:line="240" w:before="0" w:after="0"/>
              <w:contextualSpacing/>
              <w:jc w:val="both"/>
              <w:rPr>
                <w:rFonts w:ascii="Symbola" w:hAnsi="Symbola"/>
              </w:rPr>
            </w:pPr>
            <w:r>
              <w:rPr>
                <w:rFonts w:ascii="Symbola" w:hAnsi="Symbola"/>
              </w:rPr>
              <w:t>Light/color</w:t>
            </w:r>
          </w:p>
          <w:p>
            <w:pPr>
              <w:pStyle w:val="ListParagraph"/>
              <w:numPr>
                <w:ilvl w:val="0"/>
                <w:numId w:val="4"/>
              </w:numPr>
              <w:spacing w:lineRule="auto" w:line="240" w:before="0" w:after="0"/>
              <w:contextualSpacing/>
              <w:jc w:val="both"/>
              <w:rPr>
                <w:rFonts w:ascii="Symbola" w:hAnsi="Symbola"/>
              </w:rPr>
            </w:pPr>
            <w:r>
              <w:rPr>
                <w:rFonts w:ascii="Symbola" w:hAnsi="Symbola"/>
              </w:rPr>
              <w:t>Sound</w:t>
            </w:r>
          </w:p>
          <w:p>
            <w:pPr>
              <w:pStyle w:val="ListParagraph"/>
              <w:numPr>
                <w:ilvl w:val="0"/>
                <w:numId w:val="4"/>
              </w:numPr>
              <w:spacing w:lineRule="auto" w:line="240" w:before="0" w:after="0"/>
              <w:contextualSpacing/>
              <w:jc w:val="both"/>
              <w:rPr>
                <w:rFonts w:ascii="Symbola" w:hAnsi="Symbola"/>
              </w:rPr>
            </w:pPr>
            <w:r>
              <w:rPr>
                <w:rFonts w:ascii="Symbola" w:hAnsi="Symbola"/>
              </w:rPr>
              <w:t>Odor</w:t>
            </w:r>
          </w:p>
          <w:p>
            <w:pPr>
              <w:pStyle w:val="ListParagraph"/>
              <w:numPr>
                <w:ilvl w:val="0"/>
                <w:numId w:val="4"/>
              </w:numPr>
              <w:spacing w:lineRule="auto" w:line="240" w:before="0" w:after="0"/>
              <w:contextualSpacing/>
              <w:jc w:val="both"/>
              <w:rPr>
                <w:rFonts w:ascii="Symbola" w:hAnsi="Symbola"/>
              </w:rPr>
            </w:pPr>
            <w:r>
              <w:rPr>
                <w:rFonts w:ascii="Symbola" w:hAnsi="Symbola"/>
              </w:rPr>
              <w:t>Taste</w:t>
            </w:r>
          </w:p>
          <w:p>
            <w:pPr>
              <w:pStyle w:val="ListParagraph"/>
              <w:numPr>
                <w:ilvl w:val="0"/>
                <w:numId w:val="4"/>
              </w:numPr>
              <w:spacing w:lineRule="auto" w:line="240" w:before="0" w:after="0"/>
              <w:contextualSpacing/>
              <w:jc w:val="both"/>
              <w:rPr>
                <w:rFonts w:ascii="Symbola" w:hAnsi="Symbola"/>
              </w:rPr>
            </w:pPr>
            <w:r>
              <w:rPr>
                <w:rFonts w:ascii="Symbola" w:hAnsi="Symbola"/>
              </w:rPr>
              <w:t>Temperature/other tactile qualities</w:t>
            </w:r>
          </w:p>
        </w:tc>
      </w:tr>
    </w:tbl>
    <w:p>
      <w:pPr>
        <w:pStyle w:val="Normal"/>
        <w:jc w:val="both"/>
        <w:rPr/>
      </w:pPr>
      <w:r>
        <w:rPr>
          <w:rFonts w:ascii="Symbola" w:hAnsi="Symbola"/>
          <w:b/>
          <w:bCs/>
        </w:rPr>
        <w:t xml:space="preserve">Table 1: </w:t>
      </w:r>
      <w:r>
        <w:rPr>
          <w:rFonts w:ascii="Symbola" w:hAnsi="Symbola"/>
          <w:b w:val="false"/>
          <w:bCs w:val="false"/>
        </w:rPr>
        <w:t>Primary and secondary qualities of Cartesian bodies.</w:t>
      </w:r>
    </w:p>
    <w:p>
      <w:pPr>
        <w:pStyle w:val="Endnote"/>
        <w:spacing w:lineRule="auto" w:line="259" w:before="0" w:after="160"/>
        <w:ind w:firstLine="180"/>
        <w:jc w:val="both"/>
        <w:rPr>
          <w:rFonts w:ascii="Symbola" w:hAnsi="Symbola"/>
        </w:rPr>
      </w:pPr>
      <w:r>
        <w:rPr>
          <w:rFonts w:ascii="Symbola" w:hAnsi="Symbola"/>
          <w:sz w:val="22"/>
          <w:szCs w:val="22"/>
        </w:rPr>
        <w:t xml:space="preserve">In his reply to Hobbes, </w:t>
      </w:r>
      <w:r>
        <w:rPr>
          <w:rFonts w:ascii="Symbola" w:hAnsi="Symbola"/>
          <w:sz w:val="22"/>
          <w:szCs w:val="22"/>
        </w:rPr>
        <w:t xml:space="preserve">Descartes also </w:t>
      </w:r>
      <w:r>
        <w:rPr>
          <w:rFonts w:ascii="Symbola" w:hAnsi="Symbola"/>
          <w:sz w:val="22"/>
          <w:szCs w:val="22"/>
        </w:rPr>
        <w:t xml:space="preserve">takes the above text </w:t>
      </w:r>
      <w:r>
        <w:rPr>
          <w:rFonts w:ascii="Symbola" w:hAnsi="Symbola"/>
          <w:sz w:val="22"/>
          <w:szCs w:val="22"/>
        </w:rPr>
        <w:t xml:space="preserve">to </w:t>
      </w:r>
      <w:r>
        <w:rPr>
          <w:rFonts w:ascii="Symbola" w:hAnsi="Symbola"/>
          <w:sz w:val="22"/>
          <w:szCs w:val="22"/>
        </w:rPr>
        <w:t xml:space="preserve">distinguish </w:t>
      </w:r>
      <w:r>
        <w:rPr>
          <w:rFonts w:ascii="Symbola" w:hAnsi="Symbola"/>
          <w:sz w:val="22"/>
          <w:szCs w:val="22"/>
        </w:rPr>
        <w:t>simple understanding from imagination:</w:t>
      </w:r>
    </w:p>
    <w:p>
      <w:pPr>
        <w:pStyle w:val="Endnote"/>
        <w:spacing w:lineRule="auto" w:line="259" w:before="0" w:after="160"/>
        <w:ind w:left="720" w:hanging="0"/>
        <w:jc w:val="both"/>
        <w:rPr>
          <w:rFonts w:ascii="Symbola" w:hAnsi="Symbola"/>
        </w:rPr>
      </w:pPr>
      <w:r>
        <w:rPr>
          <w:rFonts w:ascii="Symbola" w:hAnsi="Symbola"/>
          <w:sz w:val="22"/>
          <w:szCs w:val="22"/>
        </w:rPr>
        <w:t>I have explained here the difference between imagination and a concept of the pure mind when in the example of the piece of wax I enumerated those things in the wax that we entertain in our imagination and those that we conceive with the mind alone. (</w:t>
      </w:r>
      <w:r>
        <w:rPr>
          <w:rFonts w:ascii="Symbola" w:hAnsi="Symbola"/>
          <w:i/>
          <w:sz w:val="22"/>
          <w:szCs w:val="22"/>
        </w:rPr>
        <w:t xml:space="preserve">Res. Ad III, </w:t>
      </w:r>
      <w:r>
        <w:rPr>
          <w:rFonts w:ascii="Symbola" w:hAnsi="Symbola"/>
          <w:sz w:val="22"/>
          <w:szCs w:val="22"/>
        </w:rPr>
        <w:t>178).</w:t>
      </w:r>
    </w:p>
    <w:p>
      <w:pPr>
        <w:pStyle w:val="Normal"/>
        <w:ind w:firstLine="180"/>
        <w:jc w:val="both"/>
        <w:rPr>
          <w:rFonts w:ascii="Symbola" w:hAnsi="Symbola"/>
        </w:rPr>
      </w:pPr>
      <w:r>
        <w:rPr>
          <w:rFonts w:ascii="Symbola" w:hAnsi="Symbola"/>
        </w:rPr>
        <w:t xml:space="preserve">As this application shows, Descartes does not restrict the claims he draws from the wax example to those concerning the activities of the subject, but also draws claims </w:t>
      </w:r>
      <w:r>
        <w:rPr>
          <w:rFonts w:ascii="Symbola" w:hAnsi="Symbola"/>
          <w:i/>
        </w:rPr>
        <w:t>about</w:t>
      </w:r>
      <w:r>
        <w:rPr>
          <w:rFonts w:ascii="Symbola" w:hAnsi="Symbola"/>
        </w:rPr>
        <w:t xml:space="preserve"> subjective faculties from claims </w:t>
      </w:r>
      <w:r>
        <w:rPr>
          <w:rFonts w:ascii="Symbola" w:hAnsi="Symbola"/>
        </w:rPr>
        <w:t>about ontology</w:t>
      </w:r>
      <w:r>
        <w:rPr>
          <w:rFonts w:ascii="Symbola" w:hAnsi="Symbola"/>
        </w:rPr>
        <w:t>.</w:t>
      </w:r>
    </w:p>
    <w:p>
      <w:pPr>
        <w:pStyle w:val="Normal"/>
        <w:ind w:firstLine="180"/>
        <w:jc w:val="both"/>
        <w:rPr/>
      </w:pPr>
      <w:r>
        <w:rPr>
          <w:rFonts w:ascii="Symbola" w:hAnsi="Symbola"/>
        </w:rPr>
        <w:t>Descartes states some further ontological implications of the example in the exchange with Hobbes. Commenting on the passage in Meditation II where the wax is moved toward the fire, Descartes tells us he “proved by means of the example of the piece of wax […] that color, hardness, and shape do not belong to the essence [</w:t>
      </w:r>
      <w:r>
        <w:rPr>
          <w:rFonts w:ascii="Symbola" w:hAnsi="Symbola"/>
          <w:i/>
        </w:rPr>
        <w:t>rationem formalem</w:t>
      </w:r>
      <w:r>
        <w:rPr>
          <w:rFonts w:ascii="Symbola" w:hAnsi="Symbola"/>
        </w:rPr>
        <w:t>] of the wax.”</w:t>
      </w:r>
      <w:r>
        <w:rPr>
          <w:rStyle w:val="EndnoteCharacters"/>
          <w:rStyle w:val="EndnoteAnchor"/>
          <w:rFonts w:ascii="Symbola" w:hAnsi="Symbola"/>
        </w:rPr>
        <w:endnoteReference w:id="11"/>
      </w:r>
      <w:r>
        <w:rPr>
          <w:rFonts w:ascii="Symbola" w:hAnsi="Symbola"/>
        </w:rPr>
        <w:t xml:space="preserve"> The mention of shape, a primary quality, shows the example is not merely meant to distinguish the wax from its secondary qualities. Rather, Descartes is concerned </w:t>
      </w:r>
      <w:r>
        <w:rPr>
          <w:rFonts w:ascii="Symbola" w:hAnsi="Symbola"/>
        </w:rPr>
        <w:t xml:space="preserve">to deny </w:t>
      </w:r>
      <w:r>
        <w:rPr>
          <w:rFonts w:ascii="Symbola" w:hAnsi="Symbola"/>
        </w:rPr>
        <w:t xml:space="preserve">the identity of a material thing with </w:t>
      </w:r>
      <w:r>
        <w:rPr>
          <w:rFonts w:ascii="Symbola" w:hAnsi="Symbola"/>
          <w:i/>
        </w:rPr>
        <w:t xml:space="preserve">any </w:t>
      </w:r>
      <w:r>
        <w:rPr>
          <w:rFonts w:ascii="Symbola" w:hAnsi="Symbola"/>
        </w:rPr>
        <w:t>of its determinate qualities.</w:t>
      </w:r>
    </w:p>
    <w:p>
      <w:pPr>
        <w:pStyle w:val="Normal"/>
        <w:ind w:firstLine="180"/>
        <w:jc w:val="both"/>
        <w:rPr>
          <w:rFonts w:ascii="Symbola" w:hAnsi="Symbola"/>
        </w:rPr>
      </w:pPr>
      <w:r>
        <w:rPr>
          <w:rFonts w:ascii="Symbola" w:hAnsi="Symbola"/>
        </w:rPr>
        <w:t>In table 2, w</w:t>
      </w:r>
      <w:r>
        <w:rPr>
          <w:rFonts w:ascii="Symbola" w:hAnsi="Symbola"/>
        </w:rPr>
        <w:t xml:space="preserve">e divide the claims deduced from the wax example </w:t>
      </w:r>
      <w:r>
        <w:rPr>
          <w:rFonts w:ascii="Symbola" w:hAnsi="Symbola"/>
        </w:rPr>
        <w:t xml:space="preserve">in the above passages </w:t>
      </w:r>
      <w:r>
        <w:rPr>
          <w:rFonts w:ascii="Symbola" w:hAnsi="Symbola"/>
        </w:rPr>
        <w:t xml:space="preserve">into 1) negative and positive, and 2) epistemic and ontological. This </w:t>
      </w:r>
      <w:r>
        <w:rPr>
          <w:rFonts w:ascii="Symbola" w:hAnsi="Symbola"/>
        </w:rPr>
        <w:t xml:space="preserve">allows us to clarify </w:t>
      </w:r>
      <w:r>
        <w:rPr>
          <w:rFonts w:ascii="Symbola" w:hAnsi="Symbola"/>
        </w:rPr>
        <w:t>how Descartes views the relations between these claims:</w:t>
      </w:r>
    </w:p>
    <w:tbl>
      <w:tblPr>
        <w:tblStyle w:val="TableGrid"/>
        <w:tblW w:w="6470" w:type="dxa"/>
        <w:jc w:val="left"/>
        <w:tblInd w:w="0" w:type="dxa"/>
        <w:tblCellMar>
          <w:top w:w="0" w:type="dxa"/>
          <w:left w:w="108" w:type="dxa"/>
          <w:bottom w:w="0" w:type="dxa"/>
          <w:right w:w="108" w:type="dxa"/>
        </w:tblCellMar>
        <w:tblLook w:noVBand="1" w:val="04a0" w:noHBand="0" w:lastColumn="0" w:firstColumn="1" w:lastRow="0" w:firstRow="1"/>
      </w:tblPr>
      <w:tblGrid>
        <w:gridCol w:w="1230"/>
        <w:gridCol w:w="2499"/>
        <w:gridCol w:w="2741"/>
      </w:tblGrid>
      <w:tr>
        <w:trPr/>
        <w:tc>
          <w:tcPr>
            <w:tcW w:w="1230" w:type="dxa"/>
            <w:tcBorders/>
            <w:shd w:fill="auto" w:val="clear"/>
          </w:tcPr>
          <w:p>
            <w:pPr>
              <w:pStyle w:val="Normal"/>
              <w:spacing w:lineRule="auto" w:line="240" w:before="0" w:after="0"/>
              <w:jc w:val="both"/>
              <w:rPr>
                <w:rFonts w:ascii="Symbola" w:hAnsi="Symbola"/>
              </w:rPr>
            </w:pPr>
            <w:r>
              <w:rPr>
                <w:rFonts w:ascii="Symbola" w:hAnsi="Symbola"/>
              </w:rPr>
            </w:r>
          </w:p>
        </w:tc>
        <w:tc>
          <w:tcPr>
            <w:tcW w:w="2499" w:type="dxa"/>
            <w:tcBorders/>
            <w:shd w:fill="auto" w:val="clear"/>
          </w:tcPr>
          <w:p>
            <w:pPr>
              <w:pStyle w:val="Normal"/>
              <w:spacing w:lineRule="auto" w:line="240" w:before="0" w:after="0"/>
              <w:jc w:val="both"/>
              <w:rPr>
                <w:rFonts w:ascii="Symbola" w:hAnsi="Symbola"/>
              </w:rPr>
            </w:pPr>
            <w:r>
              <w:rPr>
                <w:rFonts w:ascii="Symbola" w:hAnsi="Symbola"/>
                <w:b/>
              </w:rPr>
              <w:t>Negative</w:t>
            </w:r>
          </w:p>
        </w:tc>
        <w:tc>
          <w:tcPr>
            <w:tcW w:w="2741" w:type="dxa"/>
            <w:tcBorders/>
            <w:shd w:fill="auto" w:val="clear"/>
          </w:tcPr>
          <w:p>
            <w:pPr>
              <w:pStyle w:val="Normal"/>
              <w:spacing w:lineRule="auto" w:line="240" w:before="0" w:after="0"/>
              <w:jc w:val="both"/>
              <w:rPr>
                <w:rFonts w:ascii="Symbola" w:hAnsi="Symbola"/>
              </w:rPr>
            </w:pPr>
            <w:r>
              <w:rPr>
                <w:rFonts w:ascii="Symbola" w:hAnsi="Symbola"/>
                <w:b/>
              </w:rPr>
              <w:t>Positive</w:t>
            </w:r>
          </w:p>
        </w:tc>
      </w:tr>
      <w:tr>
        <w:trPr/>
        <w:tc>
          <w:tcPr>
            <w:tcW w:w="1230" w:type="dxa"/>
            <w:tcBorders/>
            <w:shd w:fill="auto" w:val="clear"/>
          </w:tcPr>
          <w:p>
            <w:pPr>
              <w:pStyle w:val="Normal"/>
              <w:spacing w:lineRule="auto" w:line="240" w:before="0" w:after="0"/>
              <w:jc w:val="both"/>
              <w:rPr>
                <w:rFonts w:ascii="Symbola" w:hAnsi="Symbola"/>
              </w:rPr>
            </w:pPr>
            <w:r>
              <w:rPr>
                <w:rFonts w:ascii="Symbola" w:hAnsi="Symbola"/>
                <w:b/>
              </w:rPr>
              <w:t>Epistemic</w:t>
            </w:r>
          </w:p>
        </w:tc>
        <w:tc>
          <w:tcPr>
            <w:tcW w:w="2499" w:type="dxa"/>
            <w:tcBorders/>
            <w:shd w:fill="auto" w:val="clear"/>
          </w:tcPr>
          <w:p>
            <w:pPr>
              <w:pStyle w:val="ListParagraph"/>
              <w:numPr>
                <w:ilvl w:val="0"/>
                <w:numId w:val="3"/>
              </w:numPr>
              <w:spacing w:lineRule="auto" w:line="240" w:before="0" w:after="0"/>
              <w:contextualSpacing/>
              <w:jc w:val="both"/>
              <w:rPr>
                <w:rFonts w:ascii="Symbola" w:hAnsi="Symbola"/>
              </w:rPr>
            </w:pPr>
            <w:r>
              <w:rPr>
                <w:rFonts w:ascii="Symbola" w:hAnsi="Symbola"/>
              </w:rPr>
              <w:t>Bodies are not known by sense faculties or sensing</w:t>
            </w:r>
          </w:p>
          <w:p>
            <w:pPr>
              <w:pStyle w:val="ListParagraph"/>
              <w:numPr>
                <w:ilvl w:val="0"/>
                <w:numId w:val="3"/>
              </w:numPr>
              <w:spacing w:lineRule="auto" w:line="240" w:before="0" w:after="0"/>
              <w:contextualSpacing/>
              <w:jc w:val="both"/>
              <w:rPr>
                <w:rFonts w:ascii="Symbola" w:hAnsi="Symbola"/>
              </w:rPr>
            </w:pPr>
            <w:r>
              <w:rPr>
                <w:rFonts w:ascii="Symbola" w:hAnsi="Symbola"/>
              </w:rPr>
              <w:t>Bodies are not known by imagination or imagining.</w:t>
            </w:r>
          </w:p>
          <w:p>
            <w:pPr>
              <w:pStyle w:val="ListParagraph"/>
              <w:numPr>
                <w:ilvl w:val="0"/>
                <w:numId w:val="3"/>
              </w:numPr>
              <w:spacing w:lineRule="auto" w:line="240" w:before="0" w:after="0"/>
              <w:contextualSpacing/>
              <w:jc w:val="both"/>
              <w:rPr>
                <w:rFonts w:ascii="Symbola" w:hAnsi="Symbola"/>
              </w:rPr>
            </w:pPr>
            <w:r>
              <w:rPr>
                <w:rFonts w:ascii="Symbola" w:hAnsi="Symbola"/>
              </w:rPr>
              <w:t xml:space="preserve">Primary qualities are not perceived by imagination. </w:t>
            </w:r>
          </w:p>
          <w:p>
            <w:pPr>
              <w:pStyle w:val="ListParagraph"/>
              <w:numPr>
                <w:ilvl w:val="0"/>
                <w:numId w:val="3"/>
              </w:numPr>
              <w:spacing w:lineRule="auto" w:line="240" w:before="0" w:after="0"/>
              <w:contextualSpacing/>
              <w:jc w:val="both"/>
              <w:rPr>
                <w:rFonts w:ascii="Symbola" w:hAnsi="Symbola"/>
              </w:rPr>
            </w:pPr>
            <w:r>
              <w:rPr>
                <w:rFonts w:ascii="Symbola" w:hAnsi="Symbola"/>
              </w:rPr>
              <w:t xml:space="preserve">Secondary qualities are not perceived by pure intellect. </w:t>
            </w:r>
          </w:p>
        </w:tc>
        <w:tc>
          <w:tcPr>
            <w:tcW w:w="2741" w:type="dxa"/>
            <w:tcBorders/>
            <w:shd w:fill="auto" w:val="clear"/>
          </w:tcPr>
          <w:p>
            <w:pPr>
              <w:pStyle w:val="ListParagraph"/>
              <w:numPr>
                <w:ilvl w:val="0"/>
                <w:numId w:val="3"/>
              </w:numPr>
              <w:spacing w:lineRule="auto" w:line="240" w:before="0" w:after="0"/>
              <w:contextualSpacing/>
              <w:jc w:val="both"/>
              <w:rPr>
                <w:rFonts w:ascii="Symbola" w:hAnsi="Symbola"/>
              </w:rPr>
            </w:pPr>
            <w:r>
              <w:rPr>
                <w:rFonts w:ascii="Symbola" w:hAnsi="Symbola"/>
              </w:rPr>
              <w:t xml:space="preserve">Bodies are known by intellect and understanding.  </w:t>
            </w:r>
          </w:p>
          <w:p>
            <w:pPr>
              <w:pStyle w:val="ListParagraph"/>
              <w:numPr>
                <w:ilvl w:val="0"/>
                <w:numId w:val="3"/>
              </w:numPr>
              <w:spacing w:lineRule="auto" w:line="240" w:before="0" w:after="0"/>
              <w:contextualSpacing/>
              <w:jc w:val="both"/>
              <w:rPr/>
            </w:pPr>
            <w:r>
              <w:rPr>
                <w:rFonts w:ascii="Symbola" w:hAnsi="Symbola"/>
              </w:rPr>
              <w:t>Primary qualities, while sometimes discernible by imagination,</w:t>
            </w:r>
            <w:r>
              <w:rPr>
                <w:rStyle w:val="EndnoteCharacters"/>
                <w:rStyle w:val="EndnoteAnchor"/>
                <w:rFonts w:ascii="Symbola" w:hAnsi="Symbola"/>
              </w:rPr>
              <w:endnoteReference w:id="12"/>
            </w:r>
            <w:r>
              <w:rPr>
                <w:rFonts w:ascii="Symbola" w:hAnsi="Symbola"/>
              </w:rPr>
              <w:t xml:space="preserve"> are properly conceived by pure intellect. </w:t>
            </w:r>
          </w:p>
          <w:p>
            <w:pPr>
              <w:pStyle w:val="ListParagraph"/>
              <w:numPr>
                <w:ilvl w:val="0"/>
                <w:numId w:val="3"/>
              </w:numPr>
              <w:spacing w:lineRule="auto" w:line="240" w:before="0" w:after="0"/>
              <w:contextualSpacing/>
              <w:jc w:val="both"/>
              <w:rPr>
                <w:rFonts w:ascii="Symbola" w:hAnsi="Symbola"/>
              </w:rPr>
            </w:pPr>
            <w:r>
              <w:rPr>
                <w:rFonts w:ascii="Symbola" w:hAnsi="Symbola"/>
              </w:rPr>
              <w:t xml:space="preserve">Secondary qualities are perceived by imagination.  </w:t>
            </w:r>
          </w:p>
          <w:p>
            <w:pPr>
              <w:pStyle w:val="ListParagraph"/>
              <w:numPr>
                <w:ilvl w:val="0"/>
                <w:numId w:val="3"/>
              </w:numPr>
              <w:spacing w:lineRule="auto" w:line="240" w:before="0" w:after="0"/>
              <w:contextualSpacing/>
              <w:jc w:val="both"/>
              <w:rPr>
                <w:rFonts w:ascii="Symbola" w:hAnsi="Symbola"/>
              </w:rPr>
            </w:pPr>
            <w:r>
              <w:rPr>
                <w:rFonts w:ascii="Symbola" w:hAnsi="Symbola"/>
              </w:rPr>
              <w:t>Mind is better known than body.</w:t>
            </w:r>
          </w:p>
        </w:tc>
      </w:tr>
      <w:tr>
        <w:trPr/>
        <w:tc>
          <w:tcPr>
            <w:tcW w:w="1230" w:type="dxa"/>
            <w:tcBorders/>
            <w:shd w:fill="auto" w:val="clear"/>
          </w:tcPr>
          <w:p>
            <w:pPr>
              <w:pStyle w:val="Normal"/>
              <w:spacing w:lineRule="auto" w:line="240" w:before="0" w:after="0"/>
              <w:jc w:val="both"/>
              <w:rPr>
                <w:rFonts w:ascii="Symbola" w:hAnsi="Symbola"/>
              </w:rPr>
            </w:pPr>
            <w:r>
              <w:rPr>
                <w:rFonts w:ascii="Symbola" w:hAnsi="Symbola"/>
                <w:b/>
              </w:rPr>
              <w:t>Ontological</w:t>
            </w:r>
          </w:p>
        </w:tc>
        <w:tc>
          <w:tcPr>
            <w:tcW w:w="2499" w:type="dxa"/>
            <w:tcBorders/>
            <w:shd w:fill="auto" w:val="clear"/>
          </w:tcPr>
          <w:p>
            <w:pPr>
              <w:pStyle w:val="ListParagraph"/>
              <w:numPr>
                <w:ilvl w:val="0"/>
                <w:numId w:val="3"/>
              </w:numPr>
              <w:spacing w:lineRule="auto" w:line="240" w:before="0" w:after="0"/>
              <w:contextualSpacing/>
              <w:jc w:val="both"/>
              <w:rPr>
                <w:rFonts w:ascii="Symbola" w:hAnsi="Symbola"/>
              </w:rPr>
            </w:pPr>
            <w:r>
              <w:rPr>
                <w:rFonts w:ascii="Symbola" w:hAnsi="Symbola"/>
              </w:rPr>
              <w:t xml:space="preserve">Color, taste, etc. are not primary qualities.  </w:t>
            </w:r>
          </w:p>
          <w:p>
            <w:pPr>
              <w:pStyle w:val="ListParagraph"/>
              <w:numPr>
                <w:ilvl w:val="0"/>
                <w:numId w:val="3"/>
              </w:numPr>
              <w:spacing w:lineRule="auto" w:line="240" w:before="0" w:after="0"/>
              <w:contextualSpacing/>
              <w:jc w:val="both"/>
              <w:rPr>
                <w:rFonts w:ascii="Symbola" w:hAnsi="Symbola"/>
              </w:rPr>
            </w:pPr>
            <w:r>
              <w:rPr>
                <w:rFonts w:ascii="Symbola" w:hAnsi="Symbola"/>
              </w:rPr>
              <w:t xml:space="preserve">Figure, motion, etc. are not secondary qualities </w:t>
            </w:r>
          </w:p>
          <w:p>
            <w:pPr>
              <w:pStyle w:val="ListParagraph"/>
              <w:numPr>
                <w:ilvl w:val="0"/>
                <w:numId w:val="3"/>
              </w:numPr>
              <w:spacing w:lineRule="auto" w:line="240" w:before="0" w:after="0"/>
              <w:contextualSpacing/>
              <w:jc w:val="both"/>
              <w:rPr>
                <w:rFonts w:ascii="Symbola" w:hAnsi="Symbola"/>
              </w:rPr>
            </w:pPr>
            <w:r>
              <w:rPr>
                <w:rFonts w:ascii="Symbola" w:hAnsi="Symbola"/>
              </w:rPr>
              <w:t xml:space="preserve">For each time </w:t>
            </w:r>
            <w:r>
              <w:rPr>
                <w:rFonts w:ascii="Symbola" w:hAnsi="Symbola"/>
                <w:i/>
              </w:rPr>
              <w:t xml:space="preserve">t </w:t>
            </w:r>
            <w:r>
              <w:rPr>
                <w:rFonts w:ascii="Symbola" w:hAnsi="Symbola"/>
              </w:rPr>
              <w:t xml:space="preserve">and body </w:t>
            </w:r>
            <w:r>
              <w:rPr>
                <w:rFonts w:ascii="Symbola" w:hAnsi="Symbola"/>
                <w:i/>
              </w:rPr>
              <w:t>B</w:t>
            </w:r>
            <w:r>
              <w:rPr>
                <w:rFonts w:ascii="Symbola" w:hAnsi="Symbola"/>
              </w:rPr>
              <w:t xml:space="preserve">, </w:t>
            </w:r>
            <w:r>
              <w:rPr>
                <w:rFonts w:ascii="Symbola" w:hAnsi="Symbola"/>
                <w:i/>
              </w:rPr>
              <w:t>B</w:t>
            </w:r>
            <w:r>
              <w:rPr>
                <w:rFonts w:ascii="Symbola" w:hAnsi="Symbola"/>
              </w:rPr>
              <w:t xml:space="preserve"> is identical to neither the primary nor secondary qualities it has at </w:t>
            </w:r>
            <w:r>
              <w:rPr>
                <w:rFonts w:ascii="Symbola" w:hAnsi="Symbola"/>
                <w:i/>
              </w:rPr>
              <w:t>t</w:t>
            </w:r>
            <w:r>
              <w:rPr>
                <w:rFonts w:ascii="Symbola" w:hAnsi="Symbola"/>
              </w:rPr>
              <w:t>.</w:t>
            </w:r>
          </w:p>
        </w:tc>
        <w:tc>
          <w:tcPr>
            <w:tcW w:w="2741" w:type="dxa"/>
            <w:tcBorders/>
            <w:shd w:fill="auto" w:val="clear"/>
          </w:tcPr>
          <w:p>
            <w:pPr>
              <w:pStyle w:val="ListParagraph"/>
              <w:numPr>
                <w:ilvl w:val="0"/>
                <w:numId w:val="3"/>
              </w:numPr>
              <w:spacing w:lineRule="auto" w:line="240" w:before="0" w:after="0"/>
              <w:contextualSpacing/>
              <w:jc w:val="both"/>
              <w:rPr>
                <w:rFonts w:ascii="Symbola" w:hAnsi="Symbola"/>
              </w:rPr>
            </w:pPr>
            <w:r>
              <w:rPr>
                <w:rFonts w:ascii="Symbola" w:hAnsi="Symbola"/>
              </w:rPr>
              <w:t>Color, taste, etc. are secondary qualities.</w:t>
            </w:r>
          </w:p>
          <w:p>
            <w:pPr>
              <w:pStyle w:val="ListParagraph"/>
              <w:numPr>
                <w:ilvl w:val="0"/>
                <w:numId w:val="3"/>
              </w:numPr>
              <w:spacing w:lineRule="auto" w:line="240" w:before="0" w:after="0"/>
              <w:contextualSpacing/>
              <w:jc w:val="both"/>
              <w:rPr>
                <w:rFonts w:ascii="Symbola" w:hAnsi="Symbola"/>
              </w:rPr>
            </w:pPr>
            <w:r>
              <w:rPr>
                <w:rFonts w:ascii="Symbola" w:hAnsi="Symbola"/>
              </w:rPr>
              <w:t>Figure, motion, etc. are primary qualities.</w:t>
            </w:r>
          </w:p>
        </w:tc>
      </w:tr>
    </w:tbl>
    <w:p>
      <w:pPr>
        <w:pStyle w:val="Normal"/>
        <w:ind w:hanging="0"/>
        <w:jc w:val="both"/>
        <w:rPr>
          <w:rFonts w:ascii="Symbola" w:hAnsi="Symbola"/>
          <w:b/>
          <w:b/>
          <w:bCs/>
        </w:rPr>
      </w:pPr>
      <w:r>
        <w:rPr>
          <w:rFonts w:ascii="Symbola" w:hAnsi="Symbola"/>
          <w:b/>
          <w:bCs/>
        </w:rPr>
        <w:t>Table 2</w:t>
      </w:r>
      <w:r>
        <w:rPr>
          <w:rFonts w:ascii="Symbola" w:hAnsi="Symbola"/>
          <w:b w:val="false"/>
          <w:bCs w:val="false"/>
        </w:rPr>
        <w:t>: Quality and domain of the conclusions Descartes draws from the wax example.</w:t>
      </w:r>
    </w:p>
    <w:p>
      <w:pPr>
        <w:pStyle w:val="Normal"/>
        <w:jc w:val="both"/>
        <w:rPr/>
      </w:pPr>
      <w:r>
        <w:rPr>
          <w:rFonts w:ascii="Symbola" w:hAnsi="Symbola"/>
        </w:rPr>
        <w:t xml:space="preserve">Given </w:t>
      </w:r>
      <w:r>
        <w:rPr>
          <w:rFonts w:ascii="Symbola" w:hAnsi="Symbola"/>
        </w:rPr>
        <w:t xml:space="preserve">that </w:t>
      </w:r>
      <w:r>
        <w:rPr>
          <w:rFonts w:ascii="Symbola" w:hAnsi="Symbola"/>
        </w:rPr>
        <w:t xml:space="preserve">the Cartesian program as </w:t>
      </w:r>
      <w:r>
        <w:rPr>
          <w:rFonts w:ascii="Symbola" w:hAnsi="Symbola"/>
        </w:rPr>
        <w:t>a whole is often presented as centered on epistemology</w:t>
      </w:r>
      <w:r>
        <w:rPr>
          <w:rFonts w:ascii="Symbola" w:hAnsi="Symbola"/>
        </w:rPr>
        <w:t>, it is easy to miss the centrality of the ontological claims for the determination of the rest of this chart.</w:t>
      </w:r>
      <w:r>
        <w:rPr>
          <w:rStyle w:val="EndnoteCharacters"/>
          <w:rStyle w:val="EndnoteAnchor"/>
          <w:rFonts w:ascii="Symbola" w:hAnsi="Symbola"/>
        </w:rPr>
        <w:endnoteReference w:id="13"/>
      </w:r>
      <w:r>
        <w:rPr>
          <w:rFonts w:ascii="Symbola" w:hAnsi="Symbola"/>
        </w:rPr>
        <w:t xml:space="preserve"> First as the quote from the 3</w:t>
      </w:r>
      <w:r>
        <w:rPr>
          <w:rFonts w:ascii="Symbola" w:hAnsi="Symbola"/>
          <w:vertAlign w:val="superscript"/>
        </w:rPr>
        <w:t>rd</w:t>
      </w:r>
      <w:r>
        <w:rPr>
          <w:rFonts w:ascii="Symbola" w:hAnsi="Symbola"/>
        </w:rPr>
        <w:t xml:space="preserve"> replies shows, Descartes takes the distinction in thought between pure understanding and imagination, which gives rise to a distinction between the </w:t>
      </w:r>
      <w:r>
        <w:rPr>
          <w:rFonts w:ascii="Symbola" w:hAnsi="Symbola"/>
          <w:i/>
        </w:rPr>
        <w:t>act</w:t>
      </w:r>
      <w:r>
        <w:rPr>
          <w:rFonts w:ascii="Symbola" w:hAnsi="Symbola"/>
        </w:rPr>
        <w:t xml:space="preserve"> of pure understanding (clear and distinct perception) and that of imagination (confused/obscure perception), to derive from that between primary and secondary qualities.</w:t>
      </w:r>
      <w:r>
        <w:rPr>
          <w:rStyle w:val="EndnoteCharacters"/>
          <w:rStyle w:val="EndnoteAnchor"/>
          <w:rFonts w:ascii="Symbola" w:hAnsi="Symbola"/>
        </w:rPr>
        <w:endnoteReference w:id="14"/>
      </w:r>
      <w:r>
        <w:rPr>
          <w:rFonts w:ascii="Symbola" w:hAnsi="Symbola"/>
        </w:rPr>
        <w:t xml:space="preserve"> Second, the non-identity of the wax with its shape, etc., or more broadly, </w:t>
      </w:r>
      <w:r>
        <w:rPr>
          <w:rFonts w:ascii="Symbola" w:hAnsi="Symbola"/>
        </w:rPr>
        <w:t xml:space="preserve">of </w:t>
      </w:r>
      <w:r>
        <w:rPr>
          <w:rFonts w:ascii="Symbola" w:hAnsi="Symbola"/>
        </w:rPr>
        <w:t>a thing with any of its qualities, is what allows Descartes to posit that it is the mind alone that determines the identity of the material object.</w:t>
      </w:r>
      <w:r>
        <w:rPr>
          <w:rStyle w:val="EndnoteCharacters"/>
          <w:rStyle w:val="EndnoteAnchor"/>
          <w:rFonts w:ascii="Symbola" w:hAnsi="Symbola"/>
        </w:rPr>
        <w:endnoteReference w:id="15"/>
      </w:r>
      <w:r>
        <w:rPr>
          <w:rFonts w:ascii="Symbola" w:hAnsi="Symbola"/>
        </w:rPr>
        <w:t xml:space="preserve"> </w:t>
      </w:r>
    </w:p>
    <w:p>
      <w:pPr>
        <w:pStyle w:val="Normal"/>
        <w:widowControl/>
        <w:bidi w:val="0"/>
        <w:spacing w:lineRule="auto" w:line="259" w:before="0" w:after="160"/>
        <w:ind w:left="0" w:right="0" w:firstLine="180"/>
        <w:jc w:val="both"/>
        <w:rPr/>
      </w:pPr>
      <w:r>
        <w:rPr>
          <w:rFonts w:ascii="Symbola" w:hAnsi="Symbola"/>
        </w:rPr>
        <w:t>For the Cartesian conception of body, then, the net result of these claims are the following two theses:</w:t>
      </w:r>
    </w:p>
    <w:p>
      <w:pPr>
        <w:pStyle w:val="Normal"/>
        <w:jc w:val="both"/>
        <w:rPr/>
      </w:pPr>
      <w:r>
        <w:rPr>
          <w:rFonts w:ascii="Symbola" w:hAnsi="Symbola"/>
        </w:rPr>
        <w:tab/>
      </w:r>
      <w:r>
        <w:rPr>
          <w:rFonts w:ascii="Symbola" w:hAnsi="Symbola"/>
          <w:b/>
        </w:rPr>
        <w:t>(D1)</w:t>
      </w:r>
      <w:r>
        <w:rPr>
          <w:rFonts w:ascii="Symbola" w:hAnsi="Symbola"/>
        </w:rPr>
        <w:t xml:space="preserve"> Bodies do not </w:t>
      </w:r>
      <w:r>
        <w:rPr>
          <w:rFonts w:ascii="Symbola" w:hAnsi="Symbola"/>
          <w:i/>
        </w:rPr>
        <w:t>really</w:t>
      </w:r>
      <w:r>
        <w:rPr>
          <w:rFonts w:ascii="Symbola" w:hAnsi="Symbola"/>
        </w:rPr>
        <w:t xml:space="preserve"> have their secondary qualities</w:t>
      </w:r>
      <w:r>
        <w:rPr>
          <w:rStyle w:val="EndnoteAnchor"/>
          <w:rFonts w:ascii="Symbola" w:hAnsi="Symbola"/>
        </w:rPr>
        <w:endnoteReference w:id="16"/>
      </w:r>
    </w:p>
    <w:p>
      <w:pPr>
        <w:pStyle w:val="Normal"/>
        <w:jc w:val="both"/>
        <w:rPr>
          <w:rFonts w:ascii="Symbola" w:hAnsi="Symbola"/>
        </w:rPr>
      </w:pPr>
      <w:r>
        <w:rPr>
          <w:rFonts w:ascii="Symbola" w:hAnsi="Symbola"/>
        </w:rPr>
        <w:t xml:space="preserve">And </w:t>
      </w:r>
    </w:p>
    <w:p>
      <w:pPr>
        <w:pStyle w:val="Normal"/>
        <w:jc w:val="both"/>
        <w:rPr>
          <w:rFonts w:ascii="Symbola" w:hAnsi="Symbola"/>
        </w:rPr>
      </w:pPr>
      <w:r>
        <w:rPr>
          <w:rFonts w:ascii="Symbola" w:hAnsi="Symbola"/>
        </w:rPr>
        <w:tab/>
      </w:r>
      <w:r>
        <w:rPr>
          <w:rFonts w:ascii="Symbola" w:hAnsi="Symbola"/>
          <w:b/>
        </w:rPr>
        <w:t>(D2)</w:t>
      </w:r>
      <w:r>
        <w:rPr>
          <w:rFonts w:ascii="Symbola" w:hAnsi="Symbola"/>
        </w:rPr>
        <w:t xml:space="preserve"> Bodies are not identical to any of their </w:t>
      </w:r>
      <w:r>
        <w:rPr>
          <w:rFonts w:ascii="Symbola" w:hAnsi="Symbola"/>
          <w:i w:val="false"/>
          <w:iCs w:val="false"/>
        </w:rPr>
        <w:t>determinate</w:t>
      </w:r>
      <w:r>
        <w:rPr>
          <w:rFonts w:ascii="Symbola" w:hAnsi="Symbola"/>
        </w:rPr>
        <w:t xml:space="preserve"> primary qualities.</w:t>
      </w:r>
    </w:p>
    <w:p>
      <w:pPr>
        <w:pStyle w:val="Normal"/>
        <w:ind w:firstLine="180"/>
        <w:jc w:val="both"/>
        <w:rPr>
          <w:rFonts w:ascii="Symbola" w:hAnsi="Symbola"/>
        </w:rPr>
      </w:pPr>
      <w:r>
        <w:rPr>
          <w:rFonts w:ascii="Symbola" w:hAnsi="Symbola"/>
        </w:rPr>
        <w:t xml:space="preserve">In the first of these </w:t>
      </w:r>
      <w:r>
        <w:rPr>
          <w:rFonts w:ascii="Symbola" w:hAnsi="Symbola"/>
        </w:rPr>
        <w:t>theses</w:t>
      </w:r>
      <w:r>
        <w:rPr>
          <w:rFonts w:ascii="Symbola" w:hAnsi="Symbola"/>
        </w:rPr>
        <w:t>, ‘real</w:t>
      </w:r>
      <w:r>
        <w:rPr>
          <w:rFonts w:ascii="Symbola" w:hAnsi="Symbola"/>
        </w:rPr>
        <w:t>ly</w:t>
      </w:r>
      <w:r>
        <w:rPr>
          <w:rFonts w:ascii="Symbola" w:hAnsi="Symbola"/>
        </w:rPr>
        <w:t>’ has the sense of ‘</w:t>
      </w:r>
      <w:r>
        <w:rPr>
          <w:rFonts w:ascii="Symbola" w:hAnsi="Symbola"/>
        </w:rPr>
        <w:t>inherently</w:t>
      </w:r>
      <w:r>
        <w:rPr>
          <w:rFonts w:ascii="Symbola" w:hAnsi="Symbola"/>
        </w:rPr>
        <w:t xml:space="preserve">’ </w:t>
      </w:r>
      <w:r>
        <w:rPr>
          <w:rFonts w:ascii="Symbola" w:hAnsi="Symbola"/>
        </w:rPr>
        <w:t>or ‘essentially’: secondary qualities appear differently both at different times and at the same time from different perspectives, and hence do not belong to the objects they are ascribed to in any strict metaphysical sense</w:t>
      </w:r>
      <w:r>
        <w:rPr>
          <w:rFonts w:ascii="Symbola" w:hAnsi="Symbola"/>
        </w:rPr>
        <w:t xml:space="preserve">. The second </w:t>
      </w:r>
      <w:r>
        <w:rPr>
          <w:rFonts w:ascii="Symbola" w:hAnsi="Symbola"/>
        </w:rPr>
        <w:t xml:space="preserve">thesis </w:t>
      </w:r>
      <w:r>
        <w:rPr>
          <w:rFonts w:ascii="Symbola" w:hAnsi="Symbola"/>
        </w:rPr>
        <w:t xml:space="preserve">shows that for Descartes, the notion of identity is </w:t>
      </w:r>
      <w:r>
        <w:rPr>
          <w:rFonts w:ascii="Symbola" w:hAnsi="Symbola"/>
          <w:i/>
        </w:rPr>
        <w:t>ampliated</w:t>
      </w:r>
      <w:r>
        <w:rPr>
          <w:rFonts w:ascii="Symbola" w:hAnsi="Symbola"/>
        </w:rPr>
        <w:t xml:space="preserve"> to include not only present, but also past and future states: </w:t>
      </w:r>
      <w:r>
        <w:rPr>
          <w:rFonts w:ascii="Symbola" w:hAnsi="Symbola"/>
        </w:rPr>
        <w:t>an object is only identical to whatever it is always identical to</w:t>
      </w:r>
      <w:r>
        <w:rPr>
          <w:rFonts w:ascii="Symbola" w:hAnsi="Symbola"/>
        </w:rPr>
        <w:t>.</w:t>
      </w:r>
    </w:p>
    <w:p>
      <w:pPr>
        <w:pStyle w:val="Heading1"/>
        <w:jc w:val="both"/>
        <w:rPr>
          <w:rFonts w:ascii="Symbola" w:hAnsi="Symbola"/>
        </w:rPr>
      </w:pPr>
      <w:r>
        <w:rPr>
          <w:rFonts w:ascii="Symbola" w:hAnsi="Symbola"/>
        </w:rPr>
        <w:t>2 Aristotelian bodies</w:t>
      </w:r>
    </w:p>
    <w:p>
      <w:pPr>
        <w:pStyle w:val="Heading2"/>
        <w:jc w:val="both"/>
        <w:rPr>
          <w:rFonts w:ascii="Symbola" w:hAnsi="Symbola"/>
        </w:rPr>
      </w:pPr>
      <w:r>
        <w:rPr>
          <w:rFonts w:ascii="Symbola" w:hAnsi="Symbola"/>
        </w:rPr>
        <w:t>2.1 Summary of Aristotle’s uses of wax examples</w:t>
      </w:r>
    </w:p>
    <w:p>
      <w:pPr>
        <w:pStyle w:val="Normal"/>
        <w:ind w:firstLine="180"/>
        <w:jc w:val="both"/>
        <w:rPr/>
      </w:pPr>
      <w:r>
        <w:rPr>
          <w:rFonts w:ascii="Symbola" w:hAnsi="Symbola"/>
        </w:rPr>
        <w:t>Aristotle employs wax examples in three domains, which we list in order from the most to least universal:</w:t>
      </w:r>
      <w:r>
        <w:rPr>
          <w:rStyle w:val="EndnoteCharacters"/>
          <w:rStyle w:val="EndnoteAnchor"/>
          <w:rFonts w:ascii="Symbola" w:hAnsi="Symbola"/>
        </w:rPr>
        <w:endnoteReference w:id="17"/>
      </w:r>
      <w:r>
        <w:rPr>
          <w:rFonts w:ascii="Symbola" w:hAnsi="Symbola"/>
        </w:rPr>
        <w:t xml:space="preserve"> first, he employs wax analogies in books V and VII the </w:t>
      </w:r>
      <w:r>
        <w:rPr>
          <w:rFonts w:ascii="Symbola" w:hAnsi="Symbola"/>
          <w:i/>
        </w:rPr>
        <w:t>Metaphysics</w:t>
      </w:r>
      <w:r>
        <w:rPr>
          <w:rFonts w:ascii="Symbola" w:hAnsi="Symbola"/>
        </w:rPr>
        <w:t xml:space="preserve">; second, he employs them in </w:t>
      </w:r>
      <w:r>
        <w:rPr>
          <w:rFonts w:ascii="Symbola" w:hAnsi="Symbola"/>
        </w:rPr>
        <w:t>p</w:t>
      </w:r>
      <w:r>
        <w:rPr>
          <w:rFonts w:ascii="Symbola" w:hAnsi="Symbola"/>
        </w:rPr>
        <w:t xml:space="preserve">hysics generally in the </w:t>
      </w:r>
      <w:r>
        <w:rPr>
          <w:rFonts w:ascii="Symbola" w:hAnsi="Symbola"/>
          <w:i/>
        </w:rPr>
        <w:t>Physics</w:t>
      </w:r>
      <w:r>
        <w:rPr>
          <w:rFonts w:ascii="Symbola" w:hAnsi="Symbola"/>
        </w:rPr>
        <w:t xml:space="preserve">, </w:t>
      </w:r>
      <w:r>
        <w:rPr>
          <w:rFonts w:ascii="Symbola" w:hAnsi="Symbola"/>
          <w:i/>
        </w:rPr>
        <w:t>On the Heavens, On Generation and Corruption</w:t>
      </w:r>
      <w:r>
        <w:rPr>
          <w:rFonts w:ascii="Symbola" w:hAnsi="Symbola"/>
        </w:rPr>
        <w:t xml:space="preserve">, and the </w:t>
      </w:r>
      <w:r>
        <w:rPr>
          <w:rFonts w:ascii="Symbola" w:hAnsi="Symbola"/>
          <w:i/>
        </w:rPr>
        <w:t>Meteorology</w:t>
      </w:r>
      <w:r>
        <w:rPr>
          <w:rFonts w:ascii="Symbola" w:hAnsi="Symbola"/>
        </w:rPr>
        <w:t xml:space="preserve">; third, he uses them in two treatises more specifically dealing with living beings, the </w:t>
      </w:r>
      <w:r>
        <w:rPr>
          <w:rFonts w:ascii="Symbola" w:hAnsi="Symbola"/>
          <w:i/>
        </w:rPr>
        <w:t xml:space="preserve">De Anima </w:t>
      </w:r>
      <w:r>
        <w:rPr>
          <w:rFonts w:ascii="Symbola" w:hAnsi="Symbola"/>
        </w:rPr>
        <w:t xml:space="preserve">and </w:t>
      </w:r>
      <w:r>
        <w:rPr>
          <w:rFonts w:ascii="Symbola" w:hAnsi="Symbola"/>
          <w:i/>
        </w:rPr>
        <w:t>De memoria</w:t>
      </w:r>
      <w:r>
        <w:rPr>
          <w:rFonts w:ascii="Symbola" w:hAnsi="Symbola"/>
        </w:rPr>
        <w:t>.</w:t>
      </w:r>
    </w:p>
    <w:p>
      <w:pPr>
        <w:pStyle w:val="Normal"/>
        <w:ind w:firstLine="180"/>
        <w:jc w:val="both"/>
        <w:rPr/>
      </w:pPr>
      <w:r>
        <w:rPr>
          <w:rFonts w:ascii="Symbola" w:hAnsi="Symbola"/>
        </w:rPr>
        <w:t>Of these, the majority, like Descartes’ example, do not involve any particular form of wax, (e.g. a candle), but are generic illustrations concerning the relation between the wax and its shape. Other more particular uses involve letters on a wax tablet,</w:t>
      </w:r>
      <w:r>
        <w:rPr>
          <w:rStyle w:val="EndnoteCharacters"/>
          <w:rStyle w:val="EndnoteAnchor"/>
          <w:rFonts w:ascii="Symbola" w:hAnsi="Symbola"/>
        </w:rPr>
        <w:endnoteReference w:id="18"/>
      </w:r>
      <w:r>
        <w:rPr>
          <w:rFonts w:ascii="Symbola" w:hAnsi="Symbola"/>
        </w:rPr>
        <w:t xml:space="preserve"> candles,</w:t>
      </w:r>
      <w:r>
        <w:rPr>
          <w:rStyle w:val="EndnoteCharacters"/>
          <w:rStyle w:val="EndnoteAnchor"/>
          <w:rFonts w:ascii="Symbola" w:hAnsi="Symbola"/>
        </w:rPr>
        <w:endnoteReference w:id="19"/>
      </w:r>
      <w:r>
        <w:rPr>
          <w:rFonts w:ascii="Symbola" w:hAnsi="Symbola"/>
        </w:rPr>
        <w:t xml:space="preserve"> a buoyant wax vessel,</w:t>
      </w:r>
      <w:r>
        <w:rPr>
          <w:rStyle w:val="EndnoteCharacters"/>
          <w:rStyle w:val="EndnoteAnchor"/>
          <w:rFonts w:ascii="Symbola" w:hAnsi="Symbola"/>
        </w:rPr>
        <w:endnoteReference w:id="20"/>
      </w:r>
      <w:r>
        <w:rPr>
          <w:rFonts w:ascii="Symbola" w:hAnsi="Symbola"/>
        </w:rPr>
        <w:t xml:space="preserve"> and the analogy of a signet impressed into wax.</w:t>
      </w:r>
      <w:r>
        <w:rPr>
          <w:rStyle w:val="EndnoteAnchor"/>
          <w:rFonts w:ascii="Symbola" w:hAnsi="Symbola"/>
        </w:rPr>
        <w:endnoteReference w:id="21"/>
      </w:r>
    </w:p>
    <w:p>
      <w:pPr>
        <w:pStyle w:val="Normal"/>
        <w:ind w:firstLine="180"/>
        <w:jc w:val="both"/>
        <w:rPr>
          <w:rFonts w:ascii="Symbola" w:hAnsi="Symbola"/>
        </w:rPr>
      </w:pPr>
      <w:r>
        <w:rPr>
          <w:rFonts w:ascii="Symbola" w:hAnsi="Symbola"/>
        </w:rPr>
        <w:t>There are four basic topics to which Aristotle applies these examples: i) mereology and composition, ii) generation and alteration, iii) the passive potencies of bodies, and iv) perception and memory. A cross-reference of passages, domains, and their applications is given in the following table:</w:t>
      </w:r>
    </w:p>
    <w:tbl>
      <w:tblPr>
        <w:tblStyle w:val="TableGrid"/>
        <w:tblW w:w="6470" w:type="dxa"/>
        <w:jc w:val="left"/>
        <w:tblInd w:w="0" w:type="dxa"/>
        <w:tblCellMar>
          <w:top w:w="0" w:type="dxa"/>
          <w:left w:w="108" w:type="dxa"/>
          <w:bottom w:w="0" w:type="dxa"/>
          <w:right w:w="108" w:type="dxa"/>
        </w:tblCellMar>
        <w:tblLook w:noVBand="1" w:val="04a0" w:noHBand="0" w:lastColumn="0" w:firstColumn="1" w:lastRow="0" w:firstRow="1"/>
      </w:tblPr>
      <w:tblGrid>
        <w:gridCol w:w="1288"/>
        <w:gridCol w:w="1496"/>
        <w:gridCol w:w="1284"/>
        <w:gridCol w:w="1173"/>
        <w:gridCol w:w="1229"/>
      </w:tblGrid>
      <w:tr>
        <w:trPr/>
        <w:tc>
          <w:tcPr>
            <w:tcW w:w="1288" w:type="dxa"/>
            <w:tcBorders/>
            <w:shd w:fill="auto" w:val="clear"/>
          </w:tcPr>
          <w:p>
            <w:pPr>
              <w:pStyle w:val="Normal"/>
              <w:spacing w:lineRule="auto" w:line="240" w:before="0" w:after="0"/>
              <w:jc w:val="both"/>
              <w:rPr>
                <w:rFonts w:ascii="Symbola" w:hAnsi="Symbola"/>
              </w:rPr>
            </w:pPr>
            <w:r>
              <w:rPr>
                <w:rFonts w:ascii="Symbola" w:hAnsi="Symbola"/>
                <w:b/>
              </w:rPr>
              <w:t>Area\Use</w:t>
            </w:r>
          </w:p>
        </w:tc>
        <w:tc>
          <w:tcPr>
            <w:tcW w:w="1496" w:type="dxa"/>
            <w:tcBorders/>
            <w:shd w:fill="auto" w:val="clear"/>
          </w:tcPr>
          <w:p>
            <w:pPr>
              <w:pStyle w:val="Normal"/>
              <w:spacing w:lineRule="auto" w:line="240" w:before="0" w:after="0"/>
              <w:jc w:val="both"/>
              <w:rPr>
                <w:rFonts w:ascii="Symbola" w:hAnsi="Symbola"/>
              </w:rPr>
            </w:pPr>
            <w:r>
              <w:rPr>
                <w:rFonts w:ascii="Symbola" w:hAnsi="Symbola"/>
                <w:b/>
              </w:rPr>
              <w:t>Mereology</w:t>
            </w:r>
          </w:p>
        </w:tc>
        <w:tc>
          <w:tcPr>
            <w:tcW w:w="1284" w:type="dxa"/>
            <w:tcBorders/>
            <w:shd w:fill="auto" w:val="clear"/>
          </w:tcPr>
          <w:p>
            <w:pPr>
              <w:pStyle w:val="Normal"/>
              <w:spacing w:lineRule="auto" w:line="240" w:before="0" w:after="0"/>
              <w:jc w:val="both"/>
              <w:rPr>
                <w:rFonts w:ascii="Symbola" w:hAnsi="Symbola"/>
              </w:rPr>
            </w:pPr>
            <w:r>
              <w:rPr>
                <w:rFonts w:ascii="Symbola" w:hAnsi="Symbola"/>
                <w:b/>
              </w:rPr>
              <w:t>Generation</w:t>
            </w:r>
          </w:p>
        </w:tc>
        <w:tc>
          <w:tcPr>
            <w:tcW w:w="1173" w:type="dxa"/>
            <w:tcBorders/>
            <w:shd w:fill="auto" w:val="clear"/>
          </w:tcPr>
          <w:p>
            <w:pPr>
              <w:pStyle w:val="Normal"/>
              <w:spacing w:lineRule="auto" w:line="240" w:before="0" w:after="0"/>
              <w:jc w:val="both"/>
              <w:rPr>
                <w:rFonts w:ascii="Symbola" w:hAnsi="Symbola"/>
              </w:rPr>
            </w:pPr>
            <w:r>
              <w:rPr>
                <w:rFonts w:ascii="Symbola" w:hAnsi="Symbola"/>
                <w:b/>
              </w:rPr>
              <w:t>Passive Potencies</w:t>
            </w:r>
          </w:p>
        </w:tc>
        <w:tc>
          <w:tcPr>
            <w:tcW w:w="1229" w:type="dxa"/>
            <w:tcBorders/>
            <w:shd w:fill="auto" w:val="clear"/>
          </w:tcPr>
          <w:p>
            <w:pPr>
              <w:pStyle w:val="Normal"/>
              <w:spacing w:lineRule="auto" w:line="240" w:before="0" w:after="0"/>
              <w:jc w:val="both"/>
              <w:rPr>
                <w:rFonts w:ascii="Symbola" w:hAnsi="Symbola"/>
              </w:rPr>
            </w:pPr>
            <w:r>
              <w:rPr>
                <w:rFonts w:ascii="Symbola" w:hAnsi="Symbola"/>
                <w:b/>
              </w:rPr>
              <w:t>Perception</w:t>
            </w:r>
          </w:p>
        </w:tc>
      </w:tr>
      <w:tr>
        <w:trPr/>
        <w:tc>
          <w:tcPr>
            <w:tcW w:w="1288" w:type="dxa"/>
            <w:tcBorders/>
            <w:shd w:fill="auto" w:val="clear"/>
          </w:tcPr>
          <w:p>
            <w:pPr>
              <w:pStyle w:val="Normal"/>
              <w:spacing w:lineRule="auto" w:line="240" w:before="0" w:after="0"/>
              <w:jc w:val="both"/>
              <w:rPr>
                <w:rFonts w:ascii="Symbola" w:hAnsi="Symbola"/>
              </w:rPr>
            </w:pPr>
            <w:r>
              <w:rPr>
                <w:rFonts w:ascii="Symbola" w:hAnsi="Symbola"/>
                <w:b/>
              </w:rPr>
              <w:t xml:space="preserve">Metaphysics </w:t>
            </w:r>
          </w:p>
        </w:tc>
        <w:tc>
          <w:tcPr>
            <w:tcW w:w="1496" w:type="dxa"/>
            <w:tcBorders/>
            <w:shd w:fill="auto" w:val="clear"/>
          </w:tcPr>
          <w:p>
            <w:pPr>
              <w:pStyle w:val="Normal"/>
              <w:spacing w:lineRule="auto" w:line="240" w:before="0" w:after="0"/>
              <w:jc w:val="both"/>
              <w:rPr>
                <w:rFonts w:ascii="Symbola" w:hAnsi="Symbola"/>
              </w:rPr>
            </w:pPr>
            <w:r>
              <w:rPr>
                <w:rFonts w:ascii="Symbola" w:hAnsi="Symbola"/>
                <w:i/>
              </w:rPr>
              <w:t>Metaph</w:t>
            </w:r>
            <w:r>
              <w:rPr>
                <w:rFonts w:ascii="Symbola" w:hAnsi="Symbola"/>
              </w:rPr>
              <w:t>.V.26, 1023</w:t>
            </w:r>
            <w:r>
              <w:rPr>
                <w:rFonts w:ascii="Symbola" w:hAnsi="Symbola"/>
                <w:vertAlign w:val="superscript"/>
              </w:rPr>
              <w:t>b</w:t>
            </w:r>
            <w:r>
              <w:rPr>
                <w:rFonts w:ascii="Symbola" w:hAnsi="Symbola"/>
              </w:rPr>
              <w:t>4-6</w:t>
            </w:r>
          </w:p>
          <w:p>
            <w:pPr>
              <w:pStyle w:val="Normal"/>
              <w:spacing w:lineRule="auto" w:line="240" w:before="0" w:after="0"/>
              <w:jc w:val="both"/>
              <w:rPr>
                <w:rFonts w:ascii="Symbola" w:hAnsi="Symbola"/>
              </w:rPr>
            </w:pPr>
            <w:r>
              <w:rPr>
                <w:rFonts w:ascii="Symbola" w:hAnsi="Symbola"/>
                <w:i/>
              </w:rPr>
              <w:t>Metaph.</w:t>
            </w:r>
            <w:r>
              <w:rPr>
                <w:rFonts w:ascii="Symbola" w:hAnsi="Symbola"/>
              </w:rPr>
              <w:t xml:space="preserve"> VII.10, 1035</w:t>
            </w:r>
            <w:r>
              <w:rPr>
                <w:rFonts w:ascii="Symbola" w:hAnsi="Symbola"/>
                <w:vertAlign w:val="superscript"/>
              </w:rPr>
              <w:t>a</w:t>
            </w:r>
            <w:r>
              <w:rPr>
                <w:rFonts w:ascii="Symbola" w:hAnsi="Symbola"/>
              </w:rPr>
              <w:t>14-17</w:t>
            </w:r>
          </w:p>
        </w:tc>
        <w:tc>
          <w:tcPr>
            <w:tcW w:w="1284" w:type="dxa"/>
            <w:tcBorders/>
            <w:shd w:fill="auto" w:val="clear"/>
          </w:tcPr>
          <w:p>
            <w:pPr>
              <w:pStyle w:val="Normal"/>
              <w:spacing w:lineRule="auto" w:line="240" w:before="0" w:after="0"/>
              <w:jc w:val="both"/>
              <w:rPr>
                <w:rFonts w:ascii="Symbola" w:hAnsi="Symbola"/>
              </w:rPr>
            </w:pPr>
            <w:r>
              <w:rPr>
                <w:rFonts w:ascii="Symbola" w:hAnsi="Symbola"/>
              </w:rPr>
            </w:r>
          </w:p>
        </w:tc>
        <w:tc>
          <w:tcPr>
            <w:tcW w:w="1173" w:type="dxa"/>
            <w:tcBorders/>
            <w:shd w:fill="auto" w:val="clear"/>
          </w:tcPr>
          <w:p>
            <w:pPr>
              <w:pStyle w:val="Normal"/>
              <w:spacing w:lineRule="auto" w:line="240" w:before="0" w:after="0"/>
              <w:jc w:val="both"/>
              <w:rPr>
                <w:rFonts w:ascii="Symbola" w:hAnsi="Symbola"/>
              </w:rPr>
            </w:pPr>
            <w:r>
              <w:rPr>
                <w:rFonts w:ascii="Symbola" w:hAnsi="Symbola"/>
              </w:rPr>
            </w:r>
          </w:p>
        </w:tc>
        <w:tc>
          <w:tcPr>
            <w:tcW w:w="1229" w:type="dxa"/>
            <w:tcBorders/>
            <w:shd w:fill="auto" w:val="clear"/>
          </w:tcPr>
          <w:p>
            <w:pPr>
              <w:pStyle w:val="Normal"/>
              <w:spacing w:lineRule="auto" w:line="240" w:before="0" w:after="0"/>
              <w:jc w:val="both"/>
              <w:rPr>
                <w:rFonts w:ascii="Symbola" w:hAnsi="Symbola"/>
              </w:rPr>
            </w:pPr>
            <w:r>
              <w:rPr>
                <w:rFonts w:ascii="Symbola" w:hAnsi="Symbola"/>
              </w:rPr>
            </w:r>
          </w:p>
        </w:tc>
      </w:tr>
      <w:tr>
        <w:trPr/>
        <w:tc>
          <w:tcPr>
            <w:tcW w:w="1288" w:type="dxa"/>
            <w:tcBorders/>
            <w:shd w:fill="auto" w:val="clear"/>
          </w:tcPr>
          <w:p>
            <w:pPr>
              <w:pStyle w:val="Normal"/>
              <w:spacing w:lineRule="auto" w:line="240" w:before="0" w:after="0"/>
              <w:jc w:val="both"/>
              <w:rPr>
                <w:rFonts w:ascii="Symbola" w:hAnsi="Symbola"/>
              </w:rPr>
            </w:pPr>
            <w:r>
              <w:rPr>
                <w:rFonts w:ascii="Symbola" w:hAnsi="Symbola"/>
                <w:b/>
              </w:rPr>
              <w:t>Physics</w:t>
            </w:r>
          </w:p>
        </w:tc>
        <w:tc>
          <w:tcPr>
            <w:tcW w:w="1496" w:type="dxa"/>
            <w:tcBorders/>
            <w:shd w:fill="auto" w:val="clear"/>
          </w:tcPr>
          <w:p>
            <w:pPr>
              <w:pStyle w:val="Normal"/>
              <w:spacing w:lineRule="auto" w:line="240" w:before="0" w:after="0"/>
              <w:jc w:val="both"/>
              <w:rPr>
                <w:rFonts w:ascii="Symbola" w:hAnsi="Symbola"/>
              </w:rPr>
            </w:pPr>
            <w:r>
              <w:rPr>
                <w:rFonts w:ascii="Symbola" w:hAnsi="Symbola"/>
                <w:i/>
              </w:rPr>
              <w:t xml:space="preserve">Meteora </w:t>
            </w:r>
            <w:r>
              <w:rPr>
                <w:rFonts w:ascii="Symbola" w:hAnsi="Symbola"/>
              </w:rPr>
              <w:t>II.3, 358</w:t>
            </w:r>
            <w:r>
              <w:rPr>
                <w:rFonts w:ascii="Symbola" w:hAnsi="Symbola"/>
                <w:vertAlign w:val="superscript"/>
              </w:rPr>
              <w:t>b</w:t>
            </w:r>
            <w:r>
              <w:rPr>
                <w:rFonts w:ascii="Symbola" w:hAnsi="Symbola"/>
              </w:rPr>
              <w:t>34-359</w:t>
            </w:r>
            <w:r>
              <w:rPr>
                <w:rFonts w:ascii="Symbola" w:hAnsi="Symbola"/>
                <w:vertAlign w:val="superscript"/>
              </w:rPr>
              <w:t>a</w:t>
            </w:r>
            <w:r>
              <w:rPr>
                <w:rFonts w:ascii="Symbola" w:hAnsi="Symbola"/>
              </w:rPr>
              <w:t>7</w:t>
            </w:r>
          </w:p>
        </w:tc>
        <w:tc>
          <w:tcPr>
            <w:tcW w:w="1284" w:type="dxa"/>
            <w:tcBorders/>
            <w:shd w:fill="auto" w:val="clear"/>
          </w:tcPr>
          <w:p>
            <w:pPr>
              <w:pStyle w:val="Normal"/>
              <w:spacing w:lineRule="auto" w:line="240" w:before="0" w:after="0"/>
              <w:jc w:val="both"/>
              <w:rPr>
                <w:rFonts w:ascii="Symbola" w:hAnsi="Symbola"/>
              </w:rPr>
            </w:pPr>
            <w:r>
              <w:rPr>
                <w:rFonts w:ascii="Symbola" w:hAnsi="Symbola"/>
                <w:i/>
              </w:rPr>
              <w:t>Physics</w:t>
            </w:r>
            <w:r>
              <w:rPr>
                <w:rFonts w:ascii="Symbola" w:hAnsi="Symbola"/>
              </w:rPr>
              <w:t xml:space="preserve"> VII.3, 245</w:t>
            </w:r>
            <w:r>
              <w:rPr>
                <w:rFonts w:ascii="Symbola" w:hAnsi="Symbola"/>
                <w:vertAlign w:val="superscript"/>
              </w:rPr>
              <w:t>b</w:t>
            </w:r>
            <w:r>
              <w:rPr>
                <w:rFonts w:ascii="Symbola" w:hAnsi="Symbola"/>
              </w:rPr>
              <w:t>9-16</w:t>
            </w:r>
          </w:p>
          <w:p>
            <w:pPr>
              <w:pStyle w:val="Normal"/>
              <w:spacing w:lineRule="auto" w:line="240" w:before="0" w:after="0"/>
              <w:jc w:val="both"/>
              <w:rPr>
                <w:rFonts w:ascii="Symbola" w:hAnsi="Symbola"/>
              </w:rPr>
            </w:pPr>
            <w:r>
              <w:rPr>
                <w:rFonts w:ascii="Symbola" w:hAnsi="Symbola"/>
                <w:i/>
              </w:rPr>
              <w:t xml:space="preserve">De Caelo </w:t>
            </w:r>
            <w:r>
              <w:rPr>
                <w:rFonts w:ascii="Symbola" w:hAnsi="Symbola"/>
              </w:rPr>
              <w:t>III.7, 305</w:t>
            </w:r>
            <w:r>
              <w:rPr>
                <w:rFonts w:ascii="Symbola" w:hAnsi="Symbola"/>
                <w:vertAlign w:val="superscript"/>
              </w:rPr>
              <w:t>b</w:t>
            </w:r>
            <w:r>
              <w:rPr>
                <w:rFonts w:ascii="Symbola" w:hAnsi="Symbola"/>
              </w:rPr>
              <w:t>28-31</w:t>
            </w:r>
          </w:p>
          <w:p>
            <w:pPr>
              <w:pStyle w:val="Normal"/>
              <w:spacing w:lineRule="auto" w:line="240" w:before="0" w:after="0"/>
              <w:jc w:val="both"/>
              <w:rPr>
                <w:rFonts w:ascii="Symbola" w:hAnsi="Symbola"/>
              </w:rPr>
            </w:pPr>
            <w:r>
              <w:rPr>
                <w:rFonts w:ascii="Symbola" w:hAnsi="Symbola"/>
                <w:i/>
              </w:rPr>
              <w:t xml:space="preserve">De Gen. </w:t>
            </w:r>
            <w:r>
              <w:rPr>
                <w:rFonts w:ascii="Symbola" w:hAnsi="Symbola"/>
              </w:rPr>
              <w:t>I.10, 327</w:t>
            </w:r>
            <w:r>
              <w:rPr>
                <w:rFonts w:ascii="Symbola" w:hAnsi="Symbola"/>
                <w:vertAlign w:val="superscript"/>
              </w:rPr>
              <w:t>b</w:t>
            </w:r>
            <w:r>
              <w:rPr>
                <w:rFonts w:ascii="Symbola" w:hAnsi="Symbola"/>
              </w:rPr>
              <w:t>14-16</w:t>
            </w:r>
          </w:p>
          <w:p>
            <w:pPr>
              <w:pStyle w:val="Normal"/>
              <w:spacing w:lineRule="auto" w:line="240" w:before="0" w:after="0"/>
              <w:jc w:val="both"/>
              <w:rPr>
                <w:rFonts w:ascii="Symbola" w:hAnsi="Symbola"/>
              </w:rPr>
            </w:pPr>
            <w:r>
              <w:rPr>
                <w:rFonts w:ascii="Symbola" w:hAnsi="Symbola"/>
                <w:i/>
              </w:rPr>
              <w:t xml:space="preserve">De Gen. </w:t>
            </w:r>
            <w:r>
              <w:rPr>
                <w:rFonts w:ascii="Symbola" w:hAnsi="Symbola"/>
              </w:rPr>
              <w:t>II.7, 334</w:t>
            </w:r>
            <w:r>
              <w:rPr>
                <w:rFonts w:ascii="Symbola" w:hAnsi="Symbola"/>
                <w:vertAlign w:val="superscript"/>
              </w:rPr>
              <w:t>a</w:t>
            </w:r>
            <w:r>
              <w:rPr>
                <w:rFonts w:ascii="Symbola" w:hAnsi="Symbola"/>
              </w:rPr>
              <w:t>32-36</w:t>
            </w:r>
          </w:p>
        </w:tc>
        <w:tc>
          <w:tcPr>
            <w:tcW w:w="1173" w:type="dxa"/>
            <w:tcBorders/>
            <w:shd w:fill="auto" w:val="clear"/>
          </w:tcPr>
          <w:p>
            <w:pPr>
              <w:pStyle w:val="Normal"/>
              <w:spacing w:lineRule="auto" w:line="240" w:before="0" w:after="0"/>
              <w:jc w:val="both"/>
              <w:rPr>
                <w:rFonts w:ascii="Symbola" w:hAnsi="Symbola"/>
              </w:rPr>
            </w:pPr>
            <w:r>
              <w:rPr>
                <w:rFonts w:ascii="Symbola" w:hAnsi="Symbola"/>
                <w:i/>
              </w:rPr>
              <w:t xml:space="preserve">Meteora </w:t>
            </w:r>
            <w:r>
              <w:rPr>
                <w:rFonts w:ascii="Symbola" w:hAnsi="Symbola"/>
              </w:rPr>
              <w:t>IV.9-10, 386</w:t>
            </w:r>
            <w:r>
              <w:rPr>
                <w:rFonts w:ascii="Symbola" w:hAnsi="Symbola"/>
                <w:vertAlign w:val="superscript"/>
              </w:rPr>
              <w:t>a</w:t>
            </w:r>
            <w:r>
              <w:rPr>
                <w:rFonts w:ascii="Symbola" w:hAnsi="Symbola"/>
              </w:rPr>
              <w:t>18-388</w:t>
            </w:r>
            <w:r>
              <w:rPr>
                <w:rFonts w:ascii="Symbola" w:hAnsi="Symbola"/>
                <w:vertAlign w:val="superscript"/>
              </w:rPr>
              <w:t>b</w:t>
            </w:r>
            <w:r>
              <w:rPr>
                <w:rFonts w:ascii="Symbola" w:hAnsi="Symbola"/>
              </w:rPr>
              <w:t>35</w:t>
            </w:r>
          </w:p>
        </w:tc>
        <w:tc>
          <w:tcPr>
            <w:tcW w:w="1229" w:type="dxa"/>
            <w:tcBorders/>
            <w:shd w:fill="auto" w:val="clear"/>
          </w:tcPr>
          <w:p>
            <w:pPr>
              <w:pStyle w:val="Normal"/>
              <w:spacing w:lineRule="auto" w:line="240" w:before="0" w:after="0"/>
              <w:jc w:val="both"/>
              <w:rPr>
                <w:rFonts w:ascii="Symbola" w:hAnsi="Symbola"/>
              </w:rPr>
            </w:pPr>
            <w:r>
              <w:rPr>
                <w:rFonts w:ascii="Symbola" w:hAnsi="Symbola"/>
              </w:rPr>
            </w:r>
          </w:p>
        </w:tc>
      </w:tr>
      <w:tr>
        <w:trPr/>
        <w:tc>
          <w:tcPr>
            <w:tcW w:w="1288" w:type="dxa"/>
            <w:tcBorders/>
            <w:shd w:fill="auto" w:val="clear"/>
          </w:tcPr>
          <w:p>
            <w:pPr>
              <w:pStyle w:val="Normal"/>
              <w:spacing w:lineRule="auto" w:line="240" w:before="0" w:after="0"/>
              <w:jc w:val="both"/>
              <w:rPr>
                <w:rFonts w:ascii="Symbola" w:hAnsi="Symbola"/>
              </w:rPr>
            </w:pPr>
            <w:r>
              <w:rPr>
                <w:rFonts w:ascii="Symbola" w:hAnsi="Symbola"/>
                <w:b/>
              </w:rPr>
              <w:t>Psychology</w:t>
            </w:r>
          </w:p>
        </w:tc>
        <w:tc>
          <w:tcPr>
            <w:tcW w:w="1496" w:type="dxa"/>
            <w:tcBorders/>
            <w:shd w:fill="auto" w:val="clear"/>
          </w:tcPr>
          <w:p>
            <w:pPr>
              <w:pStyle w:val="Normal"/>
              <w:spacing w:lineRule="auto" w:line="240" w:before="0" w:after="0"/>
              <w:jc w:val="both"/>
              <w:rPr>
                <w:rFonts w:ascii="Symbola" w:hAnsi="Symbola"/>
              </w:rPr>
            </w:pPr>
            <w:r>
              <w:rPr>
                <w:rFonts w:ascii="Symbola" w:hAnsi="Symbola"/>
                <w:i/>
              </w:rPr>
              <w:t xml:space="preserve">DA </w:t>
            </w:r>
            <w:r>
              <w:rPr>
                <w:rFonts w:ascii="Symbola" w:hAnsi="Symbola"/>
              </w:rPr>
              <w:t>II.1, 412</w:t>
            </w:r>
            <w:r>
              <w:rPr>
                <w:rFonts w:ascii="Symbola" w:hAnsi="Symbola"/>
                <w:vertAlign w:val="superscript"/>
              </w:rPr>
              <w:t>b</w:t>
            </w:r>
            <w:r>
              <w:rPr>
                <w:rFonts w:ascii="Symbola" w:hAnsi="Symbola"/>
              </w:rPr>
              <w:t>5-8</w:t>
            </w:r>
          </w:p>
        </w:tc>
        <w:tc>
          <w:tcPr>
            <w:tcW w:w="1284" w:type="dxa"/>
            <w:tcBorders/>
            <w:shd w:fill="auto" w:val="clear"/>
          </w:tcPr>
          <w:p>
            <w:pPr>
              <w:pStyle w:val="Normal"/>
              <w:spacing w:lineRule="auto" w:line="240" w:before="0" w:after="0"/>
              <w:jc w:val="both"/>
              <w:rPr>
                <w:rFonts w:ascii="Symbola" w:hAnsi="Symbola"/>
              </w:rPr>
            </w:pPr>
            <w:r>
              <w:rPr>
                <w:rFonts w:ascii="Symbola" w:hAnsi="Symbola"/>
              </w:rPr>
            </w:r>
          </w:p>
        </w:tc>
        <w:tc>
          <w:tcPr>
            <w:tcW w:w="1173" w:type="dxa"/>
            <w:tcBorders/>
            <w:shd w:fill="auto" w:val="clear"/>
          </w:tcPr>
          <w:p>
            <w:pPr>
              <w:pStyle w:val="Normal"/>
              <w:spacing w:lineRule="auto" w:line="240" w:before="0" w:after="0"/>
              <w:jc w:val="both"/>
              <w:rPr>
                <w:rFonts w:ascii="Symbola" w:hAnsi="Symbola"/>
              </w:rPr>
            </w:pPr>
            <w:r>
              <w:rPr>
                <w:rFonts w:ascii="Symbola" w:hAnsi="Symbola"/>
              </w:rPr>
            </w:r>
          </w:p>
        </w:tc>
        <w:tc>
          <w:tcPr>
            <w:tcW w:w="1229" w:type="dxa"/>
            <w:tcBorders/>
            <w:shd w:fill="auto" w:val="clear"/>
          </w:tcPr>
          <w:p>
            <w:pPr>
              <w:pStyle w:val="Normal"/>
              <w:spacing w:lineRule="auto" w:line="240" w:before="0" w:after="0"/>
              <w:jc w:val="both"/>
              <w:rPr>
                <w:rFonts w:ascii="Symbola" w:hAnsi="Symbola"/>
              </w:rPr>
            </w:pPr>
            <w:r>
              <w:rPr>
                <w:rFonts w:ascii="Symbola" w:hAnsi="Symbola"/>
                <w:i/>
              </w:rPr>
              <w:t xml:space="preserve">DA </w:t>
            </w:r>
            <w:r>
              <w:rPr>
                <w:rFonts w:ascii="Symbola" w:hAnsi="Symbola"/>
              </w:rPr>
              <w:t>II.12, 424</w:t>
            </w:r>
            <w:r>
              <w:rPr>
                <w:rFonts w:ascii="Symbola" w:hAnsi="Symbola"/>
                <w:vertAlign w:val="superscript"/>
              </w:rPr>
              <w:t>a</w:t>
            </w:r>
            <w:r>
              <w:rPr>
                <w:rFonts w:ascii="Symbola" w:hAnsi="Symbola"/>
              </w:rPr>
              <w:t>18-24</w:t>
            </w:r>
          </w:p>
          <w:p>
            <w:pPr>
              <w:pStyle w:val="Normal"/>
              <w:spacing w:lineRule="auto" w:line="240" w:before="0" w:after="0"/>
              <w:jc w:val="both"/>
              <w:rPr>
                <w:rFonts w:ascii="Symbola" w:hAnsi="Symbola"/>
              </w:rPr>
            </w:pPr>
            <w:r>
              <w:rPr>
                <w:rFonts w:ascii="Symbola" w:hAnsi="Symbola"/>
                <w:i/>
              </w:rPr>
              <w:t xml:space="preserve">DA </w:t>
            </w:r>
            <w:r>
              <w:rPr>
                <w:rFonts w:ascii="Symbola" w:hAnsi="Symbola"/>
              </w:rPr>
              <w:t>III.12, 435</w:t>
            </w:r>
            <w:r>
              <w:rPr>
                <w:rFonts w:ascii="Symbola" w:hAnsi="Symbola"/>
                <w:vertAlign w:val="superscript"/>
              </w:rPr>
              <w:t>a</w:t>
            </w:r>
            <w:r>
              <w:rPr>
                <w:rFonts w:ascii="Symbola" w:hAnsi="Symbola"/>
              </w:rPr>
              <w:t>3-10</w:t>
            </w:r>
          </w:p>
          <w:p>
            <w:pPr>
              <w:pStyle w:val="Normal"/>
              <w:spacing w:lineRule="auto" w:line="240" w:before="0" w:after="0"/>
              <w:jc w:val="both"/>
              <w:rPr>
                <w:rFonts w:ascii="Symbola" w:hAnsi="Symbola"/>
              </w:rPr>
            </w:pPr>
            <w:r>
              <w:rPr>
                <w:rFonts w:ascii="Symbola" w:hAnsi="Symbola"/>
                <w:i/>
              </w:rPr>
              <w:t>De Mem.</w:t>
            </w:r>
            <w:r>
              <w:rPr>
                <w:rFonts w:ascii="Symbola" w:hAnsi="Symbola"/>
              </w:rPr>
              <w:t xml:space="preserve"> 1, 450</w:t>
            </w:r>
            <w:r>
              <w:rPr>
                <w:rFonts w:ascii="Symbola" w:hAnsi="Symbola"/>
                <w:vertAlign w:val="superscript"/>
              </w:rPr>
              <w:t>a</w:t>
            </w:r>
            <w:r>
              <w:rPr>
                <w:rFonts w:ascii="Symbola" w:hAnsi="Symbola"/>
              </w:rPr>
              <w:t>28-33</w:t>
            </w:r>
          </w:p>
        </w:tc>
      </w:tr>
    </w:tbl>
    <w:p>
      <w:pPr>
        <w:pStyle w:val="Normal"/>
        <w:jc w:val="both"/>
        <w:rPr>
          <w:rFonts w:ascii="Symbola" w:hAnsi="Symbola"/>
        </w:rPr>
      </w:pPr>
      <w:r>
        <w:rPr>
          <w:rFonts w:ascii="Symbola" w:hAnsi="Symbola"/>
        </w:rPr>
      </w:r>
    </w:p>
    <w:p>
      <w:pPr>
        <w:pStyle w:val="Heading2"/>
        <w:jc w:val="both"/>
        <w:rPr>
          <w:rFonts w:ascii="Symbola" w:hAnsi="Symbola"/>
        </w:rPr>
      </w:pPr>
      <w:r>
        <w:rPr>
          <w:rFonts w:ascii="Symbola" w:hAnsi="Symbola"/>
        </w:rPr>
        <w:t>2.2 Exposition of Aristotle’s uses of wax examples</w:t>
      </w:r>
    </w:p>
    <w:p>
      <w:pPr>
        <w:pStyle w:val="Heading3"/>
        <w:jc w:val="both"/>
        <w:rPr>
          <w:rFonts w:ascii="Symbola" w:hAnsi="Symbola"/>
        </w:rPr>
      </w:pPr>
      <w:r>
        <w:rPr>
          <w:rFonts w:ascii="Symbola" w:hAnsi="Symbola"/>
        </w:rPr>
        <w:t>2.2.1 As related to composition and alteration</w:t>
      </w:r>
    </w:p>
    <w:p>
      <w:pPr>
        <w:pStyle w:val="Normal"/>
        <w:ind w:firstLine="180"/>
        <w:jc w:val="both"/>
        <w:rPr>
          <w:rFonts w:ascii="Symbola" w:hAnsi="Symbola"/>
        </w:rPr>
      </w:pPr>
      <w:r>
        <w:rPr>
          <w:rFonts w:ascii="Symbola" w:hAnsi="Symbola"/>
        </w:rPr>
        <w:t xml:space="preserve">In his characterization of the matter-form relation, Aristotle </w:t>
      </w:r>
      <w:r>
        <w:rPr>
          <w:rFonts w:ascii="Symbola" w:hAnsi="Symbola"/>
        </w:rPr>
        <w:t xml:space="preserve">posits </w:t>
      </w:r>
      <w:r>
        <w:rPr>
          <w:rFonts w:ascii="Symbola" w:hAnsi="Symbola"/>
        </w:rPr>
        <w:t xml:space="preserve">a </w:t>
      </w:r>
      <w:r>
        <w:rPr>
          <w:rFonts w:ascii="Symbola" w:hAnsi="Symbola"/>
        </w:rPr>
        <w:t xml:space="preserve">notion </w:t>
      </w:r>
      <w:r>
        <w:rPr>
          <w:rFonts w:ascii="Symbola" w:hAnsi="Symbola"/>
        </w:rPr>
        <w:t xml:space="preserve">of body </w:t>
      </w:r>
      <w:r>
        <w:rPr>
          <w:rFonts w:ascii="Symbola" w:hAnsi="Symbola"/>
        </w:rPr>
        <w:t xml:space="preserve">that is </w:t>
      </w:r>
      <w:r>
        <w:rPr>
          <w:rFonts w:ascii="Symbola" w:hAnsi="Symbola"/>
        </w:rPr>
        <w:t>necessarily correlat</w:t>
      </w:r>
      <w:r>
        <w:rPr>
          <w:rFonts w:ascii="Symbola" w:hAnsi="Symbola"/>
        </w:rPr>
        <w:t>ive</w:t>
      </w:r>
      <w:r>
        <w:rPr>
          <w:rFonts w:ascii="Symbola" w:hAnsi="Symbola"/>
        </w:rPr>
        <w:t xml:space="preserve"> </w:t>
      </w:r>
      <w:r>
        <w:rPr>
          <w:rFonts w:ascii="Symbola" w:hAnsi="Symbola"/>
        </w:rPr>
        <w:t xml:space="preserve">to </w:t>
      </w:r>
      <w:r>
        <w:rPr>
          <w:rFonts w:ascii="Symbola" w:hAnsi="Symbola"/>
        </w:rPr>
        <w:t xml:space="preserve">its form. Aristotle views on this correlation are worked out primarily in his remarks on composition and alteration in the </w:t>
      </w:r>
      <w:r>
        <w:rPr>
          <w:rFonts w:ascii="Symbola" w:hAnsi="Symbola"/>
          <w:i/>
        </w:rPr>
        <w:t xml:space="preserve">Physics </w:t>
      </w:r>
      <w:r>
        <w:rPr>
          <w:rFonts w:ascii="Symbola" w:hAnsi="Symbola"/>
        </w:rPr>
        <w:t xml:space="preserve">and </w:t>
      </w:r>
      <w:r>
        <w:rPr>
          <w:rFonts w:ascii="Symbola" w:hAnsi="Symbola"/>
          <w:i/>
        </w:rPr>
        <w:t>Parva Naturalia</w:t>
      </w:r>
      <w:r>
        <w:rPr>
          <w:rFonts w:ascii="Symbola" w:hAnsi="Symbola"/>
        </w:rPr>
        <w:t>.</w:t>
      </w:r>
    </w:p>
    <w:p>
      <w:pPr>
        <w:pStyle w:val="Normal"/>
        <w:ind w:firstLine="180"/>
        <w:jc w:val="both"/>
        <w:rPr>
          <w:rFonts w:ascii="Symbola" w:hAnsi="Symbola"/>
        </w:rPr>
      </w:pPr>
      <w:r>
        <w:rPr>
          <w:rFonts w:ascii="Symbola" w:hAnsi="Symbola"/>
        </w:rPr>
        <w:t>Two of the broadest of Aristotle’s uses of the wax example pertain to his rejection of a notion of matter as a unique, real substratum of all things. For Aristotle, this assumption both i) leaves generation undifferentiated from simple alteration, and ii) explains alteration in terms of combination. Neither of these is quite right. On the first, Aristotle tells us that:</w:t>
      </w:r>
    </w:p>
    <w:p>
      <w:pPr>
        <w:pStyle w:val="Normal"/>
        <w:ind w:left="720" w:hanging="0"/>
        <w:jc w:val="both"/>
        <w:rPr/>
      </w:pPr>
      <w:r>
        <w:rPr>
          <w:rFonts w:ascii="Symbola" w:hAnsi="Symbola"/>
        </w:rPr>
        <w:t>When anything has been completely shaped or structured, we do not call it by the name of its material: e.g. we do not call the statue bronze or the candle wax or the bed wood, but we use a paronymous expression and call them brazen, waxen, and wooden respectively. But when a thing has been affected and altered in any way we still call it by the original name: thus we speak of the bronze or the wax being fluid or hard or hot (not only that—we also call the fluid and the hot stuff bronze, giving the matter the same name as the affection).</w:t>
      </w:r>
      <w:r>
        <w:rPr>
          <w:rStyle w:val="EndnoteAnchor"/>
          <w:rFonts w:ascii="Symbola" w:hAnsi="Symbola"/>
        </w:rPr>
        <w:endnoteReference w:id="22"/>
      </w:r>
    </w:p>
    <w:p>
      <w:pPr>
        <w:pStyle w:val="Normal"/>
        <w:ind w:firstLine="180"/>
        <w:jc w:val="both"/>
        <w:rPr/>
      </w:pPr>
      <w:r>
        <w:rPr>
          <w:rFonts w:ascii="Symbola" w:hAnsi="Symbola"/>
        </w:rPr>
        <w:t>Here</w:t>
      </w:r>
      <w:r>
        <w:rPr>
          <w:rFonts w:ascii="Symbola" w:hAnsi="Symbola"/>
        </w:rPr>
        <w:t>, the difference between substantive and paronymous uses of a term reflects a more basic difference between something’s being “completely shaped and structured,” i.e. a whole, and something’s belonging to something else.</w:t>
      </w:r>
      <w:r>
        <w:rPr>
          <w:rStyle w:val="EndnoteCharacters"/>
          <w:rStyle w:val="EndnoteAnchor"/>
          <w:rFonts w:ascii="Symbola" w:hAnsi="Symbola"/>
        </w:rPr>
        <w:endnoteReference w:id="23"/>
      </w:r>
      <w:r>
        <w:rPr>
          <w:rFonts w:ascii="Symbola" w:hAnsi="Symbola"/>
        </w:rPr>
        <w:t xml:space="preserve"> But to identify the substantial with the elemental, as Antiphon does, and to further insist on only one kind of elemental, as Democritus seems to, does violence to this </w:t>
      </w:r>
      <w:r>
        <w:rPr>
          <w:rFonts w:ascii="Symbola" w:hAnsi="Symbola"/>
        </w:rPr>
        <w:t xml:space="preserve">linguistic </w:t>
      </w:r>
      <w:r>
        <w:rPr>
          <w:rFonts w:ascii="Symbola" w:hAnsi="Symbola"/>
        </w:rPr>
        <w:t>datum.</w:t>
      </w:r>
    </w:p>
    <w:p>
      <w:pPr>
        <w:pStyle w:val="Normal"/>
        <w:ind w:firstLine="180"/>
        <w:jc w:val="both"/>
        <w:rPr>
          <w:rFonts w:ascii="Symbola" w:hAnsi="Symbola"/>
        </w:rPr>
      </w:pPr>
      <w:r>
        <w:rPr>
          <w:rFonts w:ascii="Symbola" w:hAnsi="Symbola"/>
        </w:rPr>
        <w:t xml:space="preserve">On the second point </w:t>
      </w:r>
      <w:r>
        <w:rPr>
          <w:rFonts w:ascii="Symbola" w:hAnsi="Symbola"/>
        </w:rPr>
        <w:t>above</w:t>
      </w:r>
      <w:r>
        <w:rPr>
          <w:rFonts w:ascii="Symbola" w:hAnsi="Symbola"/>
        </w:rPr>
        <w:t xml:space="preserve">, Aristotle insists that genuine change cannot be accounted for simply in terms of combinations. </w:t>
      </w:r>
      <w:r>
        <w:rPr>
          <w:rFonts w:ascii="Symbola" w:hAnsi="Symbola"/>
        </w:rPr>
        <w:t xml:space="preserve">In the </w:t>
      </w:r>
      <w:r>
        <w:rPr>
          <w:rFonts w:ascii="Symbola" w:hAnsi="Symbola"/>
          <w:i/>
          <w:iCs/>
        </w:rPr>
        <w:t xml:space="preserve">De generatione </w:t>
      </w:r>
      <w:r>
        <w:rPr>
          <w:rFonts w:ascii="Symbola" w:hAnsi="Symbola"/>
          <w:i w:val="false"/>
          <w:iCs w:val="false"/>
        </w:rPr>
        <w:t>h</w:t>
      </w:r>
      <w:r>
        <w:rPr>
          <w:rFonts w:ascii="Symbola" w:hAnsi="Symbola"/>
        </w:rPr>
        <w:t>e writes:</w:t>
      </w:r>
    </w:p>
    <w:p>
      <w:pPr>
        <w:pStyle w:val="Normal"/>
        <w:ind w:left="720" w:hanging="0"/>
        <w:jc w:val="both"/>
        <w:rPr/>
      </w:pPr>
      <w:r>
        <w:rPr>
          <w:rFonts w:ascii="Symbola" w:hAnsi="Symbola"/>
        </w:rPr>
        <w:t>Now we do not speak of the wood as combined with the fire, nor of its burning as a combining either of its particles with one another or of itself with the fire: what we say is that the fire is coming-to-be, but the wood is passing-away. Similarly, we speak neither of the food as combining with the body, nor of the shape as combining with the wax and thus fashioning a lump. Nor can body combine with white, nor (to generalize) properties and states of things; for we see them persisting unaltered.</w:t>
      </w:r>
      <w:r>
        <w:rPr>
          <w:rStyle w:val="EndnoteAnchor"/>
          <w:rFonts w:ascii="Symbola" w:hAnsi="Symbola"/>
        </w:rPr>
        <w:endnoteReference w:id="24"/>
      </w:r>
    </w:p>
    <w:p>
      <w:pPr>
        <w:pStyle w:val="Normal"/>
        <w:jc w:val="both"/>
        <w:rPr>
          <w:rFonts w:ascii="Symbola" w:hAnsi="Symbola"/>
        </w:rPr>
      </w:pPr>
      <w:r>
        <w:rPr>
          <w:rFonts w:ascii="Symbola" w:hAnsi="Symbola"/>
        </w:rPr>
        <w:t xml:space="preserve">Aristotle here couples </w:t>
      </w:r>
      <w:r>
        <w:rPr>
          <w:rFonts w:ascii="Symbola" w:hAnsi="Symbola"/>
        </w:rPr>
        <w:t xml:space="preserve">the wax example with a reference to the process of taking in nutrition, and </w:t>
      </w:r>
      <w:r>
        <w:rPr>
          <w:rFonts w:ascii="Symbola" w:hAnsi="Symbola"/>
        </w:rPr>
        <w:t xml:space="preserve">allowing </w:t>
      </w:r>
      <w:r>
        <w:rPr>
          <w:rFonts w:ascii="Symbola" w:hAnsi="Symbola"/>
        </w:rPr>
        <w:t xml:space="preserve">these processes to mutually illuminate each other. In the nutritive process, the food, in order to be digested, must </w:t>
      </w:r>
      <w:r>
        <w:rPr>
          <w:rFonts w:ascii="Symbola" w:hAnsi="Symbola"/>
          <w:i/>
        </w:rPr>
        <w:t xml:space="preserve">cease to exist </w:t>
      </w:r>
      <w:r>
        <w:rPr>
          <w:rFonts w:ascii="Symbola" w:hAnsi="Symbola"/>
        </w:rPr>
        <w:t xml:space="preserve">as food, and become something else, viz., a part of the body taking it in. Similarly, the fire, while one of the elements constituting the wood according to Aristotle’s theory of elements, did not itself exist when it was doing so. It was an integral part of the wood, but by being taken up into a more advanced structure, it ceased to have the activity constitutive of its original nature, and thus in this sense ceased to </w:t>
      </w:r>
      <w:r>
        <w:rPr>
          <w:rFonts w:ascii="Symbola" w:hAnsi="Symbola"/>
          <w:i/>
        </w:rPr>
        <w:t>be</w:t>
      </w:r>
      <w:r>
        <w:rPr>
          <w:rFonts w:ascii="Symbola" w:hAnsi="Symbola"/>
        </w:rPr>
        <w:t xml:space="preserve">. And when the wood was burning, the fire was, out of that very wood, in the process of becoming. The problem </w:t>
      </w:r>
      <w:r>
        <w:rPr>
          <w:rFonts w:ascii="Symbola" w:hAnsi="Symbola"/>
        </w:rPr>
        <w:t xml:space="preserve">for the combinatorial account of change </w:t>
      </w:r>
      <w:r>
        <w:rPr>
          <w:rFonts w:ascii="Symbola" w:hAnsi="Symbola"/>
        </w:rPr>
        <w:t xml:space="preserve">arises in a deeper way for the wax and its shape, because the shape </w:t>
      </w:r>
      <w:r>
        <w:rPr>
          <w:rFonts w:ascii="Symbola" w:hAnsi="Symbola"/>
          <w:i w:val="false"/>
          <w:iCs w:val="false"/>
        </w:rPr>
        <w:t xml:space="preserve">cannot </w:t>
      </w:r>
      <w:r>
        <w:rPr>
          <w:rFonts w:ascii="Symbola" w:hAnsi="Symbola"/>
          <w:i w:val="false"/>
          <w:iCs w:val="false"/>
        </w:rPr>
        <w:t>exist independently of the wax</w:t>
      </w:r>
      <w:r>
        <w:rPr>
          <w:rFonts w:ascii="Symbola" w:hAnsi="Symbola"/>
        </w:rPr>
        <w:t xml:space="preserve">, </w:t>
      </w:r>
      <w:r>
        <w:rPr>
          <w:rFonts w:ascii="Symbola" w:hAnsi="Symbola"/>
        </w:rPr>
        <w:t xml:space="preserve">and hence does combine with it. If the combinatorial account were correct, we would be led to conclude that shape, simply put, </w:t>
      </w:r>
      <w:r>
        <w:rPr>
          <w:rFonts w:ascii="Symbola" w:hAnsi="Symbola"/>
        </w:rPr>
        <w:t xml:space="preserve">cannot </w:t>
      </w:r>
      <w:r>
        <w:rPr>
          <w:rFonts w:ascii="Symbola" w:hAnsi="Symbola"/>
          <w:i/>
        </w:rPr>
        <w:t>be</w:t>
      </w:r>
      <w:r>
        <w:rPr>
          <w:rFonts w:ascii="Symbola" w:hAnsi="Symbola"/>
        </w:rPr>
        <w:t>. But this, thinks Aristotle, is absurd. Hence, the account must be rejected.</w:t>
      </w:r>
    </w:p>
    <w:p>
      <w:pPr>
        <w:pStyle w:val="Normal"/>
        <w:ind w:firstLine="180"/>
        <w:jc w:val="both"/>
        <w:rPr/>
      </w:pPr>
      <w:r>
        <w:rPr>
          <w:rFonts w:ascii="Symbola" w:hAnsi="Symbola"/>
        </w:rPr>
        <w:t>I</w:t>
      </w:r>
      <w:r>
        <w:rPr>
          <w:rFonts w:ascii="Symbola" w:hAnsi="Symbola"/>
        </w:rPr>
        <w:t>t is important to note what Aristotle does not</w:t>
      </w:r>
      <w:r>
        <w:rPr>
          <w:rFonts w:ascii="Symbola" w:hAnsi="Symbola"/>
          <w:i/>
        </w:rPr>
        <w:t xml:space="preserve"> </w:t>
      </w:r>
      <w:r>
        <w:rPr>
          <w:rFonts w:ascii="Symbola" w:hAnsi="Symbola"/>
        </w:rPr>
        <w:t xml:space="preserve">say on this subject. Aristotle does not hold that </w:t>
      </w:r>
      <w:r>
        <w:rPr>
          <w:rFonts w:ascii="Symbola" w:hAnsi="Symbola"/>
          <w:i/>
        </w:rPr>
        <w:t xml:space="preserve">all </w:t>
      </w:r>
      <w:r>
        <w:rPr>
          <w:rFonts w:ascii="Symbola" w:hAnsi="Symbola"/>
        </w:rPr>
        <w:t xml:space="preserve">forms are </w:t>
      </w:r>
      <w:r>
        <w:rPr>
          <w:rFonts w:ascii="Symbola" w:hAnsi="Symbola"/>
          <w:i/>
        </w:rPr>
        <w:t xml:space="preserve">only </w:t>
      </w:r>
      <w:r>
        <w:rPr>
          <w:rFonts w:ascii="Symbola" w:hAnsi="Symbola"/>
        </w:rPr>
        <w:t xml:space="preserve">instantiated in one kind of matter. As is clear from the </w:t>
      </w:r>
      <w:r>
        <w:rPr>
          <w:rFonts w:ascii="Symbola" w:hAnsi="Symbola"/>
          <w:i/>
        </w:rPr>
        <w:t>Meteorology</w:t>
      </w:r>
      <w:r>
        <w:rPr>
          <w:rFonts w:ascii="Symbola" w:hAnsi="Symbola"/>
        </w:rPr>
        <w:t xml:space="preserve">, there are forms that essentially belong to certain kinds of bodies that do not belong </w:t>
      </w:r>
      <w:r>
        <w:rPr>
          <w:rFonts w:ascii="Symbola" w:hAnsi="Symbola"/>
          <w:i/>
        </w:rPr>
        <w:t xml:space="preserve">only </w:t>
      </w:r>
      <w:r>
        <w:rPr>
          <w:rFonts w:ascii="Symbola" w:hAnsi="Symbola"/>
        </w:rPr>
        <w:t>to those kinds of bodies: being impressible belongs both to wax and copper;</w:t>
      </w:r>
      <w:r>
        <w:rPr>
          <w:rStyle w:val="EndnoteCharacters"/>
          <w:rStyle w:val="EndnoteAnchor"/>
          <w:rFonts w:ascii="Symbola" w:hAnsi="Symbola"/>
        </w:rPr>
        <w:endnoteReference w:id="25"/>
      </w:r>
      <w:r>
        <w:rPr>
          <w:rFonts w:ascii="Symbola" w:hAnsi="Symbola"/>
        </w:rPr>
        <w:t xml:space="preserve"> being squeezable belongs essentially to sponges, wax, and flesh;</w:t>
      </w:r>
      <w:r>
        <w:rPr>
          <w:rStyle w:val="EndnoteCharacters"/>
          <w:rStyle w:val="EndnoteAnchor"/>
          <w:rFonts w:ascii="Symbola" w:hAnsi="Symbola"/>
        </w:rPr>
        <w:endnoteReference w:id="26"/>
      </w:r>
      <w:r>
        <w:rPr>
          <w:rFonts w:ascii="Symbola" w:hAnsi="Symbola"/>
        </w:rPr>
        <w:t xml:space="preserve"> </w:t>
      </w:r>
      <w:r>
        <w:rPr>
          <w:rFonts w:ascii="Symbola" w:hAnsi="Symbola"/>
          <w:i/>
        </w:rPr>
        <w:t>any</w:t>
      </w:r>
      <w:r>
        <w:rPr>
          <w:rFonts w:ascii="Symbola" w:hAnsi="Symbola"/>
        </w:rPr>
        <w:t xml:space="preserve"> composite partly composed of water is meltable,</w:t>
      </w:r>
      <w:r>
        <w:rPr>
          <w:rStyle w:val="EndnoteCharacters"/>
          <w:rStyle w:val="EndnoteAnchor"/>
          <w:rFonts w:ascii="Symbola" w:hAnsi="Symbola"/>
        </w:rPr>
        <w:endnoteReference w:id="27"/>
      </w:r>
      <w:r>
        <w:rPr>
          <w:rFonts w:ascii="Symbola" w:hAnsi="Symbola"/>
        </w:rPr>
        <w:t xml:space="preserve"> etc. </w:t>
      </w:r>
    </w:p>
    <w:p>
      <w:pPr>
        <w:pStyle w:val="Normal"/>
        <w:ind w:firstLine="180"/>
        <w:jc w:val="both"/>
        <w:rPr>
          <w:rFonts w:ascii="Symbola" w:hAnsi="Symbola"/>
        </w:rPr>
      </w:pPr>
      <w:r>
        <w:rPr>
          <w:rFonts w:ascii="Symbola" w:hAnsi="Symbola"/>
        </w:rPr>
        <w:t>Thus e</w:t>
      </w:r>
      <w:r>
        <w:rPr>
          <w:rFonts w:ascii="Symbola" w:hAnsi="Symbola"/>
        </w:rPr>
        <w:t xml:space="preserve">ven before entering into the realm of living beings, it is clear that things need not belong to the same </w:t>
      </w:r>
      <w:r>
        <w:rPr>
          <w:rFonts w:ascii="Symbola" w:hAnsi="Symbola"/>
          <w:i/>
        </w:rPr>
        <w:t>specific</w:t>
      </w:r>
      <w:r>
        <w:rPr>
          <w:rFonts w:ascii="Symbola" w:hAnsi="Symbola"/>
        </w:rPr>
        <w:t xml:space="preserve"> kind in order to share a common function. ‘Animal’, for instance, is not a specific kind; and so it is clear that perceptions, which are the characteristic functions of animals, are realized in different species. In at least this respect, Aristotle </w:t>
      </w:r>
      <w:r>
        <w:rPr>
          <w:rFonts w:ascii="Symbola" w:hAnsi="Symbola"/>
        </w:rPr>
        <w:t xml:space="preserve">allows for instantiation of the same form type in multiple kinds of matter, or </w:t>
      </w:r>
      <w:r>
        <w:rPr>
          <w:rFonts w:ascii="Symbola" w:hAnsi="Symbola"/>
          <w:i/>
          <w:iCs/>
        </w:rPr>
        <w:t>multiple realizability</w:t>
      </w:r>
      <w:r>
        <w:rPr>
          <w:rFonts w:ascii="Symbola" w:hAnsi="Symbola"/>
        </w:rPr>
        <w:t>.</w:t>
      </w:r>
    </w:p>
    <w:p>
      <w:pPr>
        <w:pStyle w:val="Normal"/>
        <w:ind w:firstLine="180"/>
        <w:jc w:val="both"/>
        <w:rPr>
          <w:rFonts w:ascii="Symbola" w:hAnsi="Symbola"/>
        </w:rPr>
      </w:pPr>
      <w:r>
        <w:rPr>
          <w:rFonts w:ascii="Symbola" w:hAnsi="Symbola"/>
        </w:rPr>
        <w:t>Like being able to perceive, all of the qualities mentioned above are dispositional qualities of things whose corresponding enactments – being impressed, melted, etc. – belong to the category of passion. In this context, the claim that certain kinds of matter have certain qualities and capacities – i.e. correspond to certain kinds of forms – that others don’t should seem relatively innocuous. We still accept today that water is drinkable, liquid at room temperature, etc., while neither hydrogen nor oxygen is so.</w:t>
      </w:r>
    </w:p>
    <w:p>
      <w:pPr>
        <w:pStyle w:val="Normal"/>
        <w:ind w:firstLine="180"/>
        <w:jc w:val="both"/>
        <w:rPr/>
      </w:pPr>
      <w:r>
        <w:rPr>
          <w:rFonts w:ascii="Symbola" w:hAnsi="Symbola"/>
        </w:rPr>
        <w:t xml:space="preserve">The last mentioned of Aristotle’s examples further shows that properties predicable of a whole by virtue of its having a proper part are not thereby predicable of that part: anything partly composed of water is meltable, but water itself is not meltable. Likewise, any body with flesh, bones, organs, etc. is essentially alive. But from this, it does not follow that “the flesh, bones, organs, etc. of which we are </w:t>
      </w:r>
      <w:r>
        <w:rPr>
          <w:rFonts w:ascii="Symbola" w:hAnsi="Symbola"/>
          <w:i/>
        </w:rPr>
        <w:t>composed</w:t>
      </w:r>
      <w:r>
        <w:rPr>
          <w:rFonts w:ascii="Symbola" w:hAnsi="Symbola"/>
        </w:rPr>
        <w:t xml:space="preserve"> are essentially alive.”</w:t>
      </w:r>
      <w:r>
        <w:rPr>
          <w:rStyle w:val="EndnoteAnchor"/>
          <w:rFonts w:ascii="Symbola" w:hAnsi="Symbola"/>
        </w:rPr>
        <w:endnoteReference w:id="28"/>
      </w:r>
    </w:p>
    <w:p>
      <w:pPr>
        <w:pStyle w:val="Heading3"/>
        <w:jc w:val="both"/>
        <w:rPr>
          <w:rFonts w:ascii="Symbola" w:hAnsi="Symbola"/>
        </w:rPr>
      </w:pPr>
      <w:r>
        <w:rPr>
          <w:rFonts w:ascii="Symbola" w:hAnsi="Symbola"/>
        </w:rPr>
        <w:t>2.2.2 As related to perception and memory</w:t>
      </w:r>
    </w:p>
    <w:p>
      <w:pPr>
        <w:pStyle w:val="Normal"/>
        <w:ind w:firstLine="180"/>
        <w:jc w:val="both"/>
        <w:rPr>
          <w:rFonts w:ascii="Symbola" w:hAnsi="Symbola"/>
        </w:rPr>
      </w:pPr>
      <w:r>
        <w:rPr>
          <w:rFonts w:ascii="Symbola" w:hAnsi="Symbola"/>
        </w:rPr>
        <w:t>Aristotle applies the wax seal example to the matter of perception in the following passage:</w:t>
      </w:r>
    </w:p>
    <w:p>
      <w:pPr>
        <w:pStyle w:val="Normal"/>
        <w:ind w:left="720" w:hanging="0"/>
        <w:jc w:val="both"/>
        <w:rPr/>
      </w:pPr>
      <w:r>
        <w:rPr>
          <w:rFonts w:ascii="Symbola" w:hAnsi="Symbola"/>
        </w:rPr>
        <w:t xml:space="preserve">Universally, about all perception, we can say that a sense is a power of receiving sensible forms without the matter, as wax takes on the impress of a signet-ring without the iron or gold; what produces the impression is a signet of bronze or gold, but not </w:t>
      </w:r>
      <w:r>
        <w:rPr>
          <w:rFonts w:ascii="Symbola" w:hAnsi="Symbola"/>
          <w:i/>
        </w:rPr>
        <w:t xml:space="preserve">qua </w:t>
      </w:r>
      <w:r>
        <w:rPr>
          <w:rFonts w:ascii="Symbola" w:hAnsi="Symbola"/>
        </w:rPr>
        <w:t xml:space="preserve">bronze or gold: similarly, the sense is affected by what has color or flavor or sound; but not insofar as each is called a particular thing, but as such and such a sort and according to its </w:t>
      </w:r>
      <w:r>
        <w:rPr>
          <w:rFonts w:ascii="Symbola" w:hAnsi="Symbola"/>
          <w:i/>
        </w:rPr>
        <w:t>logos</w:t>
      </w:r>
      <w:r>
        <w:rPr>
          <w:rFonts w:ascii="Symbola" w:hAnsi="Symbola"/>
        </w:rPr>
        <w:t>.</w:t>
      </w:r>
      <w:r>
        <w:rPr>
          <w:rStyle w:val="EndnoteAnchor"/>
          <w:rFonts w:ascii="Symbola" w:hAnsi="Symbola"/>
        </w:rPr>
        <w:endnoteReference w:id="29"/>
      </w:r>
    </w:p>
    <w:p>
      <w:pPr>
        <w:pStyle w:val="Normal"/>
        <w:ind w:firstLine="180"/>
        <w:jc w:val="both"/>
        <w:rPr>
          <w:rFonts w:ascii="Symbola" w:hAnsi="Symbola"/>
        </w:rPr>
      </w:pPr>
      <w:r>
        <w:rPr>
          <w:rFonts w:ascii="Symbola" w:hAnsi="Symbola"/>
        </w:rPr>
        <w:t xml:space="preserve">And here is the example as it appears in the </w:t>
      </w:r>
      <w:r>
        <w:rPr>
          <w:rFonts w:ascii="Symbola" w:hAnsi="Symbola"/>
          <w:i/>
        </w:rPr>
        <w:t>De Memoria</w:t>
      </w:r>
      <w:r>
        <w:rPr>
          <w:rFonts w:ascii="Symbola" w:hAnsi="Symbola"/>
        </w:rPr>
        <w:t>:</w:t>
      </w:r>
    </w:p>
    <w:p>
      <w:pPr>
        <w:pStyle w:val="Normal"/>
        <w:ind w:left="720" w:hanging="0"/>
        <w:jc w:val="both"/>
        <w:rPr/>
      </w:pPr>
      <w:r>
        <w:rPr>
          <w:rFonts w:ascii="Symbola" w:hAnsi="Symbola"/>
        </w:rPr>
        <w:t>It is clear that we must conceive that which is generated through sense perception in the soul, and in the part of the body which is its seat – viz. that affection the state whereof we call memory – to be some such thing as a picture. The process of movement stamps in, as it were, a sort of impression of the percept, just as persons do who make an impression with a seal.</w:t>
      </w:r>
      <w:r>
        <w:rPr>
          <w:rStyle w:val="EndnoteAnchor"/>
          <w:rFonts w:ascii="Symbola" w:hAnsi="Symbola"/>
        </w:rPr>
        <w:endnoteReference w:id="30"/>
      </w:r>
    </w:p>
    <w:p>
      <w:pPr>
        <w:pStyle w:val="Normal"/>
        <w:jc w:val="both"/>
        <w:rPr/>
      </w:pPr>
      <w:r>
        <w:rPr>
          <w:rFonts w:ascii="Symbola" w:hAnsi="Symbola"/>
        </w:rPr>
        <w:t xml:space="preserve">There is reason to think those uses in more restricted domains are </w:t>
      </w:r>
      <w:r>
        <w:rPr>
          <w:rFonts w:ascii="Symbola" w:hAnsi="Symbola"/>
          <w:i/>
        </w:rPr>
        <w:t xml:space="preserve">specifications </w:t>
      </w:r>
      <w:r>
        <w:rPr>
          <w:rFonts w:ascii="Symbola" w:hAnsi="Symbola"/>
        </w:rPr>
        <w:t>of broader uses,</w:t>
      </w:r>
      <w:r>
        <w:rPr>
          <w:rStyle w:val="EndnoteCharacters"/>
          <w:rStyle w:val="EndnoteAnchor"/>
          <w:rFonts w:ascii="Symbola" w:hAnsi="Symbola"/>
        </w:rPr>
        <w:endnoteReference w:id="31"/>
      </w:r>
      <w:r>
        <w:rPr>
          <w:rFonts w:ascii="Symbola" w:hAnsi="Symbola"/>
        </w:rPr>
        <w:t xml:space="preserve"> and therefore that the uses listed in the table at the beginning of this section are not mutually exclusive. In the </w:t>
      </w:r>
      <w:r>
        <w:rPr>
          <w:rFonts w:ascii="Symbola" w:hAnsi="Symbola"/>
          <w:i/>
        </w:rPr>
        <w:t>Posterior Analytics</w:t>
      </w:r>
      <w:r>
        <w:rPr>
          <w:rFonts w:ascii="Symbola" w:hAnsi="Symbola"/>
        </w:rPr>
        <w:t>, Aristotle tells us that what it means for something to hold universally is for it to belong “to every instance of its subject, both essentially and as such”</w:t>
      </w:r>
      <w:r>
        <w:rPr>
          <w:rStyle w:val="EndnoteCharacters"/>
          <w:rStyle w:val="EndnoteAnchor"/>
          <w:rFonts w:ascii="Symbola" w:hAnsi="Symbola"/>
        </w:rPr>
        <w:endnoteReference w:id="32"/>
      </w:r>
      <w:r>
        <w:rPr>
          <w:rFonts w:ascii="Symbola" w:hAnsi="Symbola"/>
        </w:rPr>
        <w:t xml:space="preserve"> That is a) all members of the subject class are members of the predicate class (but not necessarily conversely), and b) that this is so on account of the nature or essence of the subject. So, for instance, being animal holds universally of all humans, but not of only humans. But in the </w:t>
      </w:r>
      <w:r>
        <w:rPr>
          <w:rFonts w:ascii="Symbola" w:hAnsi="Symbola"/>
          <w:i/>
        </w:rPr>
        <w:t xml:space="preserve">De Anima </w:t>
      </w:r>
      <w:r>
        <w:rPr>
          <w:rFonts w:ascii="Symbola" w:hAnsi="Symbola"/>
        </w:rPr>
        <w:t xml:space="preserve">passage above, though Aristotle states that all sense is receptive of form without matter, he does not say that all </w:t>
      </w:r>
      <w:r>
        <w:rPr>
          <w:rFonts w:ascii="Symbola" w:hAnsi="Symbola"/>
          <w:i/>
        </w:rPr>
        <w:t>and only</w:t>
      </w:r>
      <w:r>
        <w:rPr>
          <w:rFonts w:ascii="Symbola" w:hAnsi="Symbola"/>
        </w:rPr>
        <w:t xml:space="preserve"> sense is this way. Aristotle begins the passage by stating that what follows holds “universally concerning all perceptions” (</w:t>
      </w:r>
      <w:r>
        <w:rPr>
          <w:rFonts w:cs="Cambria" w:ascii="Symbola" w:hAnsi="Symbola"/>
        </w:rPr>
        <w:t>Καθ</w:t>
      </w:r>
      <w:r>
        <w:rPr>
          <w:rFonts w:cs="Times New Roman" w:ascii="Symbola" w:hAnsi="Symbola"/>
        </w:rPr>
        <w:t>ό</w:t>
      </w:r>
      <w:r>
        <w:rPr>
          <w:rFonts w:cs="Cambria" w:ascii="Symbola" w:hAnsi="Symbola"/>
        </w:rPr>
        <w:t>λου</w:t>
      </w:r>
      <w:r>
        <w:rPr>
          <w:rFonts w:ascii="Symbola" w:hAnsi="Symbola"/>
        </w:rPr>
        <w:t xml:space="preserve"> </w:t>
      </w:r>
      <w:r>
        <w:rPr>
          <w:rFonts w:cs="Cambria" w:ascii="Symbola" w:hAnsi="Symbola"/>
        </w:rPr>
        <w:t>δ</w:t>
      </w:r>
      <w:r>
        <w:rPr>
          <w:rFonts w:cs="Times New Roman" w:ascii="Symbola" w:hAnsi="Symbola"/>
        </w:rPr>
        <w:t>ὲ</w:t>
      </w:r>
      <w:r>
        <w:rPr>
          <w:rFonts w:ascii="Symbola" w:hAnsi="Symbola"/>
        </w:rPr>
        <w:t xml:space="preserve"> π</w:t>
      </w:r>
      <w:r>
        <w:rPr>
          <w:rFonts w:cs="Cambria" w:ascii="Symbola" w:hAnsi="Symbola"/>
        </w:rPr>
        <w:t>ερ</w:t>
      </w:r>
      <w:r>
        <w:rPr>
          <w:rFonts w:cs="Times New Roman" w:ascii="Symbola" w:hAnsi="Symbola"/>
        </w:rPr>
        <w:t>ὶ</w:t>
      </w:r>
      <w:r>
        <w:rPr>
          <w:rFonts w:ascii="Symbola" w:hAnsi="Symbola"/>
        </w:rPr>
        <w:t xml:space="preserve"> π</w:t>
      </w:r>
      <w:r>
        <w:rPr>
          <w:rFonts w:cs="Times New Roman" w:ascii="Symbola" w:hAnsi="Symbola"/>
        </w:rPr>
        <w:t>ά</w:t>
      </w:r>
      <w:r>
        <w:rPr>
          <w:rFonts w:cs="Cambria" w:ascii="Symbola" w:hAnsi="Symbola"/>
        </w:rPr>
        <w:t>σης</w:t>
      </w:r>
      <w:r>
        <w:rPr>
          <w:rFonts w:ascii="Symbola" w:hAnsi="Symbola"/>
        </w:rPr>
        <w:t xml:space="preserve"> </w:t>
      </w:r>
      <w:r>
        <w:rPr>
          <w:rFonts w:cs="Cambria" w:ascii="Symbola" w:hAnsi="Symbola"/>
        </w:rPr>
        <w:t>α</w:t>
      </w:r>
      <w:r>
        <w:rPr>
          <w:rFonts w:cs="Times New Roman" w:ascii="Symbola" w:hAnsi="Symbola"/>
        </w:rPr>
        <w:t>ἰ</w:t>
      </w:r>
      <w:r>
        <w:rPr>
          <w:rFonts w:cs="Cambria" w:ascii="Symbola" w:hAnsi="Symbola"/>
        </w:rPr>
        <w:t>σθ</w:t>
      </w:r>
      <w:r>
        <w:rPr>
          <w:rFonts w:cs="Times New Roman" w:ascii="Symbola" w:hAnsi="Symbola"/>
        </w:rPr>
        <w:t>ή</w:t>
      </w:r>
      <w:r>
        <w:rPr>
          <w:rFonts w:cs="Cambria" w:ascii="Symbola" w:hAnsi="Symbola"/>
        </w:rPr>
        <w:t>σεως</w:t>
      </w:r>
      <w:r>
        <w:rPr>
          <w:rFonts w:ascii="Symbola" w:hAnsi="Symbola"/>
        </w:rPr>
        <w:t xml:space="preserve">). Likewise in the passage from the </w:t>
      </w:r>
      <w:r>
        <w:rPr>
          <w:rFonts w:ascii="Symbola" w:hAnsi="Symbola"/>
          <w:i/>
        </w:rPr>
        <w:t>De Memoria</w:t>
      </w:r>
      <w:r>
        <w:rPr>
          <w:rFonts w:ascii="Symbola" w:hAnsi="Symbola"/>
        </w:rPr>
        <w:t xml:space="preserve">, i) memory is consequent upon sense perception, ii) sense perception is a kind of being affected in a particular organ (“the part of the body which is [the] seat [of what is generated]”), iii) the percept is described as something </w:t>
      </w:r>
      <w:r>
        <w:rPr>
          <w:rFonts w:ascii="Symbola" w:hAnsi="Symbola"/>
          <w:i/>
        </w:rPr>
        <w:t>generated</w:t>
      </w:r>
      <w:r>
        <w:rPr>
          <w:rFonts w:ascii="Symbola" w:hAnsi="Symbola"/>
        </w:rPr>
        <w:t>, and iv) as such, is the generation of some totality in the soul. In this instance, the having of a memory is likened to the wax’s having of the impression, whereas the acting of the percept on the sense is likened to the seal’s impressing itself upon the wax. Here, the wax seal example shows not that memory is a having of a special kind of content in the mind, but merely that it is the result of the manner of being acted upon occurring in sensation.</w:t>
      </w:r>
      <w:r>
        <w:rPr>
          <w:rStyle w:val="EndnoteCharacters"/>
          <w:rStyle w:val="EndnoteAnchor"/>
          <w:rFonts w:ascii="Symbola" w:hAnsi="Symbola"/>
        </w:rPr>
        <w:endnoteReference w:id="33"/>
      </w:r>
      <w:r>
        <w:rPr>
          <w:rFonts w:ascii="Symbola" w:hAnsi="Symbola"/>
        </w:rPr>
        <w:t xml:space="preserve"> </w:t>
      </w:r>
    </w:p>
    <w:p>
      <w:pPr>
        <w:pStyle w:val="Normal"/>
        <w:jc w:val="both"/>
        <w:rPr/>
      </w:pPr>
      <w:r>
        <w:rPr>
          <w:rFonts w:ascii="Symbola" w:hAnsi="Symbola"/>
        </w:rPr>
        <w:t>The manner in which Aristotle first introduces the example of the wax impression there further supports this interpretation: the most basic meaning of ‘as’ (</w:t>
      </w:r>
      <w:r>
        <w:rPr>
          <w:rFonts w:cs="Cambria" w:ascii="Symbola" w:hAnsi="Symbola"/>
        </w:rPr>
        <w:t>ο</w:t>
      </w:r>
      <w:r>
        <w:rPr>
          <w:rFonts w:cs="Times New Roman" w:ascii="Symbola" w:hAnsi="Symbola"/>
        </w:rPr>
        <w:t>ἷ</w:t>
      </w:r>
      <w:r>
        <w:rPr>
          <w:rFonts w:cs="Cambria" w:ascii="Symbola" w:hAnsi="Symbola"/>
        </w:rPr>
        <w:t>ον</w:t>
      </w:r>
      <w:r>
        <w:rPr>
          <w:rFonts w:ascii="Symbola" w:hAnsi="Symbola"/>
        </w:rPr>
        <w:t xml:space="preserve">) in the </w:t>
      </w:r>
      <w:r>
        <w:rPr>
          <w:rFonts w:ascii="Symbola" w:hAnsi="Symbola"/>
          <w:i/>
        </w:rPr>
        <w:t xml:space="preserve">De Anima </w:t>
      </w:r>
      <w:r>
        <w:rPr>
          <w:rFonts w:ascii="Symbola" w:hAnsi="Symbola"/>
        </w:rPr>
        <w:t>passage is ‘of what sort’ implying not exemplification or analogy, but commonality of type.</w:t>
      </w:r>
      <w:r>
        <w:rPr>
          <w:rStyle w:val="EndnoteCharacters"/>
          <w:rStyle w:val="EndnoteAnchor"/>
          <w:rFonts w:ascii="Symbola" w:hAnsi="Symbola"/>
        </w:rPr>
        <w:endnoteReference w:id="34"/>
      </w:r>
      <w:r>
        <w:rPr>
          <w:rFonts w:ascii="Symbola" w:hAnsi="Symbola"/>
        </w:rPr>
        <w:t xml:space="preserve"> On this reading, what Aristotle is doing in the first part of the above passage is locating perception in its highest genus: perception belongs to the category of passion, or being-acted-upon. Aquinas suggests the following interpretation.</w:t>
      </w:r>
    </w:p>
    <w:p>
      <w:pPr>
        <w:pStyle w:val="Normal"/>
        <w:ind w:left="720" w:hanging="0"/>
        <w:jc w:val="both"/>
        <w:rPr/>
      </w:pPr>
      <w:r>
        <w:rPr>
          <w:rFonts w:ascii="Symbola" w:hAnsi="Symbola"/>
        </w:rPr>
        <w:t xml:space="preserve">[Aristotle] first says that one ought to accept universally and commonly that it belongs to every sense to be receptive of species without matter, just as wax receives the sign of the ring without iron or gold. But this seems to be common to every case of being-affected. For every patient receives something from an agent inasmuch as it is acting. But what is acting acts by its form, and not by its matter. Thus, </w:t>
      </w:r>
      <w:r>
        <w:rPr>
          <w:rFonts w:ascii="Symbola" w:hAnsi="Symbola"/>
          <w:i/>
        </w:rPr>
        <w:t>every</w:t>
      </w:r>
      <w:r>
        <w:rPr>
          <w:rFonts w:ascii="Symbola" w:hAnsi="Symbola"/>
        </w:rPr>
        <w:t xml:space="preserve"> being-affected receives form without matter. And this is obvious to sense: for the air does not receive matter from the fire acting on it, but form. Therefore, it seems that being receptive of form apart from matter is not proper to sense.</w:t>
      </w:r>
      <w:r>
        <w:rPr>
          <w:rStyle w:val="EndnoteAnchor"/>
          <w:rFonts w:ascii="Symbola" w:hAnsi="Symbola"/>
        </w:rPr>
        <w:endnoteReference w:id="35"/>
      </w:r>
    </w:p>
    <w:p>
      <w:pPr>
        <w:pStyle w:val="Normal"/>
        <w:jc w:val="both"/>
        <w:rPr>
          <w:rFonts w:ascii="Symbola" w:hAnsi="Symbola"/>
        </w:rPr>
      </w:pPr>
      <w:r>
        <w:rPr>
          <w:rFonts w:ascii="Symbola" w:hAnsi="Symbola"/>
        </w:rPr>
        <w:t xml:space="preserve">Hence, the wax impression and the perception are kinds belonging to the same genus: </w:t>
      </w:r>
      <w:r>
        <w:rPr>
          <w:rFonts w:ascii="Symbola" w:hAnsi="Symbola"/>
          <w:i/>
        </w:rPr>
        <w:t xml:space="preserve">both </w:t>
      </w:r>
      <w:r>
        <w:rPr>
          <w:rFonts w:ascii="Symbola" w:hAnsi="Symbola"/>
        </w:rPr>
        <w:t xml:space="preserve">are cases of something receiving the form of something without its matter. </w:t>
      </w:r>
    </w:p>
    <w:p>
      <w:pPr>
        <w:pStyle w:val="Normal"/>
        <w:jc w:val="both"/>
        <w:rPr/>
      </w:pPr>
      <w:r>
        <w:rPr>
          <w:rFonts w:ascii="Symbola" w:hAnsi="Symbola"/>
        </w:rPr>
        <w:t xml:space="preserve">Note that nothing in either passage suggests that </w:t>
      </w:r>
      <w:r>
        <w:rPr>
          <w:rFonts w:ascii="Symbola" w:hAnsi="Symbola"/>
          <w:i/>
        </w:rPr>
        <w:t xml:space="preserve">no </w:t>
      </w:r>
      <w:r>
        <w:rPr>
          <w:rFonts w:ascii="Symbola" w:hAnsi="Symbola"/>
        </w:rPr>
        <w:t xml:space="preserve">change is required for sensation. To the degree that this is addressed, it is done in the </w:t>
      </w:r>
      <w:r>
        <w:rPr>
          <w:rFonts w:ascii="Symbola" w:hAnsi="Symbola"/>
          <w:i/>
        </w:rPr>
        <w:t xml:space="preserve">De Anima </w:t>
      </w:r>
      <w:r>
        <w:rPr>
          <w:rFonts w:ascii="Symbola" w:hAnsi="Symbola"/>
        </w:rPr>
        <w:t>passage,</w:t>
      </w:r>
      <w:r>
        <w:rPr>
          <w:rStyle w:val="EndnoteCharacters"/>
          <w:rStyle w:val="EndnoteAnchor"/>
          <w:rFonts w:ascii="Symbola" w:hAnsi="Symbola"/>
        </w:rPr>
        <w:endnoteReference w:id="36"/>
      </w:r>
      <w:r>
        <w:rPr>
          <w:rFonts w:ascii="Symbola" w:hAnsi="Symbola"/>
        </w:rPr>
        <w:t xml:space="preserve"> simply by assigning sensation a corporeal organ. For to say, for instance, that the </w:t>
      </w:r>
      <w:r>
        <w:rPr>
          <w:rFonts w:ascii="Symbola" w:hAnsi="Symbola"/>
          <w:i/>
        </w:rPr>
        <w:t xml:space="preserve">nose </w:t>
      </w:r>
      <w:r>
        <w:rPr>
          <w:rFonts w:ascii="Symbola" w:hAnsi="Symbola"/>
        </w:rPr>
        <w:t>is what smells is to say that (since sensation is a kind of passion) it is the nose that undergoes something, and in each case this undergoing will be a change in the organ itself.</w:t>
      </w:r>
      <w:r>
        <w:rPr>
          <w:rStyle w:val="EndnoteAnchor"/>
          <w:rFonts w:ascii="Symbola" w:hAnsi="Symbola"/>
        </w:rPr>
        <w:endnoteReference w:id="37"/>
      </w:r>
    </w:p>
    <w:p>
      <w:pPr>
        <w:pStyle w:val="Heading1"/>
        <w:jc w:val="both"/>
        <w:rPr>
          <w:rFonts w:ascii="Symbola" w:hAnsi="Symbola"/>
        </w:rPr>
      </w:pPr>
      <w:r>
        <w:rPr>
          <w:rFonts w:ascii="Symbola" w:hAnsi="Symbola"/>
        </w:rPr>
        <w:t>5</w:t>
      </w:r>
      <w:bookmarkStart w:id="0" w:name="_GoBack"/>
      <w:bookmarkEnd w:id="0"/>
      <w:r>
        <w:rPr>
          <w:rFonts w:ascii="Symbola" w:hAnsi="Symbola"/>
        </w:rPr>
        <w:t xml:space="preserve"> Conclusion</w:t>
      </w:r>
    </w:p>
    <w:p>
      <w:pPr>
        <w:pStyle w:val="Normal"/>
        <w:ind w:firstLine="180"/>
        <w:jc w:val="both"/>
        <w:rPr>
          <w:rFonts w:ascii="Symbola" w:hAnsi="Symbola"/>
        </w:rPr>
      </w:pPr>
      <w:r>
        <w:rPr>
          <w:rFonts w:ascii="Symbola" w:hAnsi="Symbola"/>
        </w:rPr>
        <w:t xml:space="preserve">I began by outlining two of Myles Burnyeat’s critiques of Aristotle’s conception of matter, both supporting the claim that Aristotle’s conception of matter is untenable against the backdrop of post-Cartesian physics. From here, I moved to a consideration of Descartes’ own remarks on matter, in order to pinpoint this Cartesian patrimony more precisely. I showed, drawing on Descartes uses of the wax experiment in </w:t>
      </w:r>
      <w:r>
        <w:rPr>
          <w:rFonts w:ascii="Symbola" w:hAnsi="Symbola"/>
          <w:i/>
        </w:rPr>
        <w:t xml:space="preserve">Meditations </w:t>
      </w:r>
      <w:r>
        <w:rPr>
          <w:rFonts w:ascii="Symbola" w:hAnsi="Symbola"/>
        </w:rPr>
        <w:t xml:space="preserve">II and III, that that patrimony consists principally in: 1) the rejection of the reality of secondary qualities, and a corresponding relegation of the same to a psychological or mental realm; and 2) an ampliation of the notion of matter to the point where it could no longer be identified even with any determinate primary qualities. </w:t>
      </w:r>
      <w:r>
        <w:rPr>
          <w:rFonts w:ascii="Symbola" w:hAnsi="Symbola"/>
          <w:i/>
        </w:rPr>
        <w:t xml:space="preserve">Pace </w:t>
      </w:r>
      <w:r>
        <w:rPr>
          <w:rFonts w:ascii="Symbola" w:hAnsi="Symbola"/>
        </w:rPr>
        <w:t xml:space="preserve">Burnyeat, neither of these aspects of this patrimony is unquestionable. On the first, I showed that for Aristotle, the distinction between intentional and real being is not a </w:t>
      </w:r>
      <w:r>
        <w:rPr>
          <w:rFonts w:ascii="Symbola" w:hAnsi="Symbola"/>
          <w:i/>
        </w:rPr>
        <w:t>distinctio generis</w:t>
      </w:r>
      <w:r>
        <w:rPr>
          <w:rFonts w:ascii="Symbola" w:hAnsi="Symbola"/>
        </w:rPr>
        <w:t xml:space="preserve">; rather, something’s having real being does not preclude it’s also having intentional being as well. On the second, I showed that the post-Cartesian conception of matter that Aristotle supposedly cannot accommodate is itself just a misappropriation of Aristotle’s notion of </w:t>
      </w:r>
      <w:r>
        <w:rPr>
          <w:rFonts w:ascii="Symbola" w:hAnsi="Symbola"/>
          <w:i/>
        </w:rPr>
        <w:t xml:space="preserve">prime </w:t>
      </w:r>
      <w:r>
        <w:rPr>
          <w:rFonts w:ascii="Symbola" w:hAnsi="Symbola"/>
        </w:rPr>
        <w:t xml:space="preserve">matter. Against this backdrop, Aristotle’s correlation of different kinds of matter with different forms actually proves </w:t>
      </w:r>
      <w:r>
        <w:rPr>
          <w:rFonts w:ascii="Symbola" w:hAnsi="Symbola"/>
          <w:i/>
        </w:rPr>
        <w:t xml:space="preserve">more </w:t>
      </w:r>
      <w:r>
        <w:rPr>
          <w:rFonts w:ascii="Symbola" w:hAnsi="Symbola"/>
        </w:rPr>
        <w:t>fruitful than the Burnyeat/Descartes conception for explaining real change. Lastly, having shown that the distinction between spiritual and real being is not a distinction in kind, I’ve laid the ground for an explication of the genuine difference between sensation and other forms of alteration in Aristotle, work on which can now make more progress than it has.</w:t>
      </w:r>
    </w:p>
    <w:p>
      <w:pPr>
        <w:pStyle w:val="Heading1"/>
        <w:jc w:val="both"/>
        <w:rPr>
          <w:rFonts w:ascii="Symbola" w:hAnsi="Symbola"/>
        </w:rPr>
      </w:pPr>
      <w:r>
        <w:rPr>
          <w:rFonts w:ascii="Symbola" w:hAnsi="Symbola"/>
        </w:rPr>
        <w:t>Bibliography</w:t>
      </w:r>
    </w:p>
    <w:p>
      <w:pPr>
        <w:pStyle w:val="Heading2"/>
        <w:jc w:val="both"/>
        <w:rPr>
          <w:rFonts w:ascii="Symbola" w:hAnsi="Symbola"/>
        </w:rPr>
      </w:pPr>
      <w:r>
        <w:rPr>
          <w:rFonts w:ascii="Symbola" w:hAnsi="Symbola"/>
        </w:rPr>
        <w:t>Primary Sources</w:t>
      </w:r>
    </w:p>
    <w:p>
      <w:pPr>
        <w:pStyle w:val="Normal"/>
        <w:ind w:left="180" w:hanging="180"/>
        <w:jc w:val="both"/>
        <w:rPr>
          <w:rFonts w:ascii="Symbola" w:hAnsi="Symbola"/>
        </w:rPr>
      </w:pPr>
      <w:r>
        <w:rPr>
          <w:rFonts w:ascii="Symbola" w:hAnsi="Symbola"/>
        </w:rPr>
        <w:t xml:space="preserve">Aristotle (1984a) </w:t>
      </w:r>
      <w:r>
        <w:rPr>
          <w:rFonts w:ascii="Symbola" w:hAnsi="Symbola"/>
          <w:i/>
        </w:rPr>
        <w:t>Metaphysics</w:t>
      </w:r>
      <w:r>
        <w:rPr>
          <w:rFonts w:ascii="Symbola" w:hAnsi="Symbola"/>
        </w:rPr>
        <w:t>. In Barnes 1984, vol. 2, 1552-1728 [</w:t>
      </w:r>
      <w:r>
        <w:rPr>
          <w:rFonts w:ascii="Symbola" w:hAnsi="Symbola"/>
          <w:i/>
        </w:rPr>
        <w:t>Metaph.</w:t>
      </w:r>
      <w:r>
        <w:rPr>
          <w:rFonts w:ascii="Symbola" w:hAnsi="Symbola"/>
        </w:rPr>
        <w:t>].</w:t>
      </w:r>
    </w:p>
    <w:p>
      <w:pPr>
        <w:pStyle w:val="Normal"/>
        <w:ind w:left="180" w:hanging="180"/>
        <w:jc w:val="both"/>
        <w:rPr>
          <w:rFonts w:ascii="Symbola" w:hAnsi="Symbola"/>
        </w:rPr>
      </w:pPr>
      <w:r>
        <w:rPr>
          <w:rFonts w:ascii="Symbola" w:hAnsi="Symbola"/>
          <w:u w:val="single"/>
        </w:rPr>
        <w:tab/>
      </w:r>
      <w:r>
        <w:rPr>
          <w:rFonts w:ascii="Symbola" w:hAnsi="Symbola"/>
        </w:rPr>
        <w:t xml:space="preserve">(1984b). </w:t>
      </w:r>
      <w:r>
        <w:rPr>
          <w:rFonts w:ascii="Symbola" w:hAnsi="Symbola"/>
          <w:i/>
        </w:rPr>
        <w:t>Meteorology</w:t>
      </w:r>
      <w:r>
        <w:rPr>
          <w:rFonts w:ascii="Symbola" w:hAnsi="Symbola"/>
        </w:rPr>
        <w:t>. In Barnes 1984, vol. 1, 555-625 [</w:t>
      </w:r>
      <w:r>
        <w:rPr>
          <w:rFonts w:ascii="Symbola" w:hAnsi="Symbola"/>
          <w:i/>
        </w:rPr>
        <w:t>Meteora</w:t>
      </w:r>
      <w:r>
        <w:rPr>
          <w:rFonts w:ascii="Symbola" w:hAnsi="Symbola"/>
        </w:rPr>
        <w:t>].</w:t>
      </w:r>
    </w:p>
    <w:p>
      <w:pPr>
        <w:pStyle w:val="Normal"/>
        <w:ind w:left="180" w:hanging="180"/>
        <w:jc w:val="both"/>
        <w:rPr>
          <w:rFonts w:ascii="Symbola" w:hAnsi="Symbola"/>
        </w:rPr>
      </w:pPr>
      <w:r>
        <w:rPr>
          <w:rFonts w:ascii="Symbola" w:hAnsi="Symbola"/>
          <w:u w:val="single"/>
        </w:rPr>
        <w:tab/>
      </w:r>
      <w:r>
        <w:rPr>
          <w:rFonts w:ascii="Symbola" w:hAnsi="Symbola"/>
        </w:rPr>
        <w:t xml:space="preserve">(1984c). </w:t>
      </w:r>
      <w:r>
        <w:rPr>
          <w:rFonts w:ascii="Symbola" w:hAnsi="Symbola"/>
          <w:i/>
        </w:rPr>
        <w:t>On Generation and Corruption</w:t>
      </w:r>
      <w:r>
        <w:rPr>
          <w:rFonts w:ascii="Symbola" w:hAnsi="Symbola"/>
        </w:rPr>
        <w:t>. In Barnes 1984, vol. 1, 512-554 [</w:t>
      </w:r>
      <w:r>
        <w:rPr>
          <w:rFonts w:ascii="Symbola" w:hAnsi="Symbola"/>
          <w:i/>
        </w:rPr>
        <w:t>De Gen.</w:t>
      </w:r>
      <w:r>
        <w:rPr>
          <w:rFonts w:ascii="Symbola" w:hAnsi="Symbola"/>
        </w:rPr>
        <w:t>].</w:t>
      </w:r>
    </w:p>
    <w:p>
      <w:pPr>
        <w:pStyle w:val="Normal"/>
        <w:ind w:left="180" w:hanging="180"/>
        <w:jc w:val="both"/>
        <w:rPr>
          <w:rFonts w:ascii="Symbola" w:hAnsi="Symbola"/>
        </w:rPr>
      </w:pPr>
      <w:r>
        <w:rPr>
          <w:rFonts w:ascii="Symbola" w:hAnsi="Symbola"/>
          <w:u w:val="single"/>
        </w:rPr>
        <w:tab/>
      </w:r>
      <w:r>
        <w:rPr>
          <w:rFonts w:ascii="Symbola" w:hAnsi="Symbola"/>
        </w:rPr>
        <w:t xml:space="preserve">(1984d). </w:t>
      </w:r>
      <w:r>
        <w:rPr>
          <w:rFonts w:ascii="Symbola" w:hAnsi="Symbola"/>
          <w:i/>
        </w:rPr>
        <w:t>On Memory</w:t>
      </w:r>
      <w:r>
        <w:rPr>
          <w:rFonts w:ascii="Symbola" w:hAnsi="Symbola"/>
        </w:rPr>
        <w:t>. In Barnes 1984, vol. 1, 714-720 [</w:t>
      </w:r>
      <w:r>
        <w:rPr>
          <w:rFonts w:ascii="Symbola" w:hAnsi="Symbola"/>
          <w:i/>
        </w:rPr>
        <w:t>De Mem.</w:t>
      </w:r>
      <w:r>
        <w:rPr>
          <w:rFonts w:ascii="Symbola" w:hAnsi="Symbola"/>
        </w:rPr>
        <w:t>].</w:t>
      </w:r>
    </w:p>
    <w:p>
      <w:pPr>
        <w:pStyle w:val="Normal"/>
        <w:ind w:left="180" w:hanging="180"/>
        <w:jc w:val="both"/>
        <w:rPr>
          <w:rFonts w:ascii="Symbola" w:hAnsi="Symbola"/>
        </w:rPr>
      </w:pPr>
      <w:r>
        <w:rPr>
          <w:rFonts w:ascii="Symbola" w:hAnsi="Symbola"/>
          <w:u w:val="single"/>
        </w:rPr>
        <w:tab/>
      </w:r>
      <w:r>
        <w:rPr>
          <w:rFonts w:ascii="Symbola" w:hAnsi="Symbola"/>
        </w:rPr>
        <w:t xml:space="preserve">(1984e). </w:t>
      </w:r>
      <w:r>
        <w:rPr>
          <w:rFonts w:ascii="Symbola" w:hAnsi="Symbola"/>
          <w:i/>
        </w:rPr>
        <w:t>On Sense and Sensibilia</w:t>
      </w:r>
      <w:r>
        <w:rPr>
          <w:rFonts w:ascii="Symbola" w:hAnsi="Symbola"/>
        </w:rPr>
        <w:t>. In Barnes 1984, vol. 1, 693-713 [</w:t>
      </w:r>
      <w:r>
        <w:rPr>
          <w:rFonts w:ascii="Symbola" w:hAnsi="Symbola"/>
          <w:i/>
        </w:rPr>
        <w:t>De Sensu</w:t>
      </w:r>
      <w:r>
        <w:rPr>
          <w:rFonts w:ascii="Symbola" w:hAnsi="Symbola"/>
        </w:rPr>
        <w:t>].</w:t>
      </w:r>
    </w:p>
    <w:p>
      <w:pPr>
        <w:pStyle w:val="Normal"/>
        <w:ind w:left="180" w:hanging="180"/>
        <w:jc w:val="both"/>
        <w:rPr>
          <w:rFonts w:ascii="Symbola" w:hAnsi="Symbola"/>
        </w:rPr>
      </w:pPr>
      <w:r>
        <w:rPr>
          <w:rFonts w:ascii="Symbola" w:hAnsi="Symbola"/>
          <w:u w:val="single"/>
        </w:rPr>
        <w:tab/>
      </w:r>
      <w:r>
        <w:rPr>
          <w:rFonts w:ascii="Symbola" w:hAnsi="Symbola"/>
        </w:rPr>
        <w:t xml:space="preserve">(1984f). </w:t>
      </w:r>
      <w:r>
        <w:rPr>
          <w:rFonts w:ascii="Symbola" w:hAnsi="Symbola"/>
          <w:i/>
        </w:rPr>
        <w:t>On the Heavens</w:t>
      </w:r>
      <w:r>
        <w:rPr>
          <w:rFonts w:ascii="Symbola" w:hAnsi="Symbola"/>
        </w:rPr>
        <w:t>. In Barnes 1984, vol. 1, 447-511 [</w:t>
      </w:r>
      <w:r>
        <w:rPr>
          <w:rFonts w:ascii="Symbola" w:hAnsi="Symbola"/>
          <w:i/>
        </w:rPr>
        <w:t>De Caelo</w:t>
      </w:r>
      <w:r>
        <w:rPr>
          <w:rFonts w:ascii="Symbola" w:hAnsi="Symbola"/>
        </w:rPr>
        <w:t>].</w:t>
      </w:r>
    </w:p>
    <w:p>
      <w:pPr>
        <w:pStyle w:val="Normal"/>
        <w:ind w:left="180" w:hanging="180"/>
        <w:jc w:val="both"/>
        <w:rPr>
          <w:rFonts w:ascii="Symbola" w:hAnsi="Symbola"/>
        </w:rPr>
      </w:pPr>
      <w:r>
        <w:rPr>
          <w:rFonts w:ascii="Symbola" w:hAnsi="Symbola"/>
          <w:u w:val="single"/>
        </w:rPr>
        <w:tab/>
      </w:r>
      <w:r>
        <w:rPr>
          <w:rFonts w:ascii="Symbola" w:hAnsi="Symbola"/>
        </w:rPr>
        <w:t xml:space="preserve">(1984g). </w:t>
      </w:r>
      <w:r>
        <w:rPr>
          <w:rFonts w:ascii="Symbola" w:hAnsi="Symbola"/>
          <w:i/>
        </w:rPr>
        <w:t>On the Soul</w:t>
      </w:r>
      <w:r>
        <w:rPr>
          <w:rFonts w:ascii="Symbola" w:hAnsi="Symbola"/>
        </w:rPr>
        <w:t>. In Barnes 1984, vol. 1, 641-692 [</w:t>
      </w:r>
      <w:r>
        <w:rPr>
          <w:rFonts w:ascii="Symbola" w:hAnsi="Symbola"/>
          <w:i/>
        </w:rPr>
        <w:t>DA</w:t>
      </w:r>
      <w:r>
        <w:rPr>
          <w:rFonts w:ascii="Symbola" w:hAnsi="Symbola"/>
        </w:rPr>
        <w:t>].</w:t>
      </w:r>
    </w:p>
    <w:p>
      <w:pPr>
        <w:pStyle w:val="Normal"/>
        <w:ind w:left="180" w:hanging="180"/>
        <w:jc w:val="both"/>
        <w:rPr>
          <w:rFonts w:ascii="Symbola" w:hAnsi="Symbola"/>
        </w:rPr>
      </w:pPr>
      <w:r>
        <w:rPr>
          <w:rFonts w:ascii="Symbola" w:hAnsi="Symbola"/>
          <w:u w:val="single"/>
        </w:rPr>
        <w:tab/>
      </w:r>
      <w:r>
        <w:rPr>
          <w:rFonts w:ascii="Symbola" w:hAnsi="Symbola"/>
        </w:rPr>
        <w:t xml:space="preserve">(1984g). </w:t>
      </w:r>
      <w:r>
        <w:rPr>
          <w:rFonts w:ascii="Symbola" w:hAnsi="Symbola"/>
          <w:i/>
        </w:rPr>
        <w:t>Physics</w:t>
      </w:r>
      <w:r>
        <w:rPr>
          <w:rFonts w:ascii="Symbola" w:hAnsi="Symbola"/>
        </w:rPr>
        <w:t>. In Barnes 1984, vol. 1, 315-446 [</w:t>
      </w:r>
      <w:r>
        <w:rPr>
          <w:rFonts w:ascii="Symbola" w:hAnsi="Symbola"/>
          <w:i/>
        </w:rPr>
        <w:t>Physics</w:t>
      </w:r>
      <w:r>
        <w:rPr>
          <w:rFonts w:ascii="Symbola" w:hAnsi="Symbola"/>
        </w:rPr>
        <w:t>].</w:t>
      </w:r>
    </w:p>
    <w:p>
      <w:pPr>
        <w:pStyle w:val="Normal"/>
        <w:ind w:left="180" w:hanging="180"/>
        <w:jc w:val="both"/>
        <w:rPr>
          <w:rFonts w:ascii="Symbola" w:hAnsi="Symbola"/>
        </w:rPr>
      </w:pPr>
      <w:r>
        <w:rPr>
          <w:rFonts w:ascii="Symbola" w:hAnsi="Symbola"/>
          <w:u w:val="single"/>
        </w:rPr>
        <w:tab/>
      </w:r>
      <w:r>
        <w:rPr>
          <w:rFonts w:ascii="Symbola" w:hAnsi="Symbola"/>
        </w:rPr>
        <w:t xml:space="preserve">(1984h). </w:t>
      </w:r>
      <w:r>
        <w:rPr>
          <w:rFonts w:ascii="Symbola" w:hAnsi="Symbola"/>
          <w:i/>
        </w:rPr>
        <w:t>Posterior Analytics</w:t>
      </w:r>
      <w:r>
        <w:rPr>
          <w:rFonts w:ascii="Symbola" w:hAnsi="Symbola"/>
        </w:rPr>
        <w:t>. In Barnes 1984, vol. 1, 114-166 [</w:t>
      </w:r>
      <w:r>
        <w:rPr>
          <w:rFonts w:ascii="Symbola" w:hAnsi="Symbola"/>
          <w:i/>
        </w:rPr>
        <w:t>PA</w:t>
      </w:r>
      <w:r>
        <w:rPr>
          <w:rFonts w:ascii="Symbola" w:hAnsi="Symbola"/>
        </w:rPr>
        <w:t>].</w:t>
      </w:r>
    </w:p>
    <w:p>
      <w:pPr>
        <w:pStyle w:val="Normal"/>
        <w:ind w:left="180" w:hanging="180"/>
        <w:jc w:val="both"/>
        <w:rPr>
          <w:rFonts w:ascii="Symbola" w:hAnsi="Symbola"/>
        </w:rPr>
      </w:pPr>
      <w:r>
        <w:rPr>
          <w:rFonts w:ascii="Symbola" w:hAnsi="Symbola"/>
        </w:rPr>
        <w:t xml:space="preserve">Barnes, Jonathan (ed.) (1984). </w:t>
      </w:r>
      <w:r>
        <w:rPr>
          <w:rFonts w:ascii="Symbola" w:hAnsi="Symbola"/>
          <w:i/>
        </w:rPr>
        <w:t>The Complete Works of Aristotle</w:t>
      </w:r>
      <w:r>
        <w:rPr>
          <w:rFonts w:ascii="Symbola" w:hAnsi="Symbola"/>
        </w:rPr>
        <w:t>. 2 vols. (Princeton: Princeton University Press).</w:t>
      </w:r>
    </w:p>
    <w:p>
      <w:pPr>
        <w:pStyle w:val="Normal"/>
        <w:ind w:left="180" w:hanging="180"/>
        <w:jc w:val="both"/>
        <w:rPr>
          <w:rFonts w:ascii="Symbola" w:hAnsi="Symbola"/>
        </w:rPr>
      </w:pPr>
      <w:r>
        <w:rPr>
          <w:rFonts w:ascii="Symbola" w:hAnsi="Symbola"/>
        </w:rPr>
        <w:t xml:space="preserve">Descartes, René (1990). </w:t>
      </w:r>
      <w:r>
        <w:rPr>
          <w:rFonts w:ascii="Symbola" w:hAnsi="Symbola"/>
          <w:i/>
        </w:rPr>
        <w:t>Meditations</w:t>
      </w:r>
      <w:r>
        <w:rPr>
          <w:rFonts w:ascii="Symbola" w:hAnsi="Symbola"/>
        </w:rPr>
        <w:t>. Trans. George Heffernan (South Bend: UND Press) [</w:t>
      </w:r>
      <w:r>
        <w:rPr>
          <w:rFonts w:ascii="Symbola" w:hAnsi="Symbola"/>
          <w:i/>
        </w:rPr>
        <w:t>Med.</w:t>
      </w:r>
      <w:r>
        <w:rPr>
          <w:rFonts w:ascii="Symbola" w:hAnsi="Symbola"/>
        </w:rPr>
        <w:t>].</w:t>
      </w:r>
    </w:p>
    <w:p>
      <w:pPr>
        <w:pStyle w:val="Normal"/>
        <w:ind w:left="180" w:hanging="180"/>
        <w:jc w:val="both"/>
        <w:rPr>
          <w:rFonts w:ascii="Symbola" w:hAnsi="Symbola"/>
        </w:rPr>
      </w:pPr>
      <w:r>
        <w:rPr>
          <w:rFonts w:ascii="Symbola" w:hAnsi="Symbola"/>
          <w:u w:val="single"/>
        </w:rPr>
        <w:tab/>
      </w:r>
      <w:r>
        <w:rPr>
          <w:rFonts w:ascii="Symbola" w:hAnsi="Symbola"/>
        </w:rPr>
        <w:t xml:space="preserve"> (2006). </w:t>
      </w:r>
      <w:r>
        <w:rPr>
          <w:rFonts w:ascii="Symbola" w:hAnsi="Symbola"/>
          <w:i/>
        </w:rPr>
        <w:t>Meditations, Objections, and Replies</w:t>
      </w:r>
      <w:r>
        <w:rPr>
          <w:rFonts w:ascii="Symbola" w:hAnsi="Symbola"/>
        </w:rPr>
        <w:t>, ed. &amp; trans. Roger Ariew and Donald Cress (Indianapolis: Hackett). [</w:t>
      </w:r>
      <w:r>
        <w:rPr>
          <w:rFonts w:ascii="Symbola" w:hAnsi="Symbola"/>
          <w:i/>
        </w:rPr>
        <w:t xml:space="preserve">Res. Ad </w:t>
      </w:r>
      <w:r>
        <w:rPr>
          <w:rFonts w:ascii="Symbola" w:hAnsi="Symbola"/>
          <w:i/>
          <w:u w:val="single"/>
        </w:rPr>
        <w:tab/>
      </w:r>
      <w:r>
        <w:rPr>
          <w:rFonts w:ascii="Symbola" w:hAnsi="Symbola"/>
        </w:rPr>
        <w:t>].</w:t>
      </w:r>
    </w:p>
    <w:p>
      <w:pPr>
        <w:pStyle w:val="Normal"/>
        <w:ind w:left="180" w:hanging="180"/>
        <w:jc w:val="both"/>
        <w:rPr>
          <w:rFonts w:ascii="Symbola" w:hAnsi="Symbola"/>
        </w:rPr>
      </w:pPr>
      <w:r>
        <w:rPr>
          <w:rFonts w:ascii="Symbola" w:hAnsi="Symbola"/>
        </w:rPr>
        <w:t xml:space="preserve">Plato. (1990). </w:t>
      </w:r>
      <w:r>
        <w:rPr>
          <w:rFonts w:ascii="Symbola" w:hAnsi="Symbola"/>
          <w:i/>
        </w:rPr>
        <w:t>The Theaetetus of Plato</w:t>
      </w:r>
      <w:r>
        <w:rPr>
          <w:rFonts w:ascii="Symbola" w:hAnsi="Symbola"/>
        </w:rPr>
        <w:t>. Trans. M. J. Levett, Introduction and Revision by Myles Burnyeat (Indianapolis: Hackett).</w:t>
      </w:r>
    </w:p>
    <w:p>
      <w:pPr>
        <w:pStyle w:val="Heading2"/>
        <w:jc w:val="both"/>
        <w:rPr>
          <w:rFonts w:ascii="Symbola" w:hAnsi="Symbola"/>
        </w:rPr>
      </w:pPr>
      <w:r>
        <w:rPr>
          <w:rFonts w:ascii="Symbola" w:hAnsi="Symbola"/>
        </w:rPr>
        <w:t>Secondary Sources</w:t>
      </w:r>
    </w:p>
    <w:p>
      <w:pPr>
        <w:pStyle w:val="Normal"/>
        <w:ind w:left="180" w:hanging="180"/>
        <w:jc w:val="both"/>
        <w:rPr/>
      </w:pPr>
      <w:r>
        <w:rPr>
          <w:rFonts w:ascii="Symbola" w:hAnsi="Symbola"/>
        </w:rPr>
        <w:t xml:space="preserve">Aquinas, Thomas. </w:t>
      </w:r>
      <w:r>
        <w:rPr>
          <w:rFonts w:ascii="Symbola" w:hAnsi="Symbola"/>
          <w:i/>
        </w:rPr>
        <w:t>Sentencia Super Meteora</w:t>
      </w:r>
      <w:r>
        <w:rPr>
          <w:rFonts w:ascii="Symbola" w:hAnsi="Symbola"/>
        </w:rPr>
        <w:t xml:space="preserve">. </w:t>
      </w:r>
      <w:hyperlink r:id="rId2">
        <w:r>
          <w:rPr>
            <w:rStyle w:val="InternetLink"/>
            <w:rFonts w:ascii="Symbola" w:hAnsi="Symbola"/>
          </w:rPr>
          <w:t>http://www.corpusthomisticum.org/cme1.html</w:t>
        </w:r>
      </w:hyperlink>
      <w:r>
        <w:rPr>
          <w:rFonts w:ascii="Symbola" w:hAnsi="Symbola"/>
        </w:rPr>
        <w:t xml:space="preserve"> [</w:t>
      </w:r>
      <w:r>
        <w:rPr>
          <w:rFonts w:ascii="Symbola" w:hAnsi="Symbola"/>
          <w:i/>
        </w:rPr>
        <w:t>Super Meteora</w:t>
      </w:r>
      <w:r>
        <w:rPr>
          <w:rFonts w:ascii="Symbola" w:hAnsi="Symbola"/>
        </w:rPr>
        <w:t>].</w:t>
      </w:r>
    </w:p>
    <w:p>
      <w:pPr>
        <w:pStyle w:val="Normal"/>
        <w:ind w:left="180" w:hanging="180"/>
        <w:jc w:val="both"/>
        <w:rPr>
          <w:rFonts w:ascii="Symbola" w:hAnsi="Symbola"/>
        </w:rPr>
      </w:pPr>
      <w:r>
        <w:rPr>
          <w:rFonts w:ascii="Symbola" w:hAnsi="Symbola"/>
          <w:u w:val="single"/>
        </w:rPr>
        <w:tab/>
      </w:r>
      <w:r>
        <w:rPr>
          <w:rFonts w:ascii="Symbola" w:hAnsi="Symbola"/>
        </w:rPr>
        <w:t xml:space="preserve">(1948). </w:t>
      </w:r>
      <w:r>
        <w:rPr>
          <w:rFonts w:ascii="Symbola" w:hAnsi="Symbola"/>
          <w:i/>
        </w:rPr>
        <w:t>In Aristotelis Librum De Anima Commentarium</w:t>
      </w:r>
      <w:r>
        <w:rPr>
          <w:rFonts w:ascii="Symbola" w:hAnsi="Symbola"/>
        </w:rPr>
        <w:t xml:space="preserve"> (Marietti) [</w:t>
      </w:r>
      <w:r>
        <w:rPr>
          <w:rFonts w:ascii="Symbola" w:hAnsi="Symbola"/>
          <w:i/>
        </w:rPr>
        <w:t>In DA</w:t>
      </w:r>
      <w:r>
        <w:rPr>
          <w:rFonts w:ascii="Symbola" w:hAnsi="Symbola"/>
        </w:rPr>
        <w:t>].</w:t>
      </w:r>
    </w:p>
    <w:p>
      <w:pPr>
        <w:pStyle w:val="Normal"/>
        <w:ind w:left="180" w:hanging="180"/>
        <w:jc w:val="both"/>
        <w:rPr>
          <w:rFonts w:ascii="Symbola" w:hAnsi="Symbola"/>
        </w:rPr>
      </w:pPr>
      <w:r>
        <w:rPr>
          <w:rFonts w:ascii="Symbola" w:hAnsi="Symbola"/>
        </w:rPr>
        <w:t xml:space="preserve">Bowin, John (2011). “Aristotle on Various Types of Alteration in </w:t>
      </w:r>
      <w:r>
        <w:rPr>
          <w:rFonts w:ascii="Symbola" w:hAnsi="Symbola"/>
          <w:i/>
        </w:rPr>
        <w:t>De Anima</w:t>
      </w:r>
      <w:r>
        <w:rPr>
          <w:rFonts w:ascii="Symbola" w:hAnsi="Symbola"/>
        </w:rPr>
        <w:t xml:space="preserve"> II 5” </w:t>
      </w:r>
      <w:r>
        <w:rPr>
          <w:rFonts w:ascii="Symbola" w:hAnsi="Symbola"/>
          <w:i/>
        </w:rPr>
        <w:t xml:space="preserve">Phronesis </w:t>
      </w:r>
      <w:r>
        <w:rPr>
          <w:rFonts w:ascii="Symbola" w:hAnsi="Symbola"/>
        </w:rPr>
        <w:t>56, 138-161.</w:t>
      </w:r>
    </w:p>
    <w:p>
      <w:pPr>
        <w:pStyle w:val="Normal"/>
        <w:ind w:left="180" w:hanging="180"/>
        <w:jc w:val="both"/>
        <w:rPr>
          <w:rFonts w:ascii="Symbola" w:hAnsi="Symbola"/>
        </w:rPr>
      </w:pPr>
      <w:r>
        <w:rPr>
          <w:rFonts w:ascii="Symbola" w:hAnsi="Symbola"/>
          <w:u w:val="single"/>
        </w:rPr>
        <w:tab/>
      </w:r>
      <w:r>
        <w:rPr>
          <w:rFonts w:ascii="Symbola" w:hAnsi="Symbola"/>
        </w:rPr>
        <w:t xml:space="preserve">(2012). “Aristotle on ‘First Transitions’ in </w:t>
      </w:r>
      <w:r>
        <w:rPr>
          <w:rFonts w:ascii="Symbola" w:hAnsi="Symbola"/>
          <w:i/>
        </w:rPr>
        <w:t xml:space="preserve">De Anima </w:t>
      </w:r>
      <w:r>
        <w:rPr>
          <w:rFonts w:ascii="Symbola" w:hAnsi="Symbola"/>
        </w:rPr>
        <w:t xml:space="preserve">II 5” </w:t>
      </w:r>
      <w:r>
        <w:rPr>
          <w:rFonts w:ascii="Symbola" w:hAnsi="Symbola"/>
          <w:i/>
        </w:rPr>
        <w:t xml:space="preserve">Apeiron </w:t>
      </w:r>
      <w:r>
        <w:rPr>
          <w:rFonts w:ascii="Symbola" w:hAnsi="Symbola"/>
        </w:rPr>
        <w:t>45, 262-282.</w:t>
      </w:r>
    </w:p>
    <w:p>
      <w:pPr>
        <w:pStyle w:val="Normal"/>
        <w:ind w:left="180" w:hanging="180"/>
        <w:jc w:val="both"/>
        <w:rPr>
          <w:rFonts w:ascii="Symbola" w:hAnsi="Symbola"/>
        </w:rPr>
      </w:pPr>
      <w:r>
        <w:rPr>
          <w:rFonts w:ascii="Symbola" w:hAnsi="Symbola"/>
        </w:rPr>
        <w:t xml:space="preserve">Brentano, Franz (1995/1874). </w:t>
      </w:r>
      <w:r>
        <w:rPr>
          <w:rFonts w:ascii="Symbola" w:hAnsi="Symbola"/>
          <w:i/>
        </w:rPr>
        <w:t>Psychology from an Empirical Standpoint</w:t>
      </w:r>
      <w:r>
        <w:rPr>
          <w:rFonts w:ascii="Symbola" w:hAnsi="Symbola"/>
        </w:rPr>
        <w:t xml:space="preserve"> (London: Routledge).</w:t>
      </w:r>
    </w:p>
    <w:p>
      <w:pPr>
        <w:pStyle w:val="Normal"/>
        <w:ind w:left="180" w:hanging="180"/>
        <w:jc w:val="both"/>
        <w:rPr>
          <w:rFonts w:ascii="Symbola" w:hAnsi="Symbola"/>
        </w:rPr>
      </w:pPr>
      <w:r>
        <w:rPr>
          <w:rFonts w:ascii="Symbola" w:hAnsi="Symbola"/>
        </w:rPr>
        <w:t xml:space="preserve">Broadie (1993). “Aristotle’s Perceptual Realism” </w:t>
      </w:r>
      <w:r>
        <w:rPr>
          <w:rFonts w:ascii="Symbola" w:hAnsi="Symbola"/>
          <w:i/>
        </w:rPr>
        <w:t xml:space="preserve">The Southern Journal of Philosophy </w:t>
      </w:r>
      <w:r>
        <w:rPr>
          <w:rFonts w:ascii="Symbola" w:hAnsi="Symbola"/>
        </w:rPr>
        <w:t xml:space="preserve">31 supplement, 137-159. </w:t>
      </w:r>
    </w:p>
    <w:p>
      <w:pPr>
        <w:pStyle w:val="Normal"/>
        <w:ind w:left="180" w:hanging="180"/>
        <w:jc w:val="both"/>
        <w:rPr>
          <w:rFonts w:ascii="Symbola" w:hAnsi="Symbola"/>
        </w:rPr>
      </w:pPr>
      <w:r>
        <w:rPr>
          <w:rFonts w:ascii="Symbola" w:hAnsi="Symbola"/>
        </w:rPr>
        <w:t xml:space="preserve">Burnyeat, M. F. (1981). </w:t>
      </w:r>
      <w:r>
        <w:rPr>
          <w:rFonts w:ascii="Symbola" w:hAnsi="Symbola"/>
          <w:i/>
        </w:rPr>
        <w:t>Conflicting Appearances</w:t>
      </w:r>
      <w:r>
        <w:rPr>
          <w:rFonts w:ascii="Symbola" w:hAnsi="Symbola"/>
        </w:rPr>
        <w:t xml:space="preserve"> (London: British Academy).</w:t>
      </w:r>
    </w:p>
    <w:p>
      <w:pPr>
        <w:pStyle w:val="Normal"/>
        <w:ind w:left="180" w:hanging="180"/>
        <w:jc w:val="both"/>
        <w:rPr>
          <w:rFonts w:ascii="Symbola" w:hAnsi="Symbola"/>
        </w:rPr>
      </w:pPr>
      <w:r>
        <w:rPr>
          <w:rFonts w:ascii="Symbola" w:hAnsi="Symbola"/>
          <w:u w:val="single"/>
        </w:rPr>
        <w:tab/>
      </w:r>
      <w:r>
        <w:rPr>
          <w:rFonts w:ascii="Symbola" w:hAnsi="Symbola"/>
        </w:rPr>
        <w:t>(1992). “Is an Aristotelian Philosophy of Mind Still Credible?” in Nussbaum and Rorty 1992, 15-26.</w:t>
      </w:r>
    </w:p>
    <w:p>
      <w:pPr>
        <w:pStyle w:val="Normal"/>
        <w:ind w:left="180" w:hanging="180"/>
        <w:jc w:val="both"/>
        <w:rPr>
          <w:rFonts w:ascii="Symbola" w:hAnsi="Symbola"/>
        </w:rPr>
      </w:pPr>
      <w:r>
        <w:rPr>
          <w:rFonts w:ascii="Symbola" w:hAnsi="Symbola"/>
          <w:u w:val="single"/>
        </w:rPr>
        <w:tab/>
      </w:r>
      <w:r>
        <w:rPr>
          <w:rFonts w:ascii="Symbola" w:hAnsi="Symbola"/>
        </w:rPr>
        <w:t>(2002). “</w:t>
      </w:r>
      <w:r>
        <w:rPr>
          <w:rFonts w:ascii="Symbola" w:hAnsi="Symbola"/>
          <w:i/>
        </w:rPr>
        <w:t>De Anima</w:t>
      </w:r>
      <w:r>
        <w:rPr>
          <w:rFonts w:ascii="Symbola" w:hAnsi="Symbola"/>
        </w:rPr>
        <w:t xml:space="preserve"> II 5” </w:t>
      </w:r>
      <w:r>
        <w:rPr>
          <w:rFonts w:ascii="Symbola" w:hAnsi="Symbola"/>
          <w:i/>
        </w:rPr>
        <w:t xml:space="preserve">Phronesis </w:t>
      </w:r>
      <w:r>
        <w:rPr>
          <w:rFonts w:ascii="Symbola" w:hAnsi="Symbola"/>
        </w:rPr>
        <w:t>47:1, 28-90.</w:t>
      </w:r>
    </w:p>
    <w:p>
      <w:pPr>
        <w:pStyle w:val="Normal"/>
        <w:ind w:left="180" w:hanging="180"/>
        <w:jc w:val="both"/>
        <w:rPr>
          <w:rFonts w:ascii="Symbola" w:hAnsi="Symbola"/>
        </w:rPr>
      </w:pPr>
      <w:r>
        <w:rPr>
          <w:rFonts w:ascii="Symbola" w:hAnsi="Symbola"/>
          <w:u w:val="single"/>
        </w:rPr>
        <w:tab/>
      </w:r>
      <w:r>
        <w:rPr>
          <w:rFonts w:ascii="Symbola" w:hAnsi="Symbola"/>
        </w:rPr>
        <w:t xml:space="preserve">(2008). </w:t>
      </w:r>
      <w:r>
        <w:rPr>
          <w:rFonts w:ascii="Symbola" w:hAnsi="Symbola"/>
          <w:i/>
        </w:rPr>
        <w:t>Aristotle’s Divine Intellect: The Aquinas lecture, 2008</w:t>
      </w:r>
      <w:r>
        <w:rPr>
          <w:rFonts w:ascii="Symbola" w:hAnsi="Symbola"/>
        </w:rPr>
        <w:t xml:space="preserve">. (Milwaukee: Marquette University Press). </w:t>
      </w:r>
    </w:p>
    <w:p>
      <w:pPr>
        <w:pStyle w:val="Normal"/>
        <w:ind w:left="180" w:hanging="180"/>
        <w:jc w:val="both"/>
        <w:rPr>
          <w:rFonts w:ascii="Symbola" w:hAnsi="Symbola"/>
        </w:rPr>
      </w:pPr>
      <w:r>
        <w:rPr>
          <w:rFonts w:ascii="Symbola" w:hAnsi="Symbola"/>
        </w:rPr>
        <w:t xml:space="preserve">Caston, Victor (1998). “Aristotle and the Problem of Intentionality” </w:t>
      </w:r>
      <w:r>
        <w:rPr>
          <w:rFonts w:ascii="Symbola" w:hAnsi="Symbola"/>
          <w:i/>
        </w:rPr>
        <w:t>Philosophy and Phenomenological Research</w:t>
      </w:r>
      <w:r>
        <w:rPr>
          <w:rFonts w:ascii="Symbola" w:hAnsi="Symbola"/>
        </w:rPr>
        <w:t xml:space="preserve"> 58:2, 249-298.</w:t>
      </w:r>
    </w:p>
    <w:p>
      <w:pPr>
        <w:pStyle w:val="Normal"/>
        <w:ind w:left="180" w:hanging="180"/>
        <w:jc w:val="both"/>
        <w:rPr>
          <w:rFonts w:ascii="Symbola" w:hAnsi="Symbola"/>
        </w:rPr>
      </w:pPr>
      <w:r>
        <w:rPr>
          <w:rFonts w:ascii="Symbola" w:hAnsi="Symbola"/>
          <w:u w:val="single"/>
        </w:rPr>
        <w:tab/>
      </w:r>
      <w:r>
        <w:rPr>
          <w:rFonts w:ascii="Symbola" w:hAnsi="Symbola"/>
        </w:rPr>
        <w:t xml:space="preserve">(2004). “The Spirit and the Letter: Aristotle on Perception” in Ricardo Salles (ed.), </w:t>
      </w:r>
      <w:r>
        <w:rPr>
          <w:rFonts w:ascii="Symbola" w:hAnsi="Symbola"/>
          <w:i/>
        </w:rPr>
        <w:t>Metaphysics, Soul, and Ethics in Ancient Thought: Themes from the work of Richard Sorabji</w:t>
      </w:r>
      <w:r>
        <w:rPr>
          <w:rFonts w:ascii="Symbola" w:hAnsi="Symbola"/>
        </w:rPr>
        <w:t xml:space="preserve"> (Oxford: Clarendon Press), 245-320.</w:t>
      </w:r>
    </w:p>
    <w:p>
      <w:pPr>
        <w:pStyle w:val="Normal"/>
        <w:ind w:left="180" w:hanging="180"/>
        <w:jc w:val="both"/>
        <w:rPr>
          <w:rFonts w:ascii="Symbola" w:hAnsi="Symbola"/>
        </w:rPr>
      </w:pPr>
      <w:r>
        <w:rPr>
          <w:rFonts w:ascii="Symbola" w:hAnsi="Symbola"/>
        </w:rPr>
        <w:t xml:space="preserve">Corcilius, Klaus (2014). “Activity, Passivity, and Perceptual Discrimination in Aristotle” in J. F. Silva &amp; M. Yrjönsuuri (eds.), </w:t>
      </w:r>
      <w:r>
        <w:rPr>
          <w:rFonts w:ascii="Symbola" w:hAnsi="Symbola"/>
          <w:i/>
        </w:rPr>
        <w:t>Active Perception Ancient to Modern</w:t>
      </w:r>
      <w:r>
        <w:rPr>
          <w:rFonts w:ascii="Symbola" w:hAnsi="Symbola"/>
        </w:rPr>
        <w:t xml:space="preserve"> (New York: Springer).</w:t>
      </w:r>
    </w:p>
    <w:p>
      <w:pPr>
        <w:pStyle w:val="Normal"/>
        <w:ind w:left="180" w:hanging="180"/>
        <w:jc w:val="both"/>
        <w:rPr>
          <w:rFonts w:ascii="Symbola" w:hAnsi="Symbola"/>
        </w:rPr>
      </w:pPr>
      <w:r>
        <w:rPr>
          <w:rFonts w:ascii="Symbola" w:hAnsi="Symbola"/>
        </w:rPr>
        <w:t xml:space="preserve">Everson, Stephen (1997). </w:t>
      </w:r>
      <w:r>
        <w:rPr>
          <w:rFonts w:ascii="Symbola" w:hAnsi="Symbola"/>
          <w:i/>
        </w:rPr>
        <w:t>Aristotle on Perception</w:t>
      </w:r>
      <w:r>
        <w:rPr>
          <w:rFonts w:ascii="Symbola" w:hAnsi="Symbola"/>
        </w:rPr>
        <w:t xml:space="preserve"> (Oxford: Oxford University Press).</w:t>
      </w:r>
    </w:p>
    <w:p>
      <w:pPr>
        <w:pStyle w:val="Normal"/>
        <w:ind w:left="180" w:hanging="180"/>
        <w:jc w:val="both"/>
        <w:rPr>
          <w:rFonts w:ascii="Symbola" w:hAnsi="Symbola"/>
        </w:rPr>
      </w:pPr>
      <w:r>
        <w:rPr>
          <w:rFonts w:ascii="Symbola" w:hAnsi="Symbola"/>
        </w:rPr>
        <w:t xml:space="preserve">Gaukroger, Stephen (2000). “The Role of Matter Theory in Baconian and Cartesian Cosmologies” </w:t>
      </w:r>
      <w:r>
        <w:rPr>
          <w:rFonts w:ascii="Symbola" w:hAnsi="Symbola"/>
          <w:i/>
        </w:rPr>
        <w:t>Perspectives on Science: Historical Philosophical, Social</w:t>
      </w:r>
      <w:r>
        <w:rPr>
          <w:rFonts w:ascii="Symbola" w:hAnsi="Symbola"/>
        </w:rPr>
        <w:t xml:space="preserve"> 8:3, 201-222.</w:t>
      </w:r>
    </w:p>
    <w:p>
      <w:pPr>
        <w:pStyle w:val="Normal"/>
        <w:ind w:left="180" w:hanging="180"/>
        <w:jc w:val="both"/>
        <w:rPr>
          <w:rFonts w:ascii="Symbola" w:hAnsi="Symbola"/>
        </w:rPr>
      </w:pPr>
      <w:r>
        <w:rPr>
          <w:rFonts w:ascii="Symbola" w:hAnsi="Symbola"/>
        </w:rPr>
        <w:t xml:space="preserve">Glouberman, M. (1997). “Descartes’s Wax and the Typology of Early Modern Philosophy” </w:t>
      </w:r>
      <w:r>
        <w:rPr>
          <w:rFonts w:ascii="Symbola" w:hAnsi="Symbola"/>
          <w:i/>
        </w:rPr>
        <w:t>Modern Schoolman</w:t>
      </w:r>
      <w:r>
        <w:rPr>
          <w:rFonts w:ascii="Symbola" w:hAnsi="Symbola"/>
        </w:rPr>
        <w:t xml:space="preserve"> 74, 117-141.</w:t>
      </w:r>
    </w:p>
    <w:p>
      <w:pPr>
        <w:pStyle w:val="Normal"/>
        <w:ind w:left="180" w:hanging="180"/>
        <w:jc w:val="both"/>
        <w:rPr>
          <w:rFonts w:ascii="Symbola" w:hAnsi="Symbola"/>
        </w:rPr>
      </w:pPr>
      <w:r>
        <w:rPr>
          <w:rFonts w:ascii="Symbola" w:hAnsi="Symbola"/>
        </w:rPr>
        <w:t xml:space="preserve">Hart, Alan (1975). “Descartes on Re-identification” </w:t>
      </w:r>
      <w:r>
        <w:rPr>
          <w:rFonts w:ascii="Symbola" w:hAnsi="Symbola"/>
          <w:i/>
        </w:rPr>
        <w:t xml:space="preserve">Journal of the History of Philosophy </w:t>
      </w:r>
      <w:r>
        <w:rPr>
          <w:rFonts w:ascii="Symbola" w:hAnsi="Symbola"/>
        </w:rPr>
        <w:t>13:1, 17-26.</w:t>
      </w:r>
    </w:p>
    <w:p>
      <w:pPr>
        <w:pStyle w:val="Normal"/>
        <w:ind w:left="180" w:hanging="180"/>
        <w:jc w:val="both"/>
        <w:rPr>
          <w:rFonts w:ascii="Symbola" w:hAnsi="Symbola"/>
        </w:rPr>
      </w:pPr>
      <w:r>
        <w:rPr>
          <w:rFonts w:ascii="Symbola" w:hAnsi="Symbola"/>
        </w:rPr>
        <w:t xml:space="preserve">Heinaman, Robert (2007). “Actuality, Potentiality, and </w:t>
      </w:r>
      <w:r>
        <w:rPr>
          <w:rFonts w:ascii="Symbola" w:hAnsi="Symbola"/>
          <w:i/>
        </w:rPr>
        <w:t xml:space="preserve">De Anima </w:t>
      </w:r>
      <w:r>
        <w:rPr>
          <w:rFonts w:ascii="Symbola" w:hAnsi="Symbola"/>
        </w:rPr>
        <w:t xml:space="preserve">II.5” </w:t>
      </w:r>
      <w:r>
        <w:rPr>
          <w:rFonts w:ascii="Symbola" w:hAnsi="Symbola"/>
          <w:i/>
        </w:rPr>
        <w:t xml:space="preserve">Phronesis </w:t>
      </w:r>
      <w:r>
        <w:rPr>
          <w:rFonts w:ascii="Symbola" w:hAnsi="Symbola"/>
        </w:rPr>
        <w:t>52, 139-187.</w:t>
      </w:r>
    </w:p>
    <w:p>
      <w:pPr>
        <w:pStyle w:val="Normal"/>
        <w:ind w:left="180" w:hanging="180"/>
        <w:jc w:val="both"/>
        <w:rPr>
          <w:rFonts w:ascii="Symbola" w:hAnsi="Symbola"/>
        </w:rPr>
      </w:pPr>
      <w:r>
        <w:rPr>
          <w:rFonts w:ascii="Symbola" w:hAnsi="Symbola"/>
        </w:rPr>
        <w:t xml:space="preserve">Johansen, Thomas Kjeller (1997). </w:t>
      </w:r>
      <w:r>
        <w:rPr>
          <w:rFonts w:ascii="Symbola" w:hAnsi="Symbola"/>
          <w:i/>
        </w:rPr>
        <w:t>Aristotle on the Sense Organs</w:t>
      </w:r>
      <w:r>
        <w:rPr>
          <w:rFonts w:ascii="Symbola" w:hAnsi="Symbola"/>
        </w:rPr>
        <w:t xml:space="preserve"> (Oxford: Oxford University Press).</w:t>
      </w:r>
    </w:p>
    <w:p>
      <w:pPr>
        <w:pStyle w:val="Normal"/>
        <w:ind w:left="180" w:hanging="180"/>
        <w:jc w:val="both"/>
        <w:rPr>
          <w:rFonts w:ascii="Symbola" w:hAnsi="Symbola"/>
        </w:rPr>
      </w:pPr>
      <w:r>
        <w:rPr>
          <w:rFonts w:ascii="Symbola" w:hAnsi="Symbola"/>
          <w:u w:val="single"/>
        </w:rPr>
        <w:tab/>
      </w:r>
      <w:r>
        <w:rPr>
          <w:rFonts w:ascii="Symbola" w:hAnsi="Symbola"/>
        </w:rPr>
        <w:t xml:space="preserve">(2012). </w:t>
      </w:r>
      <w:r>
        <w:rPr>
          <w:rFonts w:ascii="Symbola" w:hAnsi="Symbola"/>
          <w:i/>
        </w:rPr>
        <w:t>The Powers of Aristotle’s Soul</w:t>
      </w:r>
      <w:r>
        <w:rPr>
          <w:rFonts w:ascii="Symbola" w:hAnsi="Symbola"/>
        </w:rPr>
        <w:t xml:space="preserve"> (Oxford: Oxford University Press).</w:t>
      </w:r>
    </w:p>
    <w:p>
      <w:pPr>
        <w:pStyle w:val="Normal"/>
        <w:ind w:left="180" w:hanging="180"/>
        <w:jc w:val="both"/>
        <w:rPr>
          <w:rFonts w:ascii="Symbola" w:hAnsi="Symbola"/>
        </w:rPr>
      </w:pPr>
      <w:r>
        <w:rPr>
          <w:rFonts w:ascii="Symbola" w:hAnsi="Symbola"/>
        </w:rPr>
        <w:t xml:space="preserve">Klima, Gyula (1999). “Buridan’s logic and the ontology of modes” in Sten Ebbesen and Russell L. Friedman (eds.), </w:t>
      </w:r>
      <w:r>
        <w:rPr>
          <w:rFonts w:ascii="Symbola" w:hAnsi="Symbola"/>
          <w:i/>
        </w:rPr>
        <w:t>Medieval Analyses in Language and Cognition</w:t>
      </w:r>
      <w:r>
        <w:rPr>
          <w:rFonts w:ascii="Symbola" w:hAnsi="Symbola"/>
        </w:rPr>
        <w:t xml:space="preserve"> (Copenhagen: Royal Danish Academy), 473-496.</w:t>
      </w:r>
    </w:p>
    <w:p>
      <w:pPr>
        <w:pStyle w:val="Normal"/>
        <w:ind w:left="180" w:hanging="180"/>
        <w:jc w:val="both"/>
        <w:rPr>
          <w:rFonts w:ascii="Symbola" w:hAnsi="Symbola"/>
        </w:rPr>
      </w:pPr>
      <w:r>
        <w:rPr>
          <w:rFonts w:ascii="Symbola" w:hAnsi="Symbola"/>
          <w:u w:val="single"/>
        </w:rPr>
        <w:tab/>
      </w:r>
      <w:r>
        <w:rPr>
          <w:rFonts w:ascii="Symbola" w:hAnsi="Symbola"/>
        </w:rPr>
        <w:t xml:space="preserve">(2013). “Three Myths of Intentionality Versus Some Medieval Philosophers” </w:t>
      </w:r>
      <w:r>
        <w:rPr>
          <w:rFonts w:ascii="Symbola" w:hAnsi="Symbola"/>
          <w:i/>
        </w:rPr>
        <w:t>International Journal of Philosophical Studies</w:t>
      </w:r>
      <w:r>
        <w:rPr>
          <w:rFonts w:ascii="Symbola" w:hAnsi="Symbola"/>
        </w:rPr>
        <w:t xml:space="preserve"> 21:3, 359-76.</w:t>
      </w:r>
    </w:p>
    <w:p>
      <w:pPr>
        <w:pStyle w:val="Normal"/>
        <w:ind w:left="180" w:hanging="180"/>
        <w:jc w:val="both"/>
        <w:rPr>
          <w:rFonts w:ascii="Symbola" w:hAnsi="Symbola"/>
        </w:rPr>
      </w:pPr>
      <w:r>
        <w:rPr>
          <w:rFonts w:ascii="Symbola" w:hAnsi="Symbola"/>
        </w:rPr>
        <w:t xml:space="preserve">Kripke, Saul (1971). “Identity and Necessity” reprinted in </w:t>
      </w:r>
      <w:r>
        <w:rPr>
          <w:rFonts w:ascii="Symbola" w:hAnsi="Symbola"/>
          <w:i/>
        </w:rPr>
        <w:t>Philosophical Troubles</w:t>
      </w:r>
      <w:r>
        <w:rPr>
          <w:rFonts w:ascii="Symbola" w:hAnsi="Symbola"/>
        </w:rPr>
        <w:t xml:space="preserve"> (Oxford: Oxford University Press, 2011), 1-26.</w:t>
      </w:r>
    </w:p>
    <w:p>
      <w:pPr>
        <w:pStyle w:val="Normal"/>
        <w:ind w:left="180" w:hanging="180"/>
        <w:jc w:val="both"/>
        <w:rPr>
          <w:rFonts w:ascii="Symbola" w:hAnsi="Symbola"/>
        </w:rPr>
      </w:pPr>
      <w:r>
        <w:rPr>
          <w:rFonts w:ascii="Symbola" w:hAnsi="Symbola"/>
        </w:rPr>
        <w:t xml:space="preserve">Lear, Jonathan (1988). </w:t>
      </w:r>
      <w:r>
        <w:rPr>
          <w:rFonts w:ascii="Symbola" w:hAnsi="Symbola"/>
          <w:i/>
        </w:rPr>
        <w:t>Aristotle: The Desire to Understand</w:t>
      </w:r>
      <w:r>
        <w:rPr>
          <w:rFonts w:ascii="Symbola" w:hAnsi="Symbola"/>
        </w:rPr>
        <w:t xml:space="preserve"> (Cambridge: Cambridge University Press).</w:t>
      </w:r>
    </w:p>
    <w:p>
      <w:pPr>
        <w:pStyle w:val="Normal"/>
        <w:ind w:left="180" w:hanging="180"/>
        <w:jc w:val="both"/>
        <w:rPr>
          <w:rFonts w:ascii="Symbola" w:hAnsi="Symbola"/>
        </w:rPr>
      </w:pPr>
      <w:r>
        <w:rPr>
          <w:rFonts w:ascii="Symbola" w:hAnsi="Symbola"/>
        </w:rPr>
        <w:t xml:space="preserve">Lorenz, Hendrik (2007). “The Assimilation of Sense to Sense-Object in Aristotle” </w:t>
      </w:r>
      <w:r>
        <w:rPr>
          <w:rFonts w:ascii="Symbola" w:hAnsi="Symbola"/>
          <w:i/>
        </w:rPr>
        <w:t xml:space="preserve">Oxford Studies in Ancient Philosophy </w:t>
      </w:r>
      <w:r>
        <w:rPr>
          <w:rFonts w:ascii="Symbola" w:hAnsi="Symbola"/>
        </w:rPr>
        <w:t>23, 179-220.</w:t>
      </w:r>
    </w:p>
    <w:p>
      <w:pPr>
        <w:pStyle w:val="Normal"/>
        <w:ind w:left="180" w:hanging="180"/>
        <w:jc w:val="both"/>
        <w:rPr>
          <w:rFonts w:ascii="Symbola" w:hAnsi="Symbola"/>
        </w:rPr>
      </w:pPr>
      <w:r>
        <w:rPr>
          <w:rFonts w:ascii="Symbola" w:hAnsi="Symbola"/>
        </w:rPr>
        <w:t xml:space="preserve">Magee, Joseph M (2000). “Sense Organs and the Activity of Sensation in Aristotle” </w:t>
      </w:r>
      <w:r>
        <w:rPr>
          <w:rFonts w:ascii="Symbola" w:hAnsi="Symbola"/>
          <w:i/>
        </w:rPr>
        <w:t xml:space="preserve">Phronesis </w:t>
      </w:r>
      <w:r>
        <w:rPr>
          <w:rFonts w:ascii="Symbola" w:hAnsi="Symbola"/>
        </w:rPr>
        <w:t>45:4, 306-330.</w:t>
      </w:r>
    </w:p>
    <w:p>
      <w:pPr>
        <w:pStyle w:val="Normal"/>
        <w:ind w:left="180" w:hanging="180"/>
        <w:jc w:val="both"/>
        <w:rPr>
          <w:rFonts w:ascii="Symbola" w:hAnsi="Symbola"/>
        </w:rPr>
      </w:pPr>
      <w:r>
        <w:rPr>
          <w:rFonts w:ascii="Symbola" w:hAnsi="Symbola"/>
        </w:rPr>
        <w:t xml:space="preserve">Nevitt, Turner C (2013). “Sensation in Aristotle: Some Problematic Contemporary Interpretations and a Medieval Solution” </w:t>
      </w:r>
      <w:r>
        <w:rPr>
          <w:rFonts w:ascii="Symbola" w:hAnsi="Symbola"/>
          <w:i/>
        </w:rPr>
        <w:t>Proceedings of the American Catholic Philosophical Association</w:t>
      </w:r>
      <w:r>
        <w:rPr>
          <w:rFonts w:ascii="Symbola" w:hAnsi="Symbola"/>
        </w:rPr>
        <w:t xml:space="preserve"> 87, 195-211.</w:t>
      </w:r>
    </w:p>
    <w:p>
      <w:pPr>
        <w:pStyle w:val="Normal"/>
        <w:ind w:left="180" w:hanging="180"/>
        <w:jc w:val="both"/>
        <w:rPr>
          <w:rFonts w:ascii="Symbola" w:hAnsi="Symbola"/>
        </w:rPr>
      </w:pPr>
      <w:r>
        <w:rPr>
          <w:rFonts w:ascii="Symbola" w:hAnsi="Symbola"/>
        </w:rPr>
        <w:t xml:space="preserve">Nussbaum, Martha and Amélie Oksenberg Rorty, eds. (1992). </w:t>
      </w:r>
      <w:r>
        <w:rPr>
          <w:rFonts w:ascii="Symbola" w:hAnsi="Symbola"/>
          <w:i/>
        </w:rPr>
        <w:t>Essays on Aristotle’s De Anima</w:t>
      </w:r>
      <w:r>
        <w:rPr>
          <w:rFonts w:ascii="Symbola" w:hAnsi="Symbola"/>
        </w:rPr>
        <w:t xml:space="preserve"> (Oxford: Oxford University Press).</w:t>
      </w:r>
    </w:p>
    <w:p>
      <w:pPr>
        <w:pStyle w:val="Normal"/>
        <w:ind w:left="180" w:hanging="180"/>
        <w:jc w:val="both"/>
        <w:rPr>
          <w:rFonts w:ascii="Symbola" w:hAnsi="Symbola"/>
        </w:rPr>
      </w:pPr>
      <w:r>
        <w:rPr>
          <w:rFonts w:ascii="Symbola" w:hAnsi="Symbola"/>
        </w:rPr>
        <w:t xml:space="preserve">Quine, W. V. (1948). “On What There Is” </w:t>
      </w:r>
      <w:r>
        <w:rPr>
          <w:rFonts w:ascii="Symbola" w:hAnsi="Symbola"/>
          <w:i/>
        </w:rPr>
        <w:t>Review of Metaphysics</w:t>
      </w:r>
      <w:r>
        <w:rPr>
          <w:rFonts w:ascii="Symbola" w:hAnsi="Symbola"/>
        </w:rPr>
        <w:t xml:space="preserve"> 2:5, 21-38.</w:t>
      </w:r>
    </w:p>
    <w:p>
      <w:pPr>
        <w:pStyle w:val="Normal"/>
        <w:ind w:left="180" w:hanging="180"/>
        <w:jc w:val="both"/>
        <w:rPr>
          <w:rFonts w:ascii="Symbola" w:hAnsi="Symbola"/>
        </w:rPr>
      </w:pPr>
      <w:r>
        <w:rPr>
          <w:rFonts w:ascii="Symbola" w:hAnsi="Symbola"/>
        </w:rPr>
        <w:t xml:space="preserve">Rowett, Catherine (2012). “On Making Mistakes in Plato: </w:t>
      </w:r>
      <w:r>
        <w:rPr>
          <w:rFonts w:ascii="Symbola" w:hAnsi="Symbola"/>
          <w:i/>
        </w:rPr>
        <w:t xml:space="preserve">Theaetetus </w:t>
      </w:r>
      <w:r>
        <w:rPr>
          <w:rFonts w:ascii="Symbola" w:hAnsi="Symbola"/>
        </w:rPr>
        <w:t xml:space="preserve">187c-200d” </w:t>
      </w:r>
      <w:r>
        <w:rPr>
          <w:rFonts w:ascii="Symbola" w:hAnsi="Symbola"/>
          <w:i/>
        </w:rPr>
        <w:t>Topoi</w:t>
      </w:r>
      <w:r>
        <w:rPr>
          <w:rFonts w:ascii="Symbola" w:hAnsi="Symbola"/>
        </w:rPr>
        <w:t xml:space="preserve"> 31, 151-166.</w:t>
      </w:r>
    </w:p>
    <w:p>
      <w:pPr>
        <w:pStyle w:val="Normal"/>
        <w:ind w:left="180" w:hanging="180"/>
        <w:jc w:val="both"/>
        <w:rPr>
          <w:rFonts w:ascii="Symbola" w:hAnsi="Symbola"/>
        </w:rPr>
      </w:pPr>
      <w:r>
        <w:rPr>
          <w:rFonts w:ascii="Symbola" w:hAnsi="Symbola"/>
        </w:rPr>
        <w:t xml:space="preserve">Schwitzgebel, Eric (2006). “Do Things Look Flat?” </w:t>
      </w:r>
      <w:r>
        <w:rPr>
          <w:rFonts w:ascii="Symbola" w:hAnsi="Symbola"/>
          <w:i/>
        </w:rPr>
        <w:t xml:space="preserve">Philosophy and Phenomenological Research </w:t>
      </w:r>
      <w:r>
        <w:rPr>
          <w:rFonts w:ascii="Symbola" w:hAnsi="Symbola"/>
        </w:rPr>
        <w:t>72:3, 589-599.</w:t>
      </w:r>
    </w:p>
    <w:p>
      <w:pPr>
        <w:pStyle w:val="Normal"/>
        <w:ind w:left="180" w:hanging="180"/>
        <w:jc w:val="both"/>
        <w:rPr>
          <w:rFonts w:ascii="Symbola" w:hAnsi="Symbola"/>
        </w:rPr>
      </w:pPr>
      <w:r>
        <w:rPr>
          <w:rFonts w:ascii="Symbola" w:hAnsi="Symbola"/>
        </w:rPr>
        <w:t xml:space="preserve">Shields, Christopher (1995). “Intentionality and Isomorphism in Aristotle” </w:t>
      </w:r>
      <w:r>
        <w:rPr>
          <w:rFonts w:ascii="Symbola" w:hAnsi="Symbola"/>
          <w:i/>
        </w:rPr>
        <w:t xml:space="preserve">Proceedings of the Boston Area Colloquium in Ancient Philosophy </w:t>
      </w:r>
      <w:r>
        <w:rPr>
          <w:rFonts w:ascii="Symbola" w:hAnsi="Symbola"/>
        </w:rPr>
        <w:t>11, 307-330.</w:t>
      </w:r>
    </w:p>
    <w:p>
      <w:pPr>
        <w:pStyle w:val="Normal"/>
        <w:ind w:left="180" w:hanging="180"/>
        <w:jc w:val="both"/>
        <w:rPr>
          <w:rFonts w:ascii="Symbola" w:hAnsi="Symbola"/>
        </w:rPr>
      </w:pPr>
      <w:r>
        <w:rPr>
          <w:rFonts w:ascii="Symbola" w:hAnsi="Symbola"/>
        </w:rPr>
        <w:t>Sorabji, Richard (1992). “Intentionality and Physiological Processes: Aristotle’s Theory of Sense-Perception.” In Nussbaum and Rorty 1992, 195-225.</w:t>
      </w:r>
    </w:p>
    <w:p>
      <w:pPr>
        <w:pStyle w:val="Normal"/>
        <w:ind w:left="180" w:hanging="180"/>
        <w:jc w:val="both"/>
        <w:rPr>
          <w:rFonts w:ascii="Symbola" w:hAnsi="Symbola"/>
        </w:rPr>
      </w:pPr>
      <w:r>
        <w:rPr>
          <w:rFonts w:ascii="Symbola" w:hAnsi="Symbola"/>
          <w:u w:val="single"/>
        </w:rPr>
        <w:tab/>
      </w:r>
      <w:r>
        <w:rPr>
          <w:rFonts w:ascii="Symbola" w:hAnsi="Symbola"/>
        </w:rPr>
        <w:t xml:space="preserve">(2001). “Aristotle on Sensory Processes and Intentionality. A Reply to Myles Burnyeat.” In Dominik Perler (ed.), </w:t>
      </w:r>
      <w:r>
        <w:rPr>
          <w:rFonts w:ascii="Symbola" w:hAnsi="Symbola"/>
          <w:i/>
        </w:rPr>
        <w:t>Ancient and Medieval Theories of Intentionality</w:t>
      </w:r>
      <w:r>
        <w:rPr>
          <w:rFonts w:ascii="Symbola" w:hAnsi="Symbola"/>
        </w:rPr>
        <w:t xml:space="preserve"> (Boston: Brill).</w:t>
      </w:r>
    </w:p>
    <w:p>
      <w:pPr>
        <w:pStyle w:val="Normal"/>
        <w:ind w:left="180" w:hanging="180"/>
        <w:jc w:val="both"/>
        <w:rPr>
          <w:rFonts w:ascii="Symbola" w:hAnsi="Symbola"/>
        </w:rPr>
      </w:pPr>
      <w:r>
        <w:rPr>
          <w:rFonts w:ascii="Symbola" w:hAnsi="Symbola"/>
        </w:rPr>
        <w:t xml:space="preserve">Vasiliou, Iakovos (2012). “Theoretical </w:t>
      </w:r>
      <w:r>
        <w:rPr>
          <w:rFonts w:ascii="Symbola" w:hAnsi="Symbola"/>
          <w:i/>
        </w:rPr>
        <w:t xml:space="preserve">Nous </w:t>
      </w:r>
      <w:r>
        <w:rPr>
          <w:rFonts w:ascii="Symbola" w:hAnsi="Symbola"/>
        </w:rPr>
        <w:t xml:space="preserve">and Its Objects in Aristotle. </w:t>
      </w:r>
      <w:r>
        <w:rPr>
          <w:rFonts w:ascii="Symbola" w:hAnsi="Symbola"/>
          <w:i/>
        </w:rPr>
        <w:t xml:space="preserve">Proceedings of the Boston Area Colloquium in Ancient Philosophy </w:t>
      </w:r>
      <w:r>
        <w:rPr>
          <w:rFonts w:ascii="Symbola" w:hAnsi="Symbola"/>
        </w:rPr>
        <w:t>28, 161-180.</w:t>
      </w:r>
    </w:p>
    <w:p>
      <w:pPr>
        <w:pStyle w:val="Normal"/>
        <w:ind w:left="180" w:hanging="180"/>
        <w:jc w:val="both"/>
        <w:rPr>
          <w:rFonts w:ascii="Symbola" w:hAnsi="Symbola"/>
        </w:rPr>
      </w:pPr>
      <w:r>
        <w:rPr>
          <w:rFonts w:ascii="Symbola" w:hAnsi="Symbola"/>
        </w:rPr>
        <w:t xml:space="preserve">Westphal, Jonathan (2005). “Conflicting Appearances, Necessity and the Irreducibility of Propositions about Colours” </w:t>
      </w:r>
      <w:r>
        <w:rPr>
          <w:rFonts w:ascii="Symbola" w:hAnsi="Symbola"/>
          <w:i/>
        </w:rPr>
        <w:t xml:space="preserve">Proceedings of the Aristotelian Society </w:t>
      </w:r>
      <w:r>
        <w:rPr>
          <w:rFonts w:ascii="Symbola" w:hAnsi="Symbola"/>
        </w:rPr>
        <w:t>105:2, 219-235.</w:t>
      </w:r>
    </w:p>
    <w:p>
      <w:pPr>
        <w:pStyle w:val="Normal"/>
        <w:ind w:left="180" w:hanging="180"/>
        <w:jc w:val="both"/>
        <w:rPr>
          <w:rFonts w:ascii="Symbola" w:hAnsi="Symbola"/>
        </w:rPr>
      </w:pPr>
      <w:r>
        <w:rPr>
          <w:rFonts w:ascii="Symbola" w:hAnsi="Symbola"/>
        </w:rPr>
        <w:t xml:space="preserve">Whiting, Jennifer (1992). “Living Bodies” in Martha C. Nussbaum &amp; Amélie Oksenberg Rorty (eds.), </w:t>
      </w:r>
      <w:r>
        <w:rPr>
          <w:rFonts w:ascii="Symbola" w:hAnsi="Symbola"/>
          <w:i/>
        </w:rPr>
        <w:t>Essays on Aristotle’s de Anima</w:t>
      </w:r>
      <w:r>
        <w:rPr>
          <w:rFonts w:ascii="Symbola" w:hAnsi="Symbola"/>
        </w:rPr>
        <w:t xml:space="preserve"> (Oxford: Clarendon Press), 75-91.</w:t>
      </w:r>
    </w:p>
    <w:p>
      <w:pPr>
        <w:pStyle w:val="Normal"/>
        <w:ind w:left="180" w:hanging="180"/>
        <w:jc w:val="both"/>
        <w:rPr>
          <w:rFonts w:ascii="Symbola" w:hAnsi="Symbola"/>
        </w:rPr>
      </w:pPr>
      <w:r>
        <w:rPr>
          <w:rFonts w:ascii="Symbola" w:hAnsi="Symbola"/>
          <w:u w:val="single"/>
        </w:rPr>
        <w:tab/>
      </w:r>
      <w:r>
        <w:rPr>
          <w:rFonts w:ascii="Symbola" w:hAnsi="Symbola"/>
        </w:rPr>
        <w:t xml:space="preserve">(2002). “Locomotive Soul: The Parts of Soul in Aristotle’s Scientific Works” </w:t>
      </w:r>
      <w:r>
        <w:rPr>
          <w:rFonts w:ascii="Symbola" w:hAnsi="Symbola"/>
          <w:i/>
        </w:rPr>
        <w:t xml:space="preserve">Oxford Studies in Ancient Philosophy </w:t>
      </w:r>
      <w:r>
        <w:rPr>
          <w:rFonts w:ascii="Symbola" w:hAnsi="Symbola"/>
        </w:rPr>
        <w:t>22, 141-200.</w:t>
      </w:r>
    </w:p>
    <w:p>
      <w:pPr>
        <w:pStyle w:val="Normal"/>
        <w:ind w:left="180" w:hanging="180"/>
        <w:jc w:val="both"/>
        <w:rPr>
          <w:rFonts w:ascii="Symbola" w:hAnsi="Symbola"/>
        </w:rPr>
      </w:pPr>
      <w:r>
        <w:rPr>
          <w:rFonts w:ascii="Symbola" w:hAnsi="Symbola"/>
        </w:rPr>
      </w:r>
    </w:p>
    <w:p>
      <w:pPr>
        <w:pStyle w:val="Normal"/>
        <w:ind w:left="180" w:hanging="180"/>
        <w:jc w:val="both"/>
        <w:rPr>
          <w:rFonts w:ascii="Symbola" w:hAnsi="Symbola"/>
        </w:rPr>
      </w:pPr>
      <w:r>
        <w:rPr>
          <w:rFonts w:ascii="Symbola" w:hAnsi="Symbola"/>
        </w:rPr>
        <w:t xml:space="preserve">Though we will not treat the question of the sufficiency of matter alone for material change in detail, a cursory look at the passages from the </w:t>
      </w:r>
      <w:r>
        <w:rPr>
          <w:rFonts w:ascii="Symbola" w:hAnsi="Symbola"/>
          <w:i/>
        </w:rPr>
        <w:t xml:space="preserve">Meteorology </w:t>
      </w:r>
      <w:r>
        <w:rPr>
          <w:rFonts w:ascii="Symbola" w:hAnsi="Symbola"/>
        </w:rPr>
        <w:t>in the above chart shows Aristotle’s rejection of this sufficiency by no means meant he was uninterested in questions of material composition.</w:t>
      </w:r>
    </w:p>
    <w:p>
      <w:pPr>
        <w:pStyle w:val="Normal"/>
        <w:ind w:left="180" w:hanging="180"/>
        <w:jc w:val="both"/>
        <w:rPr>
          <w:rFonts w:ascii="Symbola" w:hAnsi="Symbola"/>
        </w:rPr>
      </w:pPr>
      <w:r>
        <w:rPr>
          <w:rFonts w:ascii="Symbola" w:hAnsi="Symbola"/>
        </w:rPr>
        <w:t>In doing so, each section will correlate nicely with one of Burnyeat’s interpretive theses: the first with the thesis that for Aristotle, material change is not necessary for perception; the second, with his claim about the necessity of the matter-form relation in Aristotle.</w:t>
      </w:r>
    </w:p>
    <w:p>
      <w:pPr>
        <w:pStyle w:val="Normal"/>
        <w:ind w:left="180" w:hanging="180"/>
        <w:jc w:val="both"/>
        <w:rPr/>
      </w:pPr>
      <w:r>
        <w:rPr>
          <w:rFonts w:ascii="Symbola" w:hAnsi="Symbola"/>
        </w:rPr>
        <w:t xml:space="preserve">In his interpretation of the </w:t>
      </w:r>
      <w:r>
        <w:rPr>
          <w:rFonts w:ascii="Symbola" w:hAnsi="Symbola"/>
          <w:i/>
        </w:rPr>
        <w:t xml:space="preserve">De Anima </w:t>
      </w:r>
      <w:r>
        <w:rPr>
          <w:rFonts w:ascii="Symbola" w:hAnsi="Symbola"/>
        </w:rPr>
        <w:t>passage in section 2.2.1, Burnyeat is antecedently committed to the claim that spiritual or intentional being is, as Brentano put it, the ‘mark of the mental’,</w:t>
      </w:r>
      <w:r>
        <w:rPr>
          <w:rStyle w:val="EndnoteCharacters"/>
          <w:rStyle w:val="EndnoteAnchor"/>
          <w:rFonts w:ascii="Symbola" w:hAnsi="Symbola"/>
        </w:rPr>
        <w:endnoteReference w:id="38"/>
      </w:r>
      <w:r>
        <w:rPr>
          <w:rFonts w:ascii="Symbola" w:hAnsi="Symbola"/>
        </w:rPr>
        <w:t xml:space="preserve"> and aligns himself with Brentano on this point.</w:t>
      </w:r>
      <w:r>
        <w:rPr>
          <w:rStyle w:val="EndnoteCharacters"/>
          <w:rStyle w:val="EndnoteAnchor"/>
          <w:rFonts w:ascii="Symbola" w:hAnsi="Symbola"/>
        </w:rPr>
        <w:endnoteReference w:id="39"/>
      </w:r>
      <w:r>
        <w:rPr>
          <w:rFonts w:ascii="Symbola" w:hAnsi="Symbola"/>
        </w:rPr>
        <w:t xml:space="preserve"> But as Caston has recognized,</w:t>
      </w:r>
      <w:r>
        <w:rPr>
          <w:rStyle w:val="EndnoteCharacters"/>
          <w:rStyle w:val="EndnoteAnchor"/>
          <w:rFonts w:ascii="Symbola" w:hAnsi="Symbola"/>
        </w:rPr>
        <w:endnoteReference w:id="40"/>
      </w:r>
      <w:r>
        <w:rPr>
          <w:rFonts w:ascii="Symbola" w:hAnsi="Symbola"/>
        </w:rPr>
        <w:t xml:space="preserve"> the passage does not require such a strong interpretation.</w:t>
      </w:r>
    </w:p>
    <w:p>
      <w:pPr>
        <w:pStyle w:val="Normal"/>
        <w:ind w:left="180" w:hanging="180"/>
        <w:jc w:val="both"/>
        <w:rPr/>
      </w:pPr>
      <w:r>
        <w:rPr>
          <w:rFonts w:ascii="Symbola" w:hAnsi="Symbola"/>
        </w:rPr>
        <w:t>To return to an example given by Burnyeat, then, to receive “the warmth of a warm thing without its matter” does not mean “becoming warm without really becoming warm”:</w:t>
      </w:r>
      <w:r>
        <w:rPr>
          <w:rStyle w:val="EndnoteCharacters"/>
          <w:rStyle w:val="EndnoteAnchor"/>
          <w:rFonts w:ascii="Symbola" w:hAnsi="Symbola"/>
        </w:rPr>
        <w:endnoteReference w:id="41"/>
      </w:r>
      <w:r>
        <w:rPr>
          <w:rFonts w:ascii="Symbola" w:hAnsi="Symbola"/>
        </w:rPr>
        <w:t xml:space="preserve"> It means, </w:t>
      </w:r>
      <w:r>
        <w:rPr>
          <w:rFonts w:ascii="Symbola" w:hAnsi="Symbola"/>
          <w:i/>
        </w:rPr>
        <w:t xml:space="preserve">pace </w:t>
      </w:r>
      <w:r>
        <w:rPr>
          <w:rFonts w:ascii="Symbola" w:hAnsi="Symbola"/>
        </w:rPr>
        <w:t>Democritus, that being warmed by the sun is not a matter of receiving sun-particles.</w:t>
      </w:r>
      <w:r>
        <w:rPr>
          <w:rStyle w:val="EndnoteAnchor"/>
          <w:rFonts w:ascii="Symbola" w:hAnsi="Symbola"/>
        </w:rPr>
        <w:endnoteReference w:id="42"/>
      </w:r>
    </w:p>
    <w:p>
      <w:pPr>
        <w:pStyle w:val="Normal"/>
        <w:ind w:firstLine="180"/>
        <w:jc w:val="both"/>
        <w:rPr>
          <w:rFonts w:ascii="Symbola" w:hAnsi="Symbola"/>
        </w:rPr>
      </w:pPr>
      <w:r>
        <w:rPr>
          <w:rFonts w:ascii="Symbola" w:hAnsi="Symbola"/>
        </w:rPr>
        <w:t xml:space="preserve">The real difficulty with these passages [i.e. from the </w:t>
      </w:r>
      <w:r>
        <w:rPr>
          <w:rFonts w:ascii="Symbola" w:hAnsi="Symbola"/>
          <w:i/>
        </w:rPr>
        <w:t xml:space="preserve">De Memoria </w:t>
      </w:r>
      <w:r>
        <w:rPr>
          <w:rFonts w:ascii="Symbola" w:hAnsi="Symbola"/>
        </w:rPr>
        <w:t xml:space="preserve">and </w:t>
      </w:r>
      <w:r>
        <w:rPr>
          <w:rFonts w:ascii="Symbola" w:hAnsi="Symbola"/>
          <w:i/>
        </w:rPr>
        <w:t>De Anima</w:t>
      </w:r>
      <w:r>
        <w:rPr>
          <w:rFonts w:ascii="Symbola" w:hAnsi="Symbola"/>
        </w:rPr>
        <w:t>]</w:t>
      </w:r>
      <w:r>
        <w:rPr>
          <w:rFonts w:ascii="Symbola" w:hAnsi="Symbola"/>
          <w:i/>
        </w:rPr>
        <w:t xml:space="preserve"> </w:t>
      </w:r>
      <w:r>
        <w:rPr>
          <w:rFonts w:ascii="Symbola" w:hAnsi="Symbola"/>
        </w:rPr>
        <w:t xml:space="preserve">is not, then, whether sensation requires material alteration of some sort. This sort of problem only arises because Burnyeat follows Descartes in erecting a wall of partition between a realm of the real and psychological. If the distinction between </w:t>
      </w:r>
      <w:r>
        <w:rPr>
          <w:rFonts w:ascii="Symbola" w:hAnsi="Symbola"/>
          <w:i/>
        </w:rPr>
        <w:t xml:space="preserve">esse spirituale </w:t>
      </w:r>
      <w:r>
        <w:rPr>
          <w:rFonts w:ascii="Symbola" w:hAnsi="Symbola"/>
        </w:rPr>
        <w:t xml:space="preserve">and </w:t>
      </w:r>
      <w:r>
        <w:rPr>
          <w:rFonts w:ascii="Symbola" w:hAnsi="Symbola"/>
          <w:i/>
        </w:rPr>
        <w:t xml:space="preserve">esse reale </w:t>
      </w:r>
      <w:r>
        <w:rPr>
          <w:rFonts w:ascii="Symbola" w:hAnsi="Symbola"/>
        </w:rPr>
        <w:t xml:space="preserve">is not a distinction of domains, then the problem disappears. </w:t>
      </w:r>
    </w:p>
    <w:p>
      <w:pPr>
        <w:pStyle w:val="Normal"/>
        <w:ind w:firstLine="180"/>
        <w:jc w:val="both"/>
        <w:rPr/>
      </w:pPr>
      <w:r>
        <w:rPr>
          <w:rFonts w:ascii="Symbola" w:hAnsi="Symbola"/>
        </w:rPr>
        <w:t xml:space="preserve">There is, however, a genuine problem on Aristotle’s own account: it is that of how sensation can be </w:t>
      </w:r>
      <w:r>
        <w:rPr>
          <w:rFonts w:ascii="Symbola" w:hAnsi="Symbola"/>
          <w:i/>
        </w:rPr>
        <w:t xml:space="preserve">both </w:t>
      </w:r>
      <w:r>
        <w:rPr>
          <w:rFonts w:ascii="Symbola" w:hAnsi="Symbola"/>
        </w:rPr>
        <w:t xml:space="preserve">a kind of passion – thus an alteration of some previously existing substratum leaving that substratum intact – and a kind of generation – thus </w:t>
      </w:r>
      <w:r>
        <w:rPr>
          <w:rFonts w:ascii="Symbola" w:hAnsi="Symbola"/>
          <w:i/>
        </w:rPr>
        <w:t xml:space="preserve">not </w:t>
      </w:r>
      <w:r>
        <w:rPr>
          <w:rFonts w:ascii="Symbola" w:hAnsi="Symbola"/>
        </w:rPr>
        <w:t>an alteration of this sort.</w:t>
      </w:r>
      <w:r>
        <w:rPr>
          <w:rStyle w:val="EndnoteCharacters"/>
          <w:rStyle w:val="EndnoteAnchor"/>
          <w:rFonts w:ascii="Symbola" w:hAnsi="Symbola"/>
        </w:rPr>
        <w:endnoteReference w:id="43"/>
      </w:r>
      <w:r>
        <w:rPr>
          <w:rFonts w:ascii="Symbola" w:hAnsi="Symbola"/>
        </w:rPr>
        <w:t xml:space="preserve"> It is in this context, I suspect, that the distinction between intentional and real being comes into play. In the successful perceiving of a tree, for instance, the form of the tree is in some sense generated in the perceiver, but not in such a way that the perceiver becomes a tree, as would be the case in ordinary generation. However, since my aim here is not to distinguish sensation and other kinds of change, but to explain the relevant similarities upon which such a later study would have to be predicated, this point is best left for another discussion.</w:t>
      </w:r>
    </w:p>
    <w:p>
      <w:pPr>
        <w:pStyle w:val="Normal"/>
        <w:ind w:left="180" w:hanging="180"/>
        <w:jc w:val="both"/>
        <w:rPr>
          <w:rFonts w:ascii="Symbola" w:hAnsi="Symbola"/>
        </w:rPr>
      </w:pPr>
      <w:r>
        <w:rPr>
          <w:rFonts w:ascii="Symbola" w:hAnsi="Symbola"/>
        </w:rPr>
        <w:t>It is surprising, then, that Burnyeat never addresses these points in a context broader than that of Aristotle’s psychology, since they surely have wider application than in this sphere alone.</w:t>
      </w:r>
    </w:p>
    <w:p>
      <w:pPr>
        <w:pStyle w:val="Normal"/>
        <w:ind w:firstLine="180"/>
        <w:jc w:val="both"/>
        <w:rPr>
          <w:rFonts w:ascii="Symbola" w:hAnsi="Symbola"/>
        </w:rPr>
      </w:pPr>
      <w:r>
        <w:rPr>
          <w:rFonts w:ascii="Symbola" w:hAnsi="Symbola"/>
        </w:rPr>
        <w:t xml:space="preserve">The only place that Burnyeat’s worry can genuinely arise, then, is with respect to characteristic functions of things consequent upon having certain </w:t>
      </w:r>
      <w:r>
        <w:rPr>
          <w:rFonts w:ascii="Symbola" w:hAnsi="Symbola"/>
          <w:i/>
        </w:rPr>
        <w:t>substantial</w:t>
      </w:r>
      <w:r>
        <w:rPr>
          <w:rFonts w:ascii="Symbola" w:hAnsi="Symbola"/>
        </w:rPr>
        <w:t xml:space="preserve"> forms. For instance, Burnyeat cannot complain that there is a kind of matter that is essentially alive – for Aristotle, there are several such kinds: rather, he would have to find it problematic that there is a kind of matter that essentially correlates, for instance, with the function of </w:t>
      </w:r>
      <w:r>
        <w:rPr>
          <w:rFonts w:ascii="Symbola" w:hAnsi="Symbola"/>
          <w:i/>
        </w:rPr>
        <w:t>being a grizzly bear</w:t>
      </w:r>
      <w:r>
        <w:rPr>
          <w:rFonts w:ascii="Symbola" w:hAnsi="Symbola"/>
        </w:rPr>
        <w:t xml:space="preserve">; or, perhaps, properties like (as Aristotle would have it) </w:t>
      </w:r>
      <w:r>
        <w:rPr>
          <w:rFonts w:ascii="Symbola" w:hAnsi="Symbola"/>
          <w:i/>
        </w:rPr>
        <w:t>being risible</w:t>
      </w:r>
      <w:r>
        <w:rPr>
          <w:rFonts w:ascii="Symbola" w:hAnsi="Symbola"/>
        </w:rPr>
        <w:t>. This demand, in turn, ultimately goes back to the demand, common to Burnyeat and Descartes alike, that the</w:t>
      </w:r>
      <w:r>
        <w:rPr>
          <w:rFonts w:ascii="Symbola" w:hAnsi="Symbola"/>
          <w:i/>
        </w:rPr>
        <w:t xml:space="preserve"> real </w:t>
      </w:r>
      <w:r>
        <w:rPr>
          <w:rFonts w:ascii="Symbola" w:hAnsi="Symbola"/>
        </w:rPr>
        <w:t xml:space="preserve">conception of matter also be a </w:t>
      </w:r>
      <w:r>
        <w:rPr>
          <w:rFonts w:ascii="Symbola" w:hAnsi="Symbola"/>
          <w:i/>
        </w:rPr>
        <w:t xml:space="preserve">univocal </w:t>
      </w:r>
      <w:r>
        <w:rPr>
          <w:rFonts w:ascii="Symbola" w:hAnsi="Symbola"/>
        </w:rPr>
        <w:t>one. All capacities of bodies should, for Burnyeat as for Descartes, be in principle analyzable back to some absolutely basic material base.</w:t>
      </w:r>
    </w:p>
    <w:p>
      <w:pPr>
        <w:pStyle w:val="Normal"/>
        <w:ind w:firstLine="180"/>
        <w:jc w:val="both"/>
        <w:rPr/>
      </w:pPr>
      <w:r>
        <w:rPr>
          <w:rFonts w:ascii="Symbola" w:hAnsi="Symbola"/>
        </w:rPr>
        <w:t>Aristotle rejects the notion of matter as a real substratum of all things, not because it fails to occur to him, but on principle. There are two reasons for this: first, because there is not, for Aristotle, one basic kind of real matter out of which all other things are composed, but rather five. It is not enough for things to belong to a natural kind that we are able to consider them in a way that abstracts from their differences: if it were, then, for instance, the different categories of being would be members of a common genus, and Aristotle famously rejects this view.</w:t>
      </w:r>
      <w:r>
        <w:rPr>
          <w:rStyle w:val="EndnoteCharacters"/>
          <w:rStyle w:val="EndnoteAnchor"/>
          <w:rFonts w:ascii="Symbola" w:hAnsi="Symbola"/>
        </w:rPr>
        <w:endnoteReference w:id="44"/>
      </w:r>
      <w:r>
        <w:rPr>
          <w:rFonts w:ascii="Symbola" w:hAnsi="Symbola"/>
        </w:rPr>
        <w:t xml:space="preserve"> Second, Aristotle thinks of the being of a being not in terms of what it is made of, but primarily in terms of what it does.</w:t>
      </w:r>
      <w:r>
        <w:rPr>
          <w:rStyle w:val="EndnoteCharacters"/>
          <w:rStyle w:val="EndnoteAnchor"/>
          <w:rFonts w:ascii="Symbola" w:hAnsi="Symbola"/>
        </w:rPr>
        <w:endnoteReference w:id="45"/>
      </w:r>
      <w:r>
        <w:rPr>
          <w:rFonts w:ascii="Symbola" w:hAnsi="Symbola"/>
        </w:rPr>
        <w:t xml:space="preserve"> Even the elements, for instance, are distinguished by their different tendencies. Thus, where for Descartes and Burnyeat, the theory of matter is subordinated to mechanics, for Aristotle the mechanics of bodies are consequent upon these more primitive differences in matter theory.</w:t>
      </w:r>
      <w:r>
        <w:rPr>
          <w:rStyle w:val="EndnoteAnchor"/>
          <w:rFonts w:ascii="Symbola" w:hAnsi="Symbola"/>
        </w:rPr>
        <w:endnoteReference w:id="46"/>
      </w:r>
    </w:p>
    <w:p>
      <w:pPr>
        <w:pStyle w:val="Normal"/>
        <w:ind w:firstLine="180"/>
        <w:jc w:val="both"/>
        <w:rPr>
          <w:rFonts w:ascii="Symbola" w:hAnsi="Symbola"/>
        </w:rPr>
      </w:pPr>
      <w:r>
        <w:rPr>
          <w:rFonts w:ascii="Symbola" w:hAnsi="Symbola"/>
        </w:rPr>
        <w:t xml:space="preserve">Even apart from this, there is a more basic reason for Aristotle’s rejection of such a view. Though Burnyeat assumes Aristotle’s conception of matter leaves us unable to explain emergence, an alternative take might say Burnyeat’s approach explains it </w:t>
      </w:r>
      <w:r>
        <w:rPr>
          <w:rFonts w:ascii="Symbola" w:hAnsi="Symbola"/>
          <w:i/>
        </w:rPr>
        <w:t>away</w:t>
      </w:r>
      <w:r>
        <w:rPr>
          <w:rFonts w:ascii="Symbola" w:hAnsi="Symbola"/>
        </w:rPr>
        <w:t xml:space="preserve">. For Burnyeat, higher-order qualities and activities must already be there to begin with in such a way that the appearance of these activities just </w:t>
      </w:r>
      <w:r>
        <w:rPr>
          <w:rFonts w:ascii="Symbola" w:hAnsi="Symbola"/>
          <w:i/>
        </w:rPr>
        <w:t xml:space="preserve">is </w:t>
      </w:r>
      <w:r>
        <w:rPr>
          <w:rFonts w:ascii="Symbola" w:hAnsi="Symbola"/>
        </w:rPr>
        <w:t xml:space="preserve">the rearrangement of fundamental particles: to use a popular example, a tree is just, at bottom, simples arranged tree-wise. </w:t>
      </w:r>
    </w:p>
    <w:p>
      <w:pPr>
        <w:pStyle w:val="Normal"/>
        <w:ind w:firstLine="180"/>
        <w:jc w:val="both"/>
        <w:rPr/>
      </w:pPr>
      <w:r>
        <w:rPr>
          <w:rFonts w:ascii="Symbola" w:hAnsi="Symbola"/>
        </w:rPr>
        <w:t>On Burnyeat’s view, the ontology would be better reflected in the language by dropping distinctions among substantives altogether, and instead referring to basic matter as being F-wise, G-wise, etc.</w:t>
      </w:r>
      <w:r>
        <w:rPr>
          <w:rStyle w:val="EndnoteAnchor"/>
          <w:rFonts w:ascii="Symbola" w:hAnsi="Symbola"/>
        </w:rPr>
        <w:endnoteReference w:id="47"/>
      </w:r>
    </w:p>
    <w:p>
      <w:pPr>
        <w:pStyle w:val="Normal"/>
        <w:ind w:firstLine="180"/>
        <w:jc w:val="both"/>
        <w:rPr/>
      </w:pPr>
      <w:r>
        <w:rPr>
          <w:rFonts w:ascii="Symbola" w:hAnsi="Symbola"/>
        </w:rPr>
        <w:t>The significant shift in the Cartesian conception of matter here is not the idea that sensitives are relative, for this is already in Aristotle;</w:t>
      </w:r>
      <w:r>
        <w:rPr>
          <w:rStyle w:val="EndnoteCharacters"/>
          <w:rStyle w:val="EndnoteAnchor"/>
          <w:rFonts w:ascii="Symbola" w:hAnsi="Symbola"/>
        </w:rPr>
        <w:endnoteReference w:id="48"/>
      </w:r>
      <w:r>
        <w:rPr>
          <w:rFonts w:ascii="Symbola" w:hAnsi="Symbola"/>
        </w:rPr>
        <w:t xml:space="preserve"> nor is it the attribution of extended magnitude to body as such, for this too is in Aristotle.</w:t>
      </w:r>
      <w:r>
        <w:rPr>
          <w:rStyle w:val="EndnoteCharacters"/>
          <w:rStyle w:val="EndnoteAnchor"/>
          <w:rFonts w:ascii="Symbola" w:hAnsi="Symbola"/>
        </w:rPr>
        <w:endnoteReference w:id="49"/>
      </w:r>
      <w:r>
        <w:rPr>
          <w:rFonts w:ascii="Symbola" w:hAnsi="Symbola"/>
        </w:rPr>
        <w:t xml:space="preserve"> Rather, it is that the relationality that </w:t>
      </w:r>
      <w:r>
        <w:rPr>
          <w:rFonts w:ascii="Symbola" w:hAnsi="Symbola"/>
          <w:i/>
        </w:rPr>
        <w:t xml:space="preserve">makes </w:t>
      </w:r>
      <w:r>
        <w:rPr>
          <w:rFonts w:ascii="Symbola" w:hAnsi="Symbola"/>
        </w:rPr>
        <w:t xml:space="preserve">the secondary qualities secondary in Descartes is now contrasted with measurability as the mark of the primary. Thereby, relationality is identified with perspective. “The root idea can be summed up thus: no frame of reference is privileged. A representation of things as they (really) are is not perspectival or </w:t>
      </w:r>
      <w:r>
        <w:rPr>
          <w:rFonts w:ascii="Symbola" w:hAnsi="Symbola"/>
          <w:i/>
        </w:rPr>
        <w:t>from a viewpoint</w:t>
      </w:r>
      <w:r>
        <w:rPr>
          <w:rFonts w:ascii="Symbola" w:hAnsi="Symbola"/>
        </w:rPr>
        <w:t>.”</w:t>
      </w:r>
      <w:r>
        <w:rPr>
          <w:rStyle w:val="EndnoteCharacters"/>
          <w:rStyle w:val="EndnoteAnchor"/>
          <w:rFonts w:ascii="Symbola" w:hAnsi="Symbola"/>
        </w:rPr>
        <w:endnoteReference w:id="50"/>
      </w:r>
      <w:r>
        <w:rPr>
          <w:rFonts w:ascii="Symbola" w:hAnsi="Symbola"/>
        </w:rPr>
        <w:t xml:space="preserve"> While things appear different colors in different light, or emit different pitches when heard from different locations, entities have masses, locations, velocities, etc. that can be measured absolutely and mathematically. Hence, the primary qualities, the objects of ‘pure understanding’, are also characterized as the “objects of pure mathematics.”</w:t>
      </w:r>
      <w:r>
        <w:rPr>
          <w:rStyle w:val="EndnoteAnchor"/>
          <w:rFonts w:ascii="Symbola" w:hAnsi="Symbola"/>
        </w:rPr>
        <w:endnoteReference w:id="51"/>
      </w:r>
    </w:p>
    <w:p>
      <w:pPr>
        <w:pStyle w:val="Normal"/>
        <w:ind w:firstLine="180"/>
        <w:jc w:val="both"/>
        <w:rPr>
          <w:rStyle w:val="EndnoteCharacters"/>
          <w:rFonts w:ascii="Symbola" w:hAnsi="Symbola"/>
        </w:rPr>
      </w:pPr>
      <w:r>
        <w:rPr/>
      </w:r>
    </w:p>
    <w:p>
      <w:pPr>
        <w:pStyle w:val="Heading1"/>
        <w:jc w:val="both"/>
        <w:rPr>
          <w:rFonts w:ascii="Symbola" w:hAnsi="Symbola"/>
        </w:rPr>
      </w:pPr>
      <w:r>
        <w:rPr>
          <w:rFonts w:ascii="Symbola" w:hAnsi="Symbola"/>
        </w:rPr>
        <w:t>4 Contemporary spiritualism and the Cartesian conception of matter</w:t>
      </w:r>
    </w:p>
    <w:p>
      <w:pPr>
        <w:pStyle w:val="Heading2"/>
        <w:jc w:val="both"/>
        <w:rPr>
          <w:rFonts w:ascii="Symbola" w:hAnsi="Symbola"/>
        </w:rPr>
      </w:pPr>
      <w:r>
        <w:rPr>
          <w:rFonts w:ascii="Symbola" w:hAnsi="Symbola"/>
        </w:rPr>
        <w:t>4.1 Burnyeat’s critique</w:t>
      </w:r>
    </w:p>
    <w:p>
      <w:pPr>
        <w:pStyle w:val="Normal"/>
        <w:ind w:firstLine="180"/>
        <w:jc w:val="both"/>
        <w:rPr>
          <w:rFonts w:ascii="Symbola" w:hAnsi="Symbola"/>
        </w:rPr>
      </w:pPr>
      <w:r>
        <w:rPr>
          <w:rFonts w:ascii="Symbola" w:hAnsi="Symbola"/>
        </w:rPr>
        <w:t>Burnyeat’s critique of Aristotle aims: first, to show that Aristotle could not be a functionalist in the modern sense; second, to show that Aristotle’s actual theory of perception is untenable. The second aim, thinks Burnyeat, is achieved by showing that the precise points on which Aristotle departs from contemporary functionalism are points on which we cannot follow him.</w:t>
      </w:r>
    </w:p>
    <w:p>
      <w:pPr>
        <w:pStyle w:val="Normal"/>
        <w:ind w:firstLine="180"/>
        <w:jc w:val="both"/>
        <w:rPr>
          <w:rFonts w:ascii="Symbola" w:hAnsi="Symbola"/>
        </w:rPr>
      </w:pPr>
      <w:r>
        <w:rPr>
          <w:rFonts w:ascii="Symbola" w:hAnsi="Symbola"/>
        </w:rPr>
        <w:t>Burnyeat brings forth two arguments in support of the first of these aims. The first can be summarized as follows:</w:t>
      </w:r>
    </w:p>
    <w:p>
      <w:pPr>
        <w:pStyle w:val="ListParagraph"/>
        <w:numPr>
          <w:ilvl w:val="0"/>
          <w:numId w:val="2"/>
        </w:numPr>
        <w:jc w:val="both"/>
        <w:rPr>
          <w:rFonts w:ascii="Symbola" w:hAnsi="Symbola"/>
        </w:rPr>
      </w:pPr>
      <w:r>
        <w:rPr>
          <w:rFonts w:ascii="Symbola" w:hAnsi="Symbola"/>
        </w:rPr>
        <w:t>For contemporary functionalism, the obtaining of certain physiological processes are sufficient</w:t>
      </w:r>
      <w:r>
        <w:rPr>
          <w:rFonts w:ascii="Symbola" w:hAnsi="Symbola"/>
          <w:i/>
        </w:rPr>
        <w:t xml:space="preserve"> </w:t>
      </w:r>
      <w:r>
        <w:rPr>
          <w:rFonts w:ascii="Symbola" w:hAnsi="Symbola"/>
        </w:rPr>
        <w:t xml:space="preserve">for the enactment of a given function. </w:t>
      </w:r>
    </w:p>
    <w:p>
      <w:pPr>
        <w:pStyle w:val="ListParagraph"/>
        <w:numPr>
          <w:ilvl w:val="0"/>
          <w:numId w:val="2"/>
        </w:numPr>
        <w:jc w:val="both"/>
        <w:rPr>
          <w:rFonts w:ascii="Symbola" w:hAnsi="Symbola"/>
        </w:rPr>
      </w:pPr>
      <w:r>
        <w:rPr>
          <w:rFonts w:ascii="Symbola" w:hAnsi="Symbola"/>
        </w:rPr>
        <w:t xml:space="preserve">For Aristotle, the obtaining of certain physiological processes are </w:t>
      </w:r>
      <w:r>
        <w:rPr>
          <w:rFonts w:ascii="Symbola" w:hAnsi="Symbola"/>
          <w:i/>
        </w:rPr>
        <w:t xml:space="preserve">not </w:t>
      </w:r>
      <w:r>
        <w:rPr>
          <w:rFonts w:ascii="Symbola" w:hAnsi="Symbola"/>
        </w:rPr>
        <w:t xml:space="preserve">sufficient for the enactment of a given function. </w:t>
      </w:r>
    </w:p>
    <w:p>
      <w:pPr>
        <w:pStyle w:val="ListParagraph"/>
        <w:numPr>
          <w:ilvl w:val="0"/>
          <w:numId w:val="2"/>
        </w:numPr>
        <w:jc w:val="both"/>
        <w:rPr>
          <w:rFonts w:ascii="Symbola" w:hAnsi="Symbola"/>
        </w:rPr>
      </w:pPr>
      <w:r>
        <w:rPr>
          <w:rFonts w:ascii="Symbola" w:hAnsi="Symbola"/>
        </w:rPr>
        <w:t>Therefore, Aristotle is not a functionalist.</w:t>
      </w:r>
    </w:p>
    <w:p>
      <w:pPr>
        <w:pStyle w:val="Normal"/>
        <w:jc w:val="both"/>
        <w:rPr/>
      </w:pPr>
      <w:r>
        <w:rPr>
          <w:rFonts w:ascii="Symbola" w:hAnsi="Symbola"/>
        </w:rPr>
        <w:t>For example, Burnyeat writes “when one is angry, the blood boils, but that is merely a necessary, not a sufficient condition for anger; hence one’s body, as [Aristotle] puts it, can be aroused and in the state it is in when one is angry without one’s actually being angry.”</w:t>
      </w:r>
      <w:r>
        <w:rPr>
          <w:rStyle w:val="EndnoteAnchor"/>
          <w:rFonts w:ascii="Symbola" w:hAnsi="Symbola"/>
        </w:rPr>
        <w:endnoteReference w:id="52"/>
      </w:r>
    </w:p>
    <w:p>
      <w:pPr>
        <w:pStyle w:val="Normal"/>
        <w:ind w:firstLine="180"/>
        <w:jc w:val="both"/>
        <w:rPr/>
      </w:pPr>
      <w:r>
        <w:rPr>
          <w:rFonts w:ascii="Symbola" w:hAnsi="Symbola"/>
        </w:rPr>
        <w:t>In the case of perception, the thesis stretches further. For Aristotle, every perception is a manner of receiving a form without receiving its matter.</w:t>
      </w:r>
      <w:r>
        <w:rPr>
          <w:rStyle w:val="EndnoteCharacters"/>
          <w:rStyle w:val="EndnoteAnchor"/>
          <w:rFonts w:ascii="Symbola" w:hAnsi="Symbola"/>
        </w:rPr>
        <w:endnoteReference w:id="53"/>
      </w:r>
      <w:r>
        <w:rPr>
          <w:rFonts w:ascii="Symbola" w:hAnsi="Symbola"/>
        </w:rPr>
        <w:t xml:space="preserve"> From this it follows, says Burnyeat, that </w:t>
      </w:r>
    </w:p>
    <w:p>
      <w:pPr>
        <w:pStyle w:val="Normal"/>
        <w:ind w:left="360" w:hanging="0"/>
        <w:jc w:val="both"/>
        <w:rPr/>
      </w:pPr>
      <w:r>
        <w:rPr>
          <w:rFonts w:ascii="Symbola" w:hAnsi="Symbola"/>
        </w:rPr>
        <w:t>(2’)</w:t>
        <w:tab/>
        <w:t xml:space="preserve">For Aristotle, not only are material conditions for perception not sufficient: they are not even </w:t>
        <w:tab/>
        <w:t>necessary.</w:t>
      </w:r>
      <w:r>
        <w:rPr>
          <w:rStyle w:val="EndnoteAnchor"/>
          <w:rFonts w:ascii="Symbola" w:hAnsi="Symbola"/>
        </w:rPr>
        <w:endnoteReference w:id="54"/>
      </w:r>
    </w:p>
    <w:p>
      <w:pPr>
        <w:pStyle w:val="Normal"/>
        <w:ind w:firstLine="180"/>
        <w:jc w:val="both"/>
        <w:rPr/>
      </w:pPr>
      <w:r>
        <w:rPr>
          <w:rFonts w:ascii="Symbola" w:hAnsi="Symbola"/>
        </w:rPr>
        <w:t xml:space="preserve">The rejection of (2’), thinks Burnyeat, derives its support from Richard Sorabji’s </w:t>
      </w:r>
      <w:r>
        <w:rPr>
          <w:rFonts w:ascii="Symbola" w:hAnsi="Symbola"/>
          <w:i/>
        </w:rPr>
        <w:t xml:space="preserve">literalist </w:t>
      </w:r>
      <w:r>
        <w:rPr>
          <w:rFonts w:ascii="Symbola" w:hAnsi="Symbola"/>
        </w:rPr>
        <w:t xml:space="preserve">interpretation of Aristotle’s theory of perception. For Sorabji, “the physiological process of taking on the color (in the eye-jelly) </w:t>
      </w:r>
      <w:r>
        <w:rPr>
          <w:rFonts w:ascii="Symbola" w:hAnsi="Symbola"/>
          <w:i/>
        </w:rPr>
        <w:t>constitutes</w:t>
      </w:r>
      <w:r>
        <w:rPr>
          <w:rFonts w:ascii="Symbola" w:hAnsi="Symbola"/>
        </w:rPr>
        <w:t xml:space="preserve"> seeing red, as a piece of bronze constitutes a statue or as a particular series of steps constitutes a journey from Athens to Thebes”</w:t>
      </w:r>
      <w:r>
        <w:rPr>
          <w:rStyle w:val="EndnoteCharacters"/>
          <w:rStyle w:val="EndnoteAnchor"/>
          <w:rFonts w:ascii="Symbola" w:hAnsi="Symbola"/>
        </w:rPr>
        <w:endnoteReference w:id="55"/>
      </w:r>
      <w:r>
        <w:rPr>
          <w:rFonts w:ascii="Symbola" w:hAnsi="Symbola"/>
        </w:rPr>
        <w:t xml:space="preserve">. Burnyeat’s </w:t>
      </w:r>
      <w:r>
        <w:rPr>
          <w:rFonts w:ascii="Symbola" w:hAnsi="Symbola"/>
          <w:i/>
        </w:rPr>
        <w:t xml:space="preserve">spiritualist </w:t>
      </w:r>
      <w:r>
        <w:rPr>
          <w:rFonts w:ascii="Symbola" w:hAnsi="Symbola"/>
        </w:rPr>
        <w:t>interpretation denies this. For Burnyeat, “the eye’s taking on a colour is just one’s becoming aware of some colour.”</w:t>
      </w:r>
      <w:r>
        <w:rPr>
          <w:rStyle w:val="EndnoteAnchor"/>
          <w:rFonts w:ascii="Symbola" w:hAnsi="Symbola"/>
        </w:rPr>
        <w:endnoteReference w:id="56"/>
      </w:r>
    </w:p>
    <w:p>
      <w:pPr>
        <w:pStyle w:val="Normal"/>
        <w:ind w:firstLine="180"/>
        <w:jc w:val="both"/>
        <w:rPr>
          <w:rFonts w:ascii="Symbola" w:hAnsi="Symbola"/>
        </w:rPr>
      </w:pPr>
      <w:r>
        <w:rPr>
          <w:rFonts w:ascii="Symbola" w:hAnsi="Symbola"/>
        </w:rPr>
        <w:t xml:space="preserve">Burnyeat’s second argument states that </w:t>
      </w:r>
    </w:p>
    <w:p>
      <w:pPr>
        <w:pStyle w:val="ListParagraph"/>
        <w:numPr>
          <w:ilvl w:val="0"/>
          <w:numId w:val="1"/>
        </w:numPr>
        <w:jc w:val="both"/>
        <w:rPr/>
      </w:pPr>
      <w:r>
        <w:rPr>
          <w:rFonts w:ascii="Symbola" w:hAnsi="Symbola"/>
        </w:rPr>
        <w:t>A contemporary functionalist must hold that the relation of a matter to its function/form is contingent.</w:t>
      </w:r>
      <w:r>
        <w:rPr>
          <w:rStyle w:val="EndnoteAnchor"/>
          <w:rFonts w:ascii="Symbola" w:hAnsi="Symbola"/>
        </w:rPr>
        <w:endnoteReference w:id="57"/>
      </w:r>
    </w:p>
    <w:p>
      <w:pPr>
        <w:pStyle w:val="ListParagraph"/>
        <w:numPr>
          <w:ilvl w:val="0"/>
          <w:numId w:val="1"/>
        </w:numPr>
        <w:jc w:val="both"/>
        <w:rPr/>
      </w:pPr>
      <w:r>
        <w:rPr>
          <w:rFonts w:ascii="Symbola" w:hAnsi="Symbola"/>
        </w:rPr>
        <w:t xml:space="preserve">Aristotle holds that the relation of a matter to its function/form is </w:t>
      </w:r>
      <w:r>
        <w:rPr>
          <w:rFonts w:ascii="Symbola" w:hAnsi="Symbola"/>
          <w:i/>
        </w:rPr>
        <w:t xml:space="preserve">not </w:t>
      </w:r>
      <w:r>
        <w:rPr>
          <w:rFonts w:ascii="Symbola" w:hAnsi="Symbola"/>
        </w:rPr>
        <w:t>contingent, but necessary.</w:t>
      </w:r>
      <w:r>
        <w:rPr>
          <w:rStyle w:val="EndnoteAnchor"/>
          <w:rFonts w:ascii="Symbola" w:hAnsi="Symbola"/>
        </w:rPr>
        <w:endnoteReference w:id="58"/>
      </w:r>
    </w:p>
    <w:p>
      <w:pPr>
        <w:pStyle w:val="ListParagraph"/>
        <w:numPr>
          <w:ilvl w:val="0"/>
          <w:numId w:val="1"/>
        </w:numPr>
        <w:jc w:val="both"/>
        <w:rPr>
          <w:rFonts w:ascii="Symbola" w:hAnsi="Symbola"/>
        </w:rPr>
      </w:pPr>
      <w:r>
        <w:rPr>
          <w:rFonts w:ascii="Symbola" w:hAnsi="Symbola"/>
        </w:rPr>
        <w:t xml:space="preserve">Therefore, Aristotle is not a functionalist. </w:t>
      </w:r>
    </w:p>
    <w:p>
      <w:pPr>
        <w:pStyle w:val="Normal"/>
        <w:ind w:firstLine="180"/>
        <w:jc w:val="both"/>
        <w:rPr/>
      </w:pPr>
      <w:r>
        <w:rPr>
          <w:rFonts w:ascii="Symbola" w:hAnsi="Symbola"/>
        </w:rPr>
        <w:t xml:space="preserve">In sum, Burnyeat thinks what modern functionalism needs most from Aristotle’s analogies between the soul and artifacts is the contingency of the enactment relation, something Aristotle does not grant. In more basic cases, it turns out that higher order operations – life, sensation, etc. – are constitutive of the matter they are enacted in. While In the more complicated case of perception, Burnyeat holds that for Aristotle, no physiological change is </w:t>
      </w:r>
      <w:r>
        <w:rPr>
          <w:rFonts w:ascii="Symbola" w:hAnsi="Symbola"/>
          <w:i/>
        </w:rPr>
        <w:t>needed</w:t>
      </w:r>
      <w:r>
        <w:rPr>
          <w:rFonts w:ascii="Symbola" w:hAnsi="Symbola"/>
        </w:rPr>
        <w:t>.</w:t>
      </w:r>
      <w:r>
        <w:rPr>
          <w:rStyle w:val="EndnoteCharacters"/>
          <w:rStyle w:val="EndnoteAnchor"/>
          <w:rFonts w:ascii="Symbola" w:hAnsi="Symbola"/>
        </w:rPr>
        <w:endnoteReference w:id="59"/>
      </w:r>
      <w:r>
        <w:rPr>
          <w:rFonts w:ascii="Symbola" w:hAnsi="Symbola"/>
        </w:rPr>
        <w:t xml:space="preserve"> Aristotle’s physics inverts the orders of fundamentality and explanation when compared to modern physics: hence life, for Aristotle, explains the nature of the body that enacts it, not conversely. “Aristotle […] is entirely confident […] that deduction ‘from the bottom up’ is impossible.”</w:t>
      </w:r>
      <w:r>
        <w:rPr>
          <w:rStyle w:val="EndnoteAnchor"/>
          <w:rFonts w:ascii="Symbola" w:hAnsi="Symbola"/>
        </w:rPr>
        <w:endnoteReference w:id="60"/>
      </w:r>
    </w:p>
    <w:p>
      <w:pPr>
        <w:pStyle w:val="Heading2"/>
        <w:jc w:val="both"/>
        <w:rPr>
          <w:rFonts w:ascii="Symbola" w:hAnsi="Symbola"/>
        </w:rPr>
      </w:pPr>
      <w:r>
        <w:rPr>
          <w:rFonts w:ascii="Symbola" w:hAnsi="Symbola"/>
        </w:rPr>
        <w:t>4.2 Burnyeat’s debt to Descartes</w:t>
      </w:r>
    </w:p>
    <w:p>
      <w:pPr>
        <w:pStyle w:val="Normal"/>
        <w:ind w:firstLine="180"/>
        <w:jc w:val="both"/>
        <w:rPr/>
      </w:pPr>
      <w:r>
        <w:rPr>
          <w:rFonts w:ascii="Symbola" w:hAnsi="Symbola"/>
        </w:rPr>
        <w:t>(D1) provides support to Burnyeat’s first argument, and (D2) to his second.</w:t>
      </w:r>
      <w:r>
        <w:rPr>
          <w:rStyle w:val="EndnoteCharacters"/>
          <w:rStyle w:val="EndnoteAnchor"/>
          <w:rFonts w:ascii="Symbola" w:hAnsi="Symbola"/>
        </w:rPr>
        <w:endnoteReference w:id="61"/>
      </w:r>
      <w:r>
        <w:rPr>
          <w:rFonts w:ascii="Symbola" w:hAnsi="Symbola"/>
        </w:rPr>
        <w:t xml:space="preserve"> For Burnyeat, like Descartes, secondary qualities are not ‘out there in the world’, but interpretations of the world contingent on the activity of a mind. By contrast, Aristotle’s world is “a world in which colours, sounds, and smells are as real as the primary qualities, and they are the chief factors in the causal explanation of perception. […] [W]hat produces the perception of red or of middle C is not light striking the retina or the movement of air striking the ear; it is red and middle C.”</w:t>
      </w:r>
      <w:r>
        <w:rPr>
          <w:rStyle w:val="EndnoteCharacters"/>
          <w:rStyle w:val="EndnoteAnchor"/>
          <w:rFonts w:ascii="Symbola" w:hAnsi="Symbola"/>
        </w:rPr>
        <w:endnoteReference w:id="62"/>
      </w:r>
      <w:r>
        <w:rPr>
          <w:rFonts w:ascii="Symbola" w:hAnsi="Symbola"/>
        </w:rPr>
        <w:t xml:space="preserve"> This is what Burnyeat finds so incredible in the idea that for Aristotle, “the only values a scientist should admit for the predicate variables in a Ramsey sentence are the </w:t>
      </w:r>
      <w:r>
        <w:rPr>
          <w:rFonts w:ascii="Symbola" w:hAnsi="Symbola"/>
          <w:i/>
        </w:rPr>
        <w:t>psychological</w:t>
      </w:r>
      <w:r>
        <w:rPr>
          <w:rFonts w:ascii="Symbola" w:hAnsi="Symbola"/>
        </w:rPr>
        <w:t xml:space="preserve"> predicates which the Ramsey sentence so cleverly allows us to eliminate from the scientific story of animal life.”</w:t>
      </w:r>
      <w:r>
        <w:rPr>
          <w:rStyle w:val="EndnoteAnchor"/>
          <w:rFonts w:ascii="Symbola" w:hAnsi="Symbola"/>
        </w:rPr>
        <w:endnoteReference w:id="63"/>
      </w:r>
    </w:p>
    <w:p>
      <w:pPr>
        <w:pStyle w:val="Normal"/>
        <w:ind w:firstLine="180"/>
        <w:jc w:val="both"/>
        <w:rPr/>
      </w:pPr>
      <w:r>
        <w:rPr>
          <w:rFonts w:ascii="Symbola" w:hAnsi="Symbola"/>
        </w:rPr>
        <w:t>In the previous quote, we see how Burnyeat’s acceptance of (D1) provides support for his stronger claim that physical change is not even necessary for the enactment of perception. Here, the claim that bodies do not really have their secondary qualities interacts with broader tendencies to think of the material and mental as distinct realms: since secondary qualities are not within the realm of the material, they must be in some distinct realm of the mental. Hence, Burnyeat thinks of ‘redness’ and ‘middle C’ as names of some kind of mental content. This is why he describes ‘being-red’ and the like as psychological predicates.</w:t>
      </w:r>
      <w:r>
        <w:rPr>
          <w:rStyle w:val="EndnoteAnchor"/>
          <w:rFonts w:ascii="Symbola" w:hAnsi="Symbola"/>
        </w:rPr>
        <w:endnoteReference w:id="64"/>
      </w:r>
    </w:p>
    <w:p>
      <w:pPr>
        <w:pStyle w:val="Normal"/>
        <w:ind w:firstLine="180"/>
        <w:jc w:val="both"/>
        <w:rPr>
          <w:rFonts w:ascii="Symbola" w:hAnsi="Symbola"/>
        </w:rPr>
      </w:pPr>
      <w:r>
        <w:rPr>
          <w:rFonts w:ascii="Symbola" w:hAnsi="Symbola"/>
        </w:rPr>
        <w:t xml:space="preserve">But for this reason, claims like “[For Aristotle] what produces the perception of red […] is not light striking the retina…; it is red” are more ambiguous than Burnyeat takes them to be. On the one hand, this could imply that red is some </w:t>
      </w:r>
      <w:r>
        <w:rPr>
          <w:rFonts w:ascii="Symbola" w:hAnsi="Symbola"/>
          <w:i/>
        </w:rPr>
        <w:t>entity</w:t>
      </w:r>
      <w:r>
        <w:rPr>
          <w:rFonts w:ascii="Symbola" w:hAnsi="Symbola"/>
        </w:rPr>
        <w:t xml:space="preserve"> distinct from the light striking the retina, and this is how Burnyeat seems to understand it. Red causes perception </w:t>
      </w:r>
      <w:r>
        <w:rPr>
          <w:rFonts w:ascii="Symbola" w:hAnsi="Symbola"/>
          <w:i/>
        </w:rPr>
        <w:t xml:space="preserve">rather than </w:t>
      </w:r>
      <w:r>
        <w:rPr>
          <w:rFonts w:ascii="Symbola" w:hAnsi="Symbola"/>
        </w:rPr>
        <w:t xml:space="preserve">the light. The redness, then, would be </w:t>
      </w:r>
      <w:r>
        <w:rPr>
          <w:rFonts w:ascii="Symbola" w:hAnsi="Symbola"/>
          <w:i/>
        </w:rPr>
        <w:t>materially</w:t>
      </w:r>
      <w:r>
        <w:rPr>
          <w:rFonts w:ascii="Symbola" w:hAnsi="Symbola"/>
        </w:rPr>
        <w:t xml:space="preserve"> distinct from the light. This way of understanding the claim is what grants Burnyeat the room to suggest that for Aristotle, material changes are not even necessary for perception, since they are at best only contingently connected to the changes themselves.</w:t>
      </w:r>
    </w:p>
    <w:p>
      <w:pPr>
        <w:pStyle w:val="Normal"/>
        <w:ind w:firstLine="180"/>
        <w:jc w:val="both"/>
        <w:rPr>
          <w:rFonts w:ascii="Symbola" w:hAnsi="Symbola"/>
        </w:rPr>
      </w:pPr>
      <w:r>
        <w:rPr>
          <w:rFonts w:ascii="Symbola" w:hAnsi="Symbola"/>
        </w:rPr>
        <w:t xml:space="preserve">On the other hand, the redness could be merely distinct in aspect or intension from the light; in which case the claim that red, </w:t>
      </w:r>
      <w:r>
        <w:rPr>
          <w:rFonts w:ascii="Symbola" w:hAnsi="Symbola"/>
          <w:i/>
        </w:rPr>
        <w:t>rather than</w:t>
      </w:r>
      <w:r>
        <w:rPr>
          <w:rFonts w:ascii="Symbola" w:hAnsi="Symbola"/>
        </w:rPr>
        <w:t xml:space="preserve"> the light striking the retina, produces the perception of red, need not entail that red and the light striking the retina are materially distinct from each other. Caston illustrates this way of understanding the distinction nicely with the examples of a signing and sealing a document:</w:t>
      </w:r>
    </w:p>
    <w:p>
      <w:pPr>
        <w:pStyle w:val="Normal"/>
        <w:ind w:left="720" w:hanging="0"/>
        <w:jc w:val="both"/>
        <w:rPr/>
      </w:pPr>
      <w:r>
        <w:rPr>
          <w:rFonts w:ascii="Symbola" w:hAnsi="Symbola"/>
        </w:rPr>
        <w:t xml:space="preserve">There is genuinely such a thing as sealing a document, and it is </w:t>
      </w:r>
      <w:r>
        <w:rPr>
          <w:rFonts w:ascii="Symbola" w:hAnsi="Symbola"/>
          <w:i/>
        </w:rPr>
        <w:t>not simply</w:t>
      </w:r>
      <w:r>
        <w:rPr>
          <w:rFonts w:ascii="Symbola" w:hAnsi="Symbola"/>
        </w:rPr>
        <w:t xml:space="preserve"> impressing shapes into wax, any more than signing a document is </w:t>
      </w:r>
      <w:r>
        <w:rPr>
          <w:rFonts w:ascii="Symbola" w:hAnsi="Symbola"/>
          <w:i/>
        </w:rPr>
        <w:t>simply</w:t>
      </w:r>
      <w:r>
        <w:rPr>
          <w:rFonts w:ascii="Symbola" w:hAnsi="Symbola"/>
        </w:rPr>
        <w:t xml:space="preserve"> making a scrawl. There are not two separate acts here: there is not a distinct and separable act of signing in addition to making a scrawl, or a sealing in addition to the impressing. Rather, one does one </w:t>
      </w:r>
      <w:r>
        <w:rPr>
          <w:rFonts w:ascii="Symbola" w:hAnsi="Symbola"/>
          <w:i/>
        </w:rPr>
        <w:t>by</w:t>
      </w:r>
      <w:r>
        <w:rPr>
          <w:rFonts w:ascii="Symbola" w:hAnsi="Symbola"/>
        </w:rPr>
        <w:t xml:space="preserve"> doing the other […]. The two are distinct types of act, even if a single event instantiates them both.</w:t>
      </w:r>
      <w:r>
        <w:rPr>
          <w:rStyle w:val="EndnoteAnchor"/>
          <w:rFonts w:ascii="Symbola" w:hAnsi="Symbola"/>
        </w:rPr>
        <w:endnoteReference w:id="65"/>
      </w:r>
    </w:p>
    <w:p>
      <w:pPr>
        <w:pStyle w:val="Normal"/>
        <w:jc w:val="both"/>
        <w:rPr/>
      </w:pPr>
      <w:r>
        <w:rPr>
          <w:rFonts w:ascii="Symbola" w:hAnsi="Symbola"/>
        </w:rPr>
        <w:t>So, for instance, even if the redness of an object is token-identical to the set of material qualities constituting its redness, it does not follow that those material qualities are what is ‘really’ doing the causing the impression of red. And though this assumption is deeply ingrained in most thinking about causation from Descartes onward, it is not so obviously correct that the only thing to be done with its negation is to “junk it.”</w:t>
      </w:r>
      <w:r>
        <w:rPr>
          <w:rStyle w:val="EndnoteCharacters"/>
          <w:rStyle w:val="EndnoteAnchor"/>
          <w:rFonts w:ascii="Symbola" w:hAnsi="Symbola"/>
        </w:rPr>
        <w:endnoteReference w:id="66"/>
      </w:r>
      <w:r>
        <w:rPr>
          <w:rFonts w:ascii="Symbola" w:hAnsi="Symbola"/>
        </w:rPr>
        <w:t xml:space="preserve"> What it instead shows is that for Aristotle, intentional being, and accordingly, the thorny problem of the non-substitutivity of identicals in intensional contexts, extends to more than just some realm of the mental.</w:t>
      </w:r>
      <w:r>
        <w:rPr>
          <w:rStyle w:val="EndnoteAnchor"/>
          <w:rFonts w:ascii="Symbola" w:hAnsi="Symbola"/>
        </w:rPr>
        <w:endnoteReference w:id="67"/>
      </w:r>
    </w:p>
    <w:p>
      <w:pPr>
        <w:pStyle w:val="Normal"/>
        <w:spacing w:before="0" w:after="160"/>
        <w:ind w:firstLine="180"/>
        <w:jc w:val="both"/>
        <w:rPr/>
      </w:pPr>
      <w:r>
        <w:rPr>
          <w:rFonts w:ascii="Symbola" w:hAnsi="Symbola"/>
        </w:rPr>
        <w:t xml:space="preserve">Burnyeat’s second argument depends on (D2) by requiring Aristotle to adhere to a univocal concept of matter as </w:t>
      </w:r>
      <w:r>
        <w:rPr>
          <w:rFonts w:ascii="Symbola" w:hAnsi="Symbola"/>
          <w:i/>
        </w:rPr>
        <w:t>indeterminate substratum for the determinate qualities of an object through time</w:t>
      </w:r>
      <w:r>
        <w:rPr>
          <w:rFonts w:ascii="Symbola" w:hAnsi="Symbola"/>
        </w:rPr>
        <w:t>. Aristotle may have had such a notion available to him in the concept of prime matter;</w:t>
      </w:r>
      <w:r>
        <w:rPr>
          <w:rStyle w:val="EndnoteCharacters"/>
          <w:rStyle w:val="EndnoteAnchor"/>
          <w:rFonts w:ascii="Symbola" w:hAnsi="Symbola"/>
        </w:rPr>
        <w:endnoteReference w:id="68"/>
      </w:r>
      <w:r>
        <w:rPr>
          <w:rFonts w:ascii="Symbola" w:hAnsi="Symbola"/>
        </w:rPr>
        <w:t xml:space="preserve"> but even so, Aristotle need not have taken this concept to be the ‘really real’ concept of matter, rather than an abstraction drawn from the more robust configurations of matter in the material beings we come into genuine contact with. Even less could this notion preclude his having more proximate notions of matter correlated to the forms of different kinds of things– for instance, different kinds of living matter for different kinds of living bodies.</w:t>
      </w:r>
      <w:r>
        <w:rPr>
          <w:rStyle w:val="EndnoteAnchor"/>
          <w:rFonts w:ascii="Symbola" w:hAnsi="Symbola"/>
        </w:rPr>
        <w:endnoteReference w:id="69"/>
      </w:r>
    </w:p>
    <w:sectPr>
      <w:endnotePr>
        <w:numFmt w:val="decimal"/>
      </w:endnotePr>
      <w:type w:val="nextPage"/>
      <w:pgSz w:w="12240" w:h="15840"/>
      <w:pgMar w:left="2880" w:right="2880" w:header="0" w:top="1440" w:footer="0" w:bottom="1440" w:gutter="0"/>
      <w:pgNumType w:fmt="decimal"/>
      <w:formProt w:val="false"/>
      <w:textDirection w:val="lrTb"/>
      <w:docGrid w:type="default" w:linePitch="360" w:charSpace="4096"/>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jc w:val="both"/>
        <w:rPr>
          <w:rFonts w:ascii="Symbola" w:hAnsi="Symbola"/>
        </w:rPr>
      </w:pPr>
      <w:r>
        <w:rPr>
          <w:rStyle w:val="EndnoteCharacters"/>
        </w:rPr>
        <w:endnoteRef/>
      </w:r>
      <w:r>
        <w:rPr>
          <w:rFonts w:ascii="Symbola" w:hAnsi="Symbola"/>
        </w:rPr>
        <w:t xml:space="preserve"> </w:t>
      </w:r>
      <w:r>
        <w:rPr>
          <w:rFonts w:ascii="Symbola" w:hAnsi="Symbola"/>
        </w:rPr>
        <w:t>As Miles Burnyeat wrote, “Aristotle’s psychology is designed to be the crowning achievement of his physics, and his physics is irretrievably dead and gone.”Burnyeat (2002), 78. Cf. Burnyeat (1992), 16.</w:t>
      </w:r>
    </w:p>
  </w:endnote>
  <w:endnote w:id="3">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See Burnyeat (1992), 17; Shields (1993), 162-63; Corcilius (2014), 35, fn. 49.</w:t>
      </w:r>
    </w:p>
  </w:endnote>
  <w:endnote w:id="4">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Resp. ad IV</w:t>
      </w:r>
      <w:r>
        <w:rPr>
          <w:rFonts w:ascii="Baskerville Old Face" w:hAnsi="Baskerville Old Face"/>
        </w:rPr>
        <w:t>, 251.</w:t>
      </w:r>
    </w:p>
  </w:endnote>
  <w:endnote w:id="5">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Med</w:t>
      </w:r>
      <w:r>
        <w:rPr>
          <w:rFonts w:ascii="Baskerville Old Face" w:hAnsi="Baskerville Old Face"/>
        </w:rPr>
        <w:t>. II. 16.</w:t>
      </w:r>
    </w:p>
  </w:endnote>
  <w:endnote w:id="6">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 xml:space="preserve">Descartes identifies the latter with the scholastic </w:t>
      </w:r>
      <w:r>
        <w:rPr>
          <w:rFonts w:ascii="Baskerville Old Face" w:hAnsi="Baskerville Old Face"/>
          <w:i/>
        </w:rPr>
        <w:t>sensus communis</w:t>
      </w:r>
      <w:r>
        <w:rPr>
          <w:rFonts w:ascii="Baskerville Old Face" w:hAnsi="Baskerville Old Face"/>
        </w:rPr>
        <w:t xml:space="preserve">. Cf. </w:t>
      </w:r>
      <w:r>
        <w:rPr>
          <w:rFonts w:ascii="Baskerville Old Face" w:hAnsi="Baskerville Old Face"/>
          <w:i/>
        </w:rPr>
        <w:t xml:space="preserve">Med. </w:t>
      </w:r>
      <w:r>
        <w:rPr>
          <w:rFonts w:ascii="Baskerville Old Face" w:hAnsi="Baskerville Old Face"/>
        </w:rPr>
        <w:t>II. 14.</w:t>
      </w:r>
    </w:p>
  </w:endnote>
  <w:endnote w:id="7">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 xml:space="preserve">Rep. ad II, </w:t>
      </w:r>
      <w:r>
        <w:rPr>
          <w:rFonts w:ascii="Baskerville Old Face" w:hAnsi="Baskerville Old Face"/>
        </w:rPr>
        <w:t>132.</w:t>
      </w:r>
    </w:p>
  </w:endnote>
  <w:endnote w:id="8">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Med</w:t>
      </w:r>
      <w:r>
        <w:rPr>
          <w:rFonts w:ascii="Baskerville Old Face" w:hAnsi="Baskerville Old Face"/>
        </w:rPr>
        <w:t>. III. 19 (alt.).</w:t>
      </w:r>
    </w:p>
  </w:endnote>
  <w:endnote w:id="9">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 xml:space="preserve">DA </w:t>
      </w:r>
      <w:r>
        <w:rPr>
          <w:rFonts w:ascii="Baskerville Old Face" w:hAnsi="Baskerville Old Face"/>
        </w:rPr>
        <w:t>II.6, 418</w:t>
      </w:r>
      <w:r>
        <w:rPr>
          <w:rFonts w:ascii="Baskerville Old Face" w:hAnsi="Baskerville Old Face"/>
          <w:vertAlign w:val="superscript"/>
        </w:rPr>
        <w:t>a</w:t>
      </w:r>
      <w:r>
        <w:rPr>
          <w:rFonts w:ascii="Baskerville Old Face" w:hAnsi="Baskerville Old Face"/>
        </w:rPr>
        <w:t>11-15.</w:t>
      </w:r>
    </w:p>
  </w:endnote>
  <w:endnote w:id="10">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 xml:space="preserve">DA </w:t>
      </w:r>
      <w:r>
        <w:rPr>
          <w:rFonts w:ascii="Baskerville Old Face" w:hAnsi="Baskerville Old Face"/>
        </w:rPr>
        <w:t>II.6.418</w:t>
      </w:r>
      <w:r>
        <w:rPr>
          <w:rFonts w:ascii="Baskerville Old Face" w:hAnsi="Baskerville Old Face"/>
          <w:vertAlign w:val="superscript"/>
        </w:rPr>
        <w:t>a</w:t>
      </w:r>
      <w:r>
        <w:rPr>
          <w:rFonts w:ascii="Baskerville Old Face" w:hAnsi="Baskerville Old Face"/>
        </w:rPr>
        <w:t>16-19;</w:t>
      </w:r>
      <w:r>
        <w:rPr>
          <w:rFonts w:ascii="Baskerville Old Face" w:hAnsi="Baskerville Old Face"/>
          <w:i/>
        </w:rPr>
        <w:t xml:space="preserve"> De Sensu</w:t>
      </w:r>
      <w:r>
        <w:rPr>
          <w:rFonts w:ascii="Baskerville Old Face" w:hAnsi="Baskerville Old Face"/>
        </w:rPr>
        <w:t xml:space="preserve"> 1.437</w:t>
      </w:r>
      <w:r>
        <w:rPr>
          <w:rFonts w:ascii="Baskerville Old Face" w:hAnsi="Baskerville Old Face"/>
          <w:vertAlign w:val="superscript"/>
        </w:rPr>
        <w:t>a</w:t>
      </w:r>
      <w:r>
        <w:rPr>
          <w:rFonts w:ascii="Baskerville Old Face" w:hAnsi="Baskerville Old Face"/>
        </w:rPr>
        <w:t>6-11.</w:t>
      </w:r>
    </w:p>
  </w:endnote>
  <w:endnote w:id="11">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Rep. ad III</w:t>
      </w:r>
      <w:r>
        <w:rPr>
          <w:rFonts w:ascii="Baskerville Old Face" w:hAnsi="Baskerville Old Face"/>
        </w:rPr>
        <w:t>, 175.</w:t>
      </w:r>
    </w:p>
  </w:endnote>
  <w:endnote w:id="12">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 xml:space="preserve">See Descartes’ example of the Pentagon in </w:t>
      </w:r>
      <w:r>
        <w:rPr>
          <w:rFonts w:ascii="Baskerville Old Face" w:hAnsi="Baskerville Old Face"/>
          <w:i/>
        </w:rPr>
        <w:t>Med</w:t>
      </w:r>
      <w:r>
        <w:rPr>
          <w:rFonts w:ascii="Baskerville Old Face" w:hAnsi="Baskerville Old Face"/>
        </w:rPr>
        <w:t xml:space="preserve">. VI. 2; cf. </w:t>
      </w:r>
      <w:r>
        <w:rPr>
          <w:rFonts w:ascii="Baskerville Old Face" w:hAnsi="Baskerville Old Face"/>
          <w:i/>
        </w:rPr>
        <w:t>res. Ad. III</w:t>
      </w:r>
      <w:r>
        <w:rPr>
          <w:rFonts w:ascii="Baskerville Old Face" w:hAnsi="Baskerville Old Face"/>
        </w:rPr>
        <w:t xml:space="preserve">, 178.  The sense of ‘imagination’ in this affirmation differs from that in the denials of the preceding column: negatively, Descartes denies that imagination is a faculty </w:t>
      </w:r>
      <w:r>
        <w:rPr>
          <w:rFonts w:ascii="Baskerville Old Face" w:hAnsi="Baskerville Old Face"/>
          <w:i/>
        </w:rPr>
        <w:t>distinct</w:t>
      </w:r>
      <w:r>
        <w:rPr>
          <w:rFonts w:ascii="Baskerville Old Face" w:hAnsi="Baskerville Old Face"/>
        </w:rPr>
        <w:t xml:space="preserve"> </w:t>
      </w:r>
      <w:r>
        <w:rPr>
          <w:rFonts w:ascii="Baskerville Old Face" w:hAnsi="Baskerville Old Face"/>
          <w:i/>
        </w:rPr>
        <w:t>from</w:t>
      </w:r>
      <w:r>
        <w:rPr>
          <w:rFonts w:ascii="Baskerville Old Face" w:hAnsi="Baskerville Old Face"/>
        </w:rPr>
        <w:t xml:space="preserve"> thought, and that imagining is an operation distinct from thinking; in his positive use of the term, Descartes always takes imagining to be a mode of thinking applied to a body.</w:t>
      </w:r>
    </w:p>
  </w:endnote>
  <w:endnote w:id="13">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See Glouberman (1997), 118.</w:t>
      </w:r>
    </w:p>
  </w:endnote>
  <w:endnote w:id="14">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 xml:space="preserve">On one level, this is unsurprising, given the assumption from Aristotle onward that faculties are individuated by their objects. See Johansen (2012), 93-115; Cf. Vasiliou (2012). However, it </w:t>
      </w:r>
      <w:r>
        <w:rPr>
          <w:rFonts w:ascii="Baskerville Old Face" w:hAnsi="Baskerville Old Face"/>
          <w:i/>
        </w:rPr>
        <w:t xml:space="preserve">is </w:t>
      </w:r>
      <w:r>
        <w:rPr>
          <w:rFonts w:ascii="Baskerville Old Face" w:hAnsi="Baskerville Old Face"/>
        </w:rPr>
        <w:t xml:space="preserve">surprising to find the assumption in </w:t>
      </w:r>
      <w:r>
        <w:rPr>
          <w:rFonts w:ascii="Baskerville Old Face" w:hAnsi="Baskerville Old Face"/>
          <w:i/>
        </w:rPr>
        <w:t>Descartes</w:t>
      </w:r>
      <w:r>
        <w:rPr>
          <w:rFonts w:ascii="Baskerville Old Face" w:hAnsi="Baskerville Old Face"/>
        </w:rPr>
        <w:t>, given the way he collapses the different perceptual faculties into the broader category of cogitation. See Burnyeat (2008), 9-15.</w:t>
      </w:r>
    </w:p>
  </w:endnote>
  <w:endnote w:id="15">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See Hart (1975), 18-20.</w:t>
      </w:r>
    </w:p>
  </w:endnote>
  <w:endnote w:id="16">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Cf. Burnyeat (1981), 74; Westphal (2005), 221-224.</w:t>
      </w:r>
    </w:p>
  </w:endnote>
  <w:endnote w:id="17">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 xml:space="preserve">On the thesis that the subject of Metaphysics is more universal than that of Physics, See </w:t>
      </w:r>
      <w:r>
        <w:rPr>
          <w:rFonts w:ascii="Baskerville Old Face" w:hAnsi="Baskerville Old Face"/>
          <w:i/>
        </w:rPr>
        <w:t xml:space="preserve">Metaph. </w:t>
      </w:r>
      <w:r>
        <w:rPr>
          <w:rFonts w:ascii="Baskerville Old Face" w:hAnsi="Baskerville Old Face"/>
        </w:rPr>
        <w:t>I.2, 982</w:t>
      </w:r>
      <w:r>
        <w:rPr>
          <w:rFonts w:ascii="Baskerville Old Face" w:hAnsi="Baskerville Old Face"/>
          <w:vertAlign w:val="superscript"/>
        </w:rPr>
        <w:t>a</w:t>
      </w:r>
      <w:r>
        <w:rPr>
          <w:rFonts w:ascii="Baskerville Old Face" w:hAnsi="Baskerville Old Face"/>
        </w:rPr>
        <w:t>19-982</w:t>
      </w:r>
      <w:r>
        <w:rPr>
          <w:rFonts w:ascii="Baskerville Old Face" w:hAnsi="Baskerville Old Face"/>
          <w:vertAlign w:val="superscript"/>
        </w:rPr>
        <w:t>b</w:t>
      </w:r>
      <w:r>
        <w:rPr>
          <w:rFonts w:ascii="Baskerville Old Face" w:hAnsi="Baskerville Old Face"/>
        </w:rPr>
        <w:t xml:space="preserve">11. On the ordering of the sciences within Physics, see </w:t>
      </w:r>
      <w:r>
        <w:rPr>
          <w:rFonts w:ascii="Baskerville Old Face" w:hAnsi="Baskerville Old Face"/>
          <w:i/>
        </w:rPr>
        <w:t xml:space="preserve">Meteora  </w:t>
      </w:r>
      <w:r>
        <w:rPr>
          <w:rFonts w:ascii="Baskerville Old Face" w:hAnsi="Baskerville Old Face"/>
        </w:rPr>
        <w:t xml:space="preserve">I, 1; cf. Aquinas, </w:t>
      </w:r>
      <w:r>
        <w:rPr>
          <w:rFonts w:ascii="Baskerville Old Face" w:hAnsi="Baskerville Old Face"/>
          <w:i/>
        </w:rPr>
        <w:t>Sentencia Super Meteora</w:t>
      </w:r>
      <w:r>
        <w:rPr>
          <w:rFonts w:ascii="Baskerville Old Face" w:hAnsi="Baskerville Old Face"/>
        </w:rPr>
        <w:t>,</w:t>
      </w:r>
      <w:r>
        <w:rPr>
          <w:rFonts w:ascii="Baskerville Old Face" w:hAnsi="Baskerville Old Face"/>
          <w:i/>
        </w:rPr>
        <w:t xml:space="preserve"> </w:t>
      </w:r>
      <w:r>
        <w:rPr>
          <w:rFonts w:ascii="Baskerville Old Face" w:hAnsi="Baskerville Old Face"/>
        </w:rPr>
        <w:t>Bk.</w:t>
      </w:r>
      <w:r>
        <w:rPr>
          <w:rFonts w:ascii="Baskerville Old Face" w:hAnsi="Baskerville Old Face"/>
          <w:i/>
        </w:rPr>
        <w:t xml:space="preserve"> </w:t>
      </w:r>
      <w:r>
        <w:rPr>
          <w:rFonts w:ascii="Baskerville Old Face" w:hAnsi="Baskerville Old Face"/>
        </w:rPr>
        <w:t>I. lec. 1.</w:t>
      </w:r>
    </w:p>
  </w:endnote>
  <w:endnote w:id="18">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Metaph</w:t>
      </w:r>
      <w:r>
        <w:rPr>
          <w:rFonts w:ascii="Baskerville Old Face" w:hAnsi="Baskerville Old Face"/>
        </w:rPr>
        <w:t>. VII.10, 1035</w:t>
      </w:r>
      <w:r>
        <w:rPr>
          <w:rFonts w:ascii="Baskerville Old Face" w:hAnsi="Baskerville Old Face"/>
          <w:vertAlign w:val="superscript"/>
        </w:rPr>
        <w:t>a</w:t>
      </w:r>
      <w:r>
        <w:rPr>
          <w:rFonts w:ascii="Baskerville Old Face" w:hAnsi="Baskerville Old Face"/>
        </w:rPr>
        <w:t>14-17</w:t>
      </w:r>
    </w:p>
  </w:endnote>
  <w:endnote w:id="19">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 xml:space="preserve">Physics </w:t>
      </w:r>
      <w:r>
        <w:rPr>
          <w:rFonts w:ascii="Baskerville Old Face" w:hAnsi="Baskerville Old Face"/>
        </w:rPr>
        <w:t>VII.3, 245</w:t>
      </w:r>
      <w:r>
        <w:rPr>
          <w:rFonts w:ascii="Baskerville Old Face" w:hAnsi="Baskerville Old Face"/>
          <w:vertAlign w:val="superscript"/>
        </w:rPr>
        <w:t>b</w:t>
      </w:r>
      <w:r>
        <w:rPr>
          <w:rFonts w:ascii="Baskerville Old Face" w:hAnsi="Baskerville Old Face"/>
        </w:rPr>
        <w:t>9-16.</w:t>
      </w:r>
    </w:p>
  </w:endnote>
  <w:endnote w:id="20">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Meteora</w:t>
      </w:r>
      <w:r>
        <w:rPr>
          <w:rFonts w:ascii="Baskerville Old Face" w:hAnsi="Baskerville Old Face"/>
        </w:rPr>
        <w:t xml:space="preserve"> II.3, 358</w:t>
      </w:r>
      <w:r>
        <w:rPr>
          <w:rFonts w:ascii="Baskerville Old Face" w:hAnsi="Baskerville Old Face"/>
          <w:vertAlign w:val="superscript"/>
        </w:rPr>
        <w:t>b</w:t>
      </w:r>
      <w:r>
        <w:rPr>
          <w:rFonts w:ascii="Baskerville Old Face" w:hAnsi="Baskerville Old Face"/>
        </w:rPr>
        <w:t>34-359</w:t>
      </w:r>
      <w:r>
        <w:rPr>
          <w:rFonts w:ascii="Baskerville Old Face" w:hAnsi="Baskerville Old Face"/>
          <w:vertAlign w:val="superscript"/>
        </w:rPr>
        <w:t>a</w:t>
      </w:r>
      <w:r>
        <w:rPr>
          <w:rFonts w:ascii="Baskerville Old Face" w:hAnsi="Baskerville Old Face"/>
        </w:rPr>
        <w:t>7.</w:t>
      </w:r>
    </w:p>
  </w:endnote>
  <w:endnote w:id="21">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DA</w:t>
      </w:r>
      <w:r>
        <w:rPr>
          <w:rFonts w:ascii="Baskerville Old Face" w:hAnsi="Baskerville Old Face"/>
        </w:rPr>
        <w:t xml:space="preserve"> II.12, 424</w:t>
      </w:r>
      <w:r>
        <w:rPr>
          <w:rFonts w:ascii="Baskerville Old Face" w:hAnsi="Baskerville Old Face"/>
          <w:vertAlign w:val="superscript"/>
        </w:rPr>
        <w:t>a</w:t>
      </w:r>
      <w:r>
        <w:rPr>
          <w:rFonts w:ascii="Baskerville Old Face" w:hAnsi="Baskerville Old Face"/>
        </w:rPr>
        <w:t xml:space="preserve">18-24; </w:t>
      </w:r>
      <w:r>
        <w:rPr>
          <w:rFonts w:ascii="Baskerville Old Face" w:hAnsi="Baskerville Old Face"/>
          <w:i/>
        </w:rPr>
        <w:t>De Mem</w:t>
      </w:r>
      <w:r>
        <w:rPr>
          <w:rFonts w:ascii="Baskerville Old Face" w:hAnsi="Baskerville Old Face"/>
        </w:rPr>
        <w:t>. 450</w:t>
      </w:r>
      <w:r>
        <w:rPr>
          <w:rFonts w:ascii="Baskerville Old Face" w:hAnsi="Baskerville Old Face"/>
          <w:vertAlign w:val="superscript"/>
        </w:rPr>
        <w:t>a</w:t>
      </w:r>
      <w:r>
        <w:rPr>
          <w:rFonts w:ascii="Baskerville Old Face" w:hAnsi="Baskerville Old Face"/>
        </w:rPr>
        <w:t>28-33.</w:t>
      </w:r>
    </w:p>
  </w:endnote>
  <w:endnote w:id="22">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Physics</w:t>
      </w:r>
      <w:r>
        <w:rPr>
          <w:rFonts w:ascii="Baskerville Old Face" w:hAnsi="Baskerville Old Face"/>
        </w:rPr>
        <w:t xml:space="preserve"> VII.3, 245</w:t>
      </w:r>
      <w:r>
        <w:rPr>
          <w:rFonts w:ascii="Baskerville Old Face" w:hAnsi="Baskerville Old Face"/>
          <w:vertAlign w:val="superscript"/>
        </w:rPr>
        <w:t>b</w:t>
      </w:r>
      <w:r>
        <w:rPr>
          <w:rFonts w:ascii="Baskerville Old Face" w:hAnsi="Baskerville Old Face"/>
        </w:rPr>
        <w:t>9-16.</w:t>
      </w:r>
    </w:p>
  </w:endnote>
  <w:endnote w:id="23">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For more on how Aristotle’s physics relates to his mereology, see Whiting (2002), esp. 146-154.</w:t>
      </w:r>
    </w:p>
  </w:endnote>
  <w:endnote w:id="24">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De Gen</w:t>
      </w:r>
      <w:r>
        <w:rPr>
          <w:rFonts w:ascii="Baskerville Old Face" w:hAnsi="Baskerville Old Face"/>
        </w:rPr>
        <w:t>. I.10, 327</w:t>
      </w:r>
      <w:r>
        <w:rPr>
          <w:rFonts w:ascii="Baskerville Old Face" w:hAnsi="Baskerville Old Face"/>
          <w:vertAlign w:val="superscript"/>
        </w:rPr>
        <w:t>b</w:t>
      </w:r>
      <w:r>
        <w:rPr>
          <w:rFonts w:ascii="Baskerville Old Face" w:hAnsi="Baskerville Old Face"/>
        </w:rPr>
        <w:t>12-16.</w:t>
      </w:r>
    </w:p>
  </w:endnote>
  <w:endnote w:id="25">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Meteora</w:t>
      </w:r>
      <w:r>
        <w:rPr>
          <w:rFonts w:ascii="Baskerville Old Face" w:hAnsi="Baskerville Old Face"/>
        </w:rPr>
        <w:t xml:space="preserve"> IV.9, 386</w:t>
      </w:r>
      <w:r>
        <w:rPr>
          <w:rFonts w:ascii="Baskerville Old Face" w:hAnsi="Baskerville Old Face"/>
          <w:vertAlign w:val="superscript"/>
        </w:rPr>
        <w:t>a</w:t>
      </w:r>
      <w:r>
        <w:rPr>
          <w:rFonts w:ascii="Baskerville Old Face" w:hAnsi="Baskerville Old Face"/>
        </w:rPr>
        <w:t>18-22.</w:t>
      </w:r>
    </w:p>
  </w:endnote>
  <w:endnote w:id="26">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 xml:space="preserve">Meteora </w:t>
      </w:r>
      <w:r>
        <w:rPr>
          <w:rFonts w:ascii="Baskerville Old Face" w:hAnsi="Baskerville Old Face"/>
        </w:rPr>
        <w:t>IV.9, 386</w:t>
      </w:r>
      <w:r>
        <w:rPr>
          <w:rFonts w:ascii="Baskerville Old Face" w:hAnsi="Baskerville Old Face"/>
          <w:vertAlign w:val="superscript"/>
        </w:rPr>
        <w:t>b</w:t>
      </w:r>
      <w:r>
        <w:rPr>
          <w:rFonts w:ascii="Baskerville Old Face" w:hAnsi="Baskerville Old Face"/>
        </w:rPr>
        <w:t>6-7.</w:t>
      </w:r>
    </w:p>
  </w:endnote>
  <w:endnote w:id="27">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 xml:space="preserve">Meteora </w:t>
      </w:r>
      <w:r>
        <w:rPr>
          <w:rFonts w:ascii="Baskerville Old Face" w:hAnsi="Baskerville Old Face"/>
        </w:rPr>
        <w:t>IV.10, 388</w:t>
      </w:r>
      <w:r>
        <w:rPr>
          <w:rFonts w:ascii="Baskerville Old Face" w:hAnsi="Baskerville Old Face"/>
          <w:vertAlign w:val="superscript"/>
        </w:rPr>
        <w:t>b</w:t>
      </w:r>
      <w:r>
        <w:rPr>
          <w:rFonts w:ascii="Baskerville Old Face" w:hAnsi="Baskerville Old Face"/>
        </w:rPr>
        <w:t>33-35.</w:t>
      </w:r>
    </w:p>
  </w:endnote>
  <w:endnote w:id="28">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26.</w:t>
      </w:r>
    </w:p>
  </w:endnote>
  <w:endnote w:id="29">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 xml:space="preserve">DA </w:t>
      </w:r>
      <w:r>
        <w:rPr>
          <w:rFonts w:ascii="Baskerville Old Face" w:hAnsi="Baskerville Old Face"/>
        </w:rPr>
        <w:t>II.12, 424</w:t>
      </w:r>
      <w:r>
        <w:rPr>
          <w:rFonts w:ascii="Baskerville Old Face" w:hAnsi="Baskerville Old Face"/>
          <w:vertAlign w:val="superscript"/>
        </w:rPr>
        <w:t>a</w:t>
      </w:r>
      <w:r>
        <w:rPr>
          <w:rFonts w:ascii="Baskerville Old Face" w:hAnsi="Baskerville Old Face"/>
        </w:rPr>
        <w:t>18-24 (alt.).</w:t>
      </w:r>
    </w:p>
  </w:endnote>
  <w:endnote w:id="30">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 xml:space="preserve">De Mem. </w:t>
      </w:r>
      <w:r>
        <w:rPr>
          <w:rFonts w:ascii="Baskerville Old Face" w:hAnsi="Baskerville Old Face"/>
        </w:rPr>
        <w:t>1, 450</w:t>
      </w:r>
      <w:r>
        <w:rPr>
          <w:rFonts w:ascii="Baskerville Old Face" w:hAnsi="Baskerville Old Face"/>
          <w:vertAlign w:val="superscript"/>
        </w:rPr>
        <w:t>a</w:t>
      </w:r>
      <w:r>
        <w:rPr>
          <w:rFonts w:ascii="Baskerville Old Face" w:hAnsi="Baskerville Old Face"/>
        </w:rPr>
        <w:t>28-33.</w:t>
      </w:r>
    </w:p>
  </w:endnote>
  <w:endnote w:id="31">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Cf. Heinaman (2007).</w:t>
      </w:r>
    </w:p>
  </w:endnote>
  <w:endnote w:id="32">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PA</w:t>
      </w:r>
      <w:r>
        <w:rPr>
          <w:rFonts w:ascii="Baskerville Old Face" w:hAnsi="Baskerville Old Face"/>
        </w:rPr>
        <w:t xml:space="preserve"> I.4, 73</w:t>
      </w:r>
      <w:r>
        <w:rPr>
          <w:rFonts w:ascii="Baskerville Old Face" w:hAnsi="Baskerville Old Face"/>
          <w:vertAlign w:val="superscript"/>
        </w:rPr>
        <w:t>b</w:t>
      </w:r>
      <w:r>
        <w:rPr>
          <w:rFonts w:ascii="Baskerville Old Face" w:hAnsi="Baskerville Old Face"/>
        </w:rPr>
        <w:t>27 (alt).</w:t>
      </w:r>
    </w:p>
  </w:endnote>
  <w:endnote w:id="33">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 xml:space="preserve">Indeed, the way Aristotle blends the picture and seal analogies in </w:t>
      </w:r>
      <w:r>
        <w:rPr>
          <w:rFonts w:ascii="Baskerville Old Face" w:hAnsi="Baskerville Old Face"/>
          <w:i/>
        </w:rPr>
        <w:t>De Mem.</w:t>
      </w:r>
      <w:r>
        <w:rPr>
          <w:rFonts w:ascii="Baskerville Old Face" w:hAnsi="Baskerville Old Face"/>
        </w:rPr>
        <w:t xml:space="preserve"> 450</w:t>
      </w:r>
      <w:r>
        <w:rPr>
          <w:rFonts w:ascii="Baskerville Old Face" w:hAnsi="Baskerville Old Face"/>
          <w:vertAlign w:val="superscript"/>
        </w:rPr>
        <w:t>a</w:t>
      </w:r>
      <w:r>
        <w:rPr>
          <w:rFonts w:ascii="Baskerville Old Face" w:hAnsi="Baskerville Old Face"/>
        </w:rPr>
        <w:t xml:space="preserve">28-33 imply the “picture” that Aristotle has in mind is </w:t>
      </w:r>
      <w:r>
        <w:rPr>
          <w:rFonts w:ascii="Baskerville Old Face" w:hAnsi="Baskerville Old Face"/>
          <w:i/>
        </w:rPr>
        <w:t xml:space="preserve">itself </w:t>
      </w:r>
      <w:r>
        <w:rPr>
          <w:rFonts w:ascii="Baskerville Old Face" w:hAnsi="Baskerville Old Face"/>
        </w:rPr>
        <w:t xml:space="preserve">an impression or an etching, rather than a painting. If this is so, then the salient point of the passage across the board would not be that memories are representations, but rather that they are impressions consequent upon sense. Cf. </w:t>
      </w:r>
      <w:r>
        <w:rPr>
          <w:rFonts w:ascii="Baskerville Old Face" w:hAnsi="Baskerville Old Face"/>
          <w:i/>
        </w:rPr>
        <w:t xml:space="preserve">Theaetetus </w:t>
      </w:r>
      <w:r>
        <w:rPr>
          <w:rFonts w:ascii="Baskerville Old Face" w:hAnsi="Baskerville Old Face"/>
        </w:rPr>
        <w:t>187c-200d; Rowett (2012); Schwitzgebel (2006).</w:t>
      </w:r>
    </w:p>
  </w:endnote>
  <w:endnote w:id="34">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The most basic meaning of ‘as’ (</w:t>
      </w:r>
      <w:r>
        <w:rPr>
          <w:rFonts w:cs="Cambria" w:ascii="Cambria" w:hAnsi="Cambria"/>
        </w:rPr>
        <w:t>ο</w:t>
      </w:r>
      <w:r>
        <w:rPr>
          <w:rFonts w:cs="Times New Roman" w:ascii="Times New Roman" w:hAnsi="Times New Roman"/>
        </w:rPr>
        <w:t>ἷ</w:t>
      </w:r>
      <w:r>
        <w:rPr>
          <w:rFonts w:cs="Cambria" w:ascii="Cambria" w:hAnsi="Cambria"/>
        </w:rPr>
        <w:t>ον</w:t>
      </w:r>
      <w:r>
        <w:rPr>
          <w:rFonts w:ascii="Baskerville Old Face" w:hAnsi="Baskerville Old Face"/>
        </w:rPr>
        <w:t>) in the above passage is “of what sort.”</w:t>
      </w:r>
    </w:p>
  </w:endnote>
  <w:endnote w:id="35">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In DA</w:t>
      </w:r>
      <w:r>
        <w:rPr>
          <w:rFonts w:ascii="Baskerville Old Face" w:hAnsi="Baskerville Old Face"/>
        </w:rPr>
        <w:t xml:space="preserve"> II.24, 551. Aquinas does not himself endorse the view, but gives it as an objection.</w:t>
      </w:r>
    </w:p>
  </w:endnote>
  <w:endnote w:id="36">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i.e. at “</w:t>
      </w:r>
      <w:r>
        <w:rPr>
          <w:rFonts w:cs="Cambria" w:ascii="Cambria" w:hAnsi="Cambria"/>
        </w:rPr>
        <w:t>α</w:t>
      </w:r>
      <w:r>
        <w:rPr>
          <w:rFonts w:cs="Times New Roman" w:ascii="Times New Roman" w:hAnsi="Times New Roman"/>
        </w:rPr>
        <w:t>ἰ</w:t>
      </w:r>
      <w:r>
        <w:rPr>
          <w:rFonts w:cs="Cambria" w:ascii="Cambria" w:hAnsi="Cambria"/>
        </w:rPr>
        <w:t>σθητ</w:t>
      </w:r>
      <w:r>
        <w:rPr>
          <w:rFonts w:cs="Times New Roman" w:ascii="Times New Roman" w:hAnsi="Times New Roman"/>
        </w:rPr>
        <w:t>ή</w:t>
      </w:r>
      <w:r>
        <w:rPr>
          <w:rFonts w:cs="Cambria" w:ascii="Cambria" w:hAnsi="Cambria"/>
        </w:rPr>
        <w:t>ριον</w:t>
      </w:r>
      <w:r>
        <w:rPr>
          <w:rFonts w:ascii="Baskerville Old Face" w:hAnsi="Baskerville Old Face"/>
        </w:rPr>
        <w:t xml:space="preserve"> </w:t>
      </w:r>
      <w:r>
        <w:rPr>
          <w:rFonts w:cs="Cambria" w:ascii="Cambria" w:hAnsi="Cambria"/>
        </w:rPr>
        <w:t>δ</w:t>
      </w:r>
      <w:r>
        <w:rPr>
          <w:rFonts w:cs="Times New Roman" w:ascii="Times New Roman" w:hAnsi="Times New Roman"/>
        </w:rPr>
        <w:t>ὲ</w:t>
      </w:r>
      <w:r>
        <w:rPr>
          <w:rFonts w:ascii="Baskerville Old Face" w:hAnsi="Baskerville Old Face"/>
        </w:rPr>
        <w:t xml:space="preserve"> π</w:t>
      </w:r>
      <w:r>
        <w:rPr>
          <w:rFonts w:cs="Cambria" w:ascii="Cambria" w:hAnsi="Cambria"/>
        </w:rPr>
        <w:t>ρ</w:t>
      </w:r>
      <w:r>
        <w:rPr>
          <w:rFonts w:cs="Times New Roman" w:ascii="Times New Roman" w:hAnsi="Times New Roman"/>
        </w:rPr>
        <w:t>ῶ</w:t>
      </w:r>
      <w:r>
        <w:rPr>
          <w:rFonts w:cs="Cambria" w:ascii="Cambria" w:hAnsi="Cambria"/>
        </w:rPr>
        <w:t>τον</w:t>
      </w:r>
      <w:r>
        <w:rPr>
          <w:rFonts w:cs="Baskerville Old Face" w:ascii="Baskerville Old Face" w:hAnsi="Baskerville Old Face"/>
        </w:rPr>
        <w:t>…”</w:t>
      </w:r>
    </w:p>
  </w:endnote>
  <w:endnote w:id="37">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Aquinas anticipates Burnyeat’s objection and responds to it in his comments on DA II.12.424</w:t>
      </w:r>
      <w:r>
        <w:rPr>
          <w:rFonts w:ascii="Baskerville Old Face" w:hAnsi="Baskerville Old Face"/>
          <w:vertAlign w:val="superscript"/>
        </w:rPr>
        <w:t>a</w:t>
      </w:r>
      <w:r>
        <w:rPr>
          <w:rFonts w:ascii="Baskerville Old Face" w:hAnsi="Baskerville Old Face"/>
        </w:rPr>
        <w:t>26-30:</w:t>
      </w:r>
    </w:p>
    <w:p>
      <w:pPr>
        <w:pStyle w:val="Endnote"/>
        <w:ind w:left="720" w:hanging="0"/>
        <w:jc w:val="both"/>
        <w:rPr/>
      </w:pPr>
      <w:r>
        <w:rPr>
          <w:rFonts w:ascii="Baskerville Old Face" w:hAnsi="Baskerville Old Face"/>
        </w:rPr>
        <w:t>Since, then [Aristotle] had said that sense is receptive of forms without matter, which also belongs to the intellect, someone might believe that sense was not a power in a body, just as the intellect is not. And therefore, to exclude this, he assigns an organ to it (</w:t>
      </w:r>
      <w:r>
        <w:rPr>
          <w:rFonts w:ascii="Baskerville Old Face" w:hAnsi="Baskerville Old Face"/>
          <w:i/>
        </w:rPr>
        <w:t>In DA</w:t>
      </w:r>
      <w:r>
        <w:rPr>
          <w:rFonts w:ascii="Baskerville Old Face" w:hAnsi="Baskerville Old Face"/>
        </w:rPr>
        <w:t xml:space="preserve"> II. 24. 555).</w:t>
      </w:r>
    </w:p>
    <w:p>
      <w:pPr>
        <w:pStyle w:val="Endnote"/>
        <w:jc w:val="both"/>
        <w:rPr/>
      </w:pPr>
      <w:r>
        <w:rPr>
          <w:rFonts w:ascii="Baskerville Old Face" w:hAnsi="Baskerville Old Face"/>
        </w:rPr>
        <w:t>For to say that an organ undergoes no corporeal change in sensation amounts to saying that not it, but rather something else is receptive of sensation, i.e. that it is not the organ of sensation after all. Cf. Nevitt (2013), 200-203; Magee (2000), 320-327.</w:t>
      </w:r>
    </w:p>
  </w:endnote>
  <w:endnote w:id="38">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See Brentano (1995), 89.</w:t>
      </w:r>
    </w:p>
  </w:endnote>
  <w:endnote w:id="39">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18. In the same passage, he (mistakenly) attributes this interpretation to Aquinas and John Philoponus. Cf. Caston, (1998), 256; Shields (1995), 318-322; Klima (2013), 360-63.</w:t>
      </w:r>
    </w:p>
  </w:endnote>
  <w:endnote w:id="40">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Cf. Caston (2004), 307, fn. 121.</w:t>
      </w:r>
    </w:p>
  </w:endnote>
  <w:endnote w:id="41">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24.</w:t>
      </w:r>
    </w:p>
  </w:endnote>
  <w:endnote w:id="42">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Cf. Lear (1988), 116.</w:t>
      </w:r>
    </w:p>
  </w:endnote>
  <w:endnote w:id="43">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For an application of this difficulty to the problem of learning, see Bowin (2012). Cf. Bowin (2011).</w:t>
      </w:r>
    </w:p>
  </w:endnote>
  <w:endnote w:id="44">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 xml:space="preserve">Cf. </w:t>
      </w:r>
      <w:r>
        <w:rPr>
          <w:rFonts w:ascii="Baskerville Old Face" w:hAnsi="Baskerville Old Face"/>
          <w:i/>
        </w:rPr>
        <w:t xml:space="preserve">Metaph. </w:t>
      </w:r>
      <w:r>
        <w:rPr>
          <w:rFonts w:ascii="Baskerville Old Face" w:hAnsi="Baskerville Old Face"/>
        </w:rPr>
        <w:t>III.3, 998</w:t>
      </w:r>
      <w:r>
        <w:rPr>
          <w:rFonts w:ascii="Baskerville Old Face" w:hAnsi="Baskerville Old Face"/>
          <w:vertAlign w:val="superscript"/>
        </w:rPr>
        <w:t>b</w:t>
      </w:r>
      <w:r>
        <w:rPr>
          <w:rFonts w:ascii="Baskerville Old Face" w:hAnsi="Baskerville Old Face"/>
        </w:rPr>
        <w:t>22.</w:t>
      </w:r>
    </w:p>
  </w:endnote>
  <w:endnote w:id="45">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 xml:space="preserve">Cf. esp. the critique of Antiphon in </w:t>
      </w:r>
      <w:r>
        <w:rPr>
          <w:rFonts w:ascii="Baskerville Old Face" w:hAnsi="Baskerville Old Face"/>
          <w:i/>
        </w:rPr>
        <w:t xml:space="preserve">Physics </w:t>
      </w:r>
      <w:r>
        <w:rPr>
          <w:rFonts w:ascii="Baskerville Old Face" w:hAnsi="Baskerville Old Face"/>
        </w:rPr>
        <w:t>II.1, 193</w:t>
      </w:r>
      <w:r>
        <w:rPr>
          <w:rFonts w:ascii="Baskerville Old Face" w:hAnsi="Baskerville Old Face"/>
          <w:vertAlign w:val="superscript"/>
        </w:rPr>
        <w:t>a</w:t>
      </w:r>
      <w:r>
        <w:rPr>
          <w:rFonts w:ascii="Baskerville Old Face" w:hAnsi="Baskerville Old Face"/>
        </w:rPr>
        <w:t>9-193</w:t>
      </w:r>
      <w:r>
        <w:rPr>
          <w:rFonts w:ascii="Baskerville Old Face" w:hAnsi="Baskerville Old Face"/>
          <w:vertAlign w:val="superscript"/>
        </w:rPr>
        <w:t>b</w:t>
      </w:r>
      <w:r>
        <w:rPr>
          <w:rFonts w:ascii="Baskerville Old Face" w:hAnsi="Baskerville Old Face"/>
        </w:rPr>
        <w:t>21.</w:t>
      </w:r>
    </w:p>
  </w:endnote>
  <w:endnote w:id="46">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Cf. Gaukroger (2000), 215-19.</w:t>
      </w:r>
    </w:p>
  </w:endnote>
  <w:endnote w:id="47">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This is, of course, very close to Quine’s adaptation of Russell’s theory of definite descriptions: ‘Pegasus’ becomes, ‘Pegasizing,’ etc. Thus, the difference in linguistic regimentation seems to be tracking a fairly longstanding shift in the ontology. Cf. Quine (1948).</w:t>
      </w:r>
    </w:p>
  </w:endnote>
  <w:endnote w:id="48">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 xml:space="preserve">For instance, Aristotle distinguishes color as the object of sight from that which constitutes it. Cf. </w:t>
      </w:r>
      <w:r>
        <w:rPr>
          <w:rFonts w:ascii="Baskerville Old Face" w:hAnsi="Baskerville Old Face"/>
          <w:i/>
        </w:rPr>
        <w:t xml:space="preserve">DA </w:t>
      </w:r>
      <w:r>
        <w:rPr>
          <w:rFonts w:ascii="Baskerville Old Face" w:hAnsi="Baskerville Old Face"/>
        </w:rPr>
        <w:t>II.7.418</w:t>
      </w:r>
      <w:r>
        <w:rPr>
          <w:rFonts w:ascii="Baskerville Old Face" w:hAnsi="Baskerville Old Face"/>
          <w:vertAlign w:val="superscript"/>
        </w:rPr>
        <w:t>a</w:t>
      </w:r>
      <w:r>
        <w:rPr>
          <w:rFonts w:ascii="Baskerville Old Face" w:hAnsi="Baskerville Old Face"/>
        </w:rPr>
        <w:t>26-418</w:t>
      </w:r>
      <w:r>
        <w:rPr>
          <w:rFonts w:ascii="Baskerville Old Face" w:hAnsi="Baskerville Old Face"/>
          <w:vertAlign w:val="superscript"/>
        </w:rPr>
        <w:t>b</w:t>
      </w:r>
      <w:r>
        <w:rPr>
          <w:rFonts w:ascii="Baskerville Old Face" w:hAnsi="Baskerville Old Face"/>
        </w:rPr>
        <w:t>2.</w:t>
      </w:r>
    </w:p>
  </w:endnote>
  <w:endnote w:id="49">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De Sensu</w:t>
      </w:r>
      <w:r>
        <w:rPr>
          <w:rFonts w:ascii="Baskerville Old Face" w:hAnsi="Baskerville Old Face"/>
        </w:rPr>
        <w:t xml:space="preserve"> 7.449</w:t>
      </w:r>
      <w:r>
        <w:rPr>
          <w:rFonts w:ascii="Baskerville Old Face" w:hAnsi="Baskerville Old Face"/>
          <w:vertAlign w:val="superscript"/>
        </w:rPr>
        <w:t>a</w:t>
      </w:r>
      <w:r>
        <w:rPr>
          <w:rFonts w:ascii="Baskerville Old Face" w:hAnsi="Baskerville Old Face"/>
        </w:rPr>
        <w:t>20-30.</w:t>
      </w:r>
    </w:p>
  </w:endnote>
  <w:endnote w:id="50">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Glouberman (1997), 125.</w:t>
      </w:r>
    </w:p>
  </w:endnote>
  <w:endnote w:id="51">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Med. V.</w:t>
      </w:r>
      <w:r>
        <w:rPr>
          <w:rFonts w:ascii="Baskerville Old Face" w:hAnsi="Baskerville Old Face"/>
        </w:rPr>
        <w:t>16; cf. V.9, VI.1, 4, 10.</w:t>
      </w:r>
    </w:p>
  </w:endnote>
  <w:endnote w:id="52">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23.</w:t>
      </w:r>
    </w:p>
  </w:endnote>
  <w:endnote w:id="53">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DA</w:t>
      </w:r>
      <w:r>
        <w:rPr>
          <w:rFonts w:ascii="Baskerville Old Face" w:hAnsi="Baskerville Old Face"/>
        </w:rPr>
        <w:t xml:space="preserve"> II.12, 424</w:t>
      </w:r>
      <w:r>
        <w:rPr>
          <w:rFonts w:ascii="Baskerville Old Face" w:hAnsi="Baskerville Old Face"/>
          <w:vertAlign w:val="superscript"/>
        </w:rPr>
        <w:t>a</w:t>
      </w:r>
      <w:r>
        <w:rPr>
          <w:rFonts w:ascii="Baskerville Old Face" w:hAnsi="Baskerville Old Face"/>
        </w:rPr>
        <w:t>18-24.</w:t>
      </w:r>
    </w:p>
  </w:endnote>
  <w:endnote w:id="54">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22.</w:t>
      </w:r>
    </w:p>
  </w:endnote>
  <w:endnote w:id="55">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18. Cf. Sorabji (1992), 214-220; 2001, passim; Everson (1997). For a more nuanced rebuttal of literalism, see Lorenz (2007).</w:t>
      </w:r>
    </w:p>
  </w:endnote>
  <w:endnote w:id="56">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Ibid.</w:t>
      </w:r>
    </w:p>
  </w:endnote>
  <w:endnote w:id="57">
    <w:p>
      <w:pPr>
        <w:pStyle w:val="Normal"/>
        <w:spacing w:lineRule="auto" w:line="240" w:before="0" w:after="0"/>
        <w:jc w:val="both"/>
        <w:rPr/>
      </w:pPr>
      <w:r>
        <w:rPr>
          <w:rStyle w:val="EndnoteCharacters"/>
        </w:rPr>
        <w:endnoteRef/>
      </w:r>
      <w:r>
        <w:rPr>
          <w:rFonts w:ascii="Baskerville Old Face" w:hAnsi="Baskerville Old Face"/>
          <w:sz w:val="20"/>
          <w:szCs w:val="20"/>
        </w:rPr>
        <w:t xml:space="preserve"> </w:t>
      </w:r>
      <w:r>
        <w:rPr>
          <w:rFonts w:ascii="Baskerville Old Face" w:hAnsi="Baskerville Old Face"/>
          <w:sz w:val="20"/>
          <w:szCs w:val="20"/>
        </w:rPr>
        <w:t xml:space="preserve">Burnyeat seems to take this premise to give a necessary characteristic of modern functionalism. </w:t>
      </w:r>
    </w:p>
    <w:p>
      <w:pPr>
        <w:pStyle w:val="Endnote"/>
        <w:ind w:left="720" w:hanging="0"/>
        <w:jc w:val="both"/>
        <w:rPr/>
      </w:pPr>
      <w:r>
        <w:rPr>
          <w:rFonts w:ascii="Baskerville Old Face" w:hAnsi="Baskerville Old Face"/>
        </w:rPr>
        <w:t xml:space="preserve">If the artefact model prevails, […] it will not […] be essential to Aristotle’s account of perception that it involves the particular physiological processes he invokes to explain it. […] We must be able to [discard this account] if Aristotle is a functionalist and functionalism is Aristotelian, because </w:t>
      </w:r>
      <w:r>
        <w:rPr>
          <w:rFonts w:ascii="Baskerville Old Face" w:hAnsi="Baskerville Old Face"/>
          <w:i/>
        </w:rPr>
        <w:t>the whole point of functionalism is to free our mental life from dependence on any</w:t>
      </w:r>
      <w:r>
        <w:rPr>
          <w:rFonts w:ascii="Baskerville Old Face" w:hAnsi="Baskerville Old Face"/>
        </w:rPr>
        <w:t xml:space="preserve"> particular </w:t>
      </w:r>
      <w:r>
        <w:rPr>
          <w:rFonts w:ascii="Baskerville Old Face" w:hAnsi="Baskerville Old Face"/>
          <w:i/>
        </w:rPr>
        <w:t>material set-up</w:t>
      </w:r>
      <w:r>
        <w:rPr>
          <w:rFonts w:ascii="Baskerville Old Face" w:hAnsi="Baskerville Old Face"/>
        </w:rPr>
        <w:t xml:space="preserve">. (Burnyeat (1992), 17, emphasis mine). </w:t>
      </w:r>
    </w:p>
    <w:p>
      <w:pPr>
        <w:pStyle w:val="Endnote"/>
        <w:jc w:val="both"/>
        <w:rPr/>
      </w:pPr>
      <w:r>
        <w:rPr>
          <w:rFonts w:ascii="Baskerville Old Face" w:hAnsi="Baskerville Old Face"/>
        </w:rPr>
        <w:t>Though the italicized assumption is questionable, attempting to save Aristotle by broadening the definition of ‘functionalism’ would leave some larger issues unsolved, and so the assumption may be granted for now.</w:t>
      </w:r>
    </w:p>
  </w:endnote>
  <w:endnote w:id="58">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See Burnyeat (1992), 17.</w:t>
      </w:r>
    </w:p>
  </w:endnote>
  <w:endnote w:id="59">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22.</w:t>
      </w:r>
    </w:p>
  </w:endnote>
  <w:endnote w:id="60">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23.</w:t>
      </w:r>
    </w:p>
  </w:endnote>
  <w:endnote w:id="61">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This is all the more surprising given Burnyeat’s opposition from early in his career to what he calls ‘the argument from appearances’. See ibid. In its most common form, the argument from appearances infers that some object doesn’t really/inherently/in itself have some property from its not appearing as such to all observers or at all times. A contemporary relic of this is the view that identity and other essential properties must be rigid. Cf. Kripke (1971), esp. fn. 19. For an interesting discussion of rigidity in the semantics of Descartes’ medieval predecessors, see Klima (1999).</w:t>
      </w:r>
    </w:p>
  </w:endnote>
  <w:endnote w:id="62">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19-20.</w:t>
      </w:r>
    </w:p>
  </w:endnote>
  <w:endnote w:id="63">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22. Emphasis mine.</w:t>
      </w:r>
    </w:p>
  </w:endnote>
  <w:endnote w:id="64">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For excellent discussions of Aristotle’s realism about the objects of sense, cf. Broadie (1993); Johansen (1997), 128-135.</w:t>
      </w:r>
    </w:p>
  </w:endnote>
  <w:endnote w:id="65">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Caston (2004), 304-305.</w:t>
      </w:r>
    </w:p>
  </w:endnote>
  <w:endnote w:id="66">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26.</w:t>
      </w:r>
    </w:p>
  </w:endnote>
  <w:endnote w:id="67">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And so Burnyeat’s position itself depends on the dualism he accuses Nussbaum and Putnam of. See Burnyeat (2002), 81.</w:t>
      </w:r>
    </w:p>
  </w:endnote>
  <w:endnote w:id="68">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 xml:space="preserve">Cf. </w:t>
      </w:r>
      <w:r>
        <w:rPr>
          <w:rFonts w:ascii="Baskerville Old Face" w:hAnsi="Baskerville Old Face"/>
          <w:i/>
        </w:rPr>
        <w:t xml:space="preserve">Metaph. </w:t>
      </w:r>
      <w:r>
        <w:rPr>
          <w:rFonts w:ascii="Baskerville Old Face" w:hAnsi="Baskerville Old Face"/>
        </w:rPr>
        <w:t>IX.7, 1049a18-29.</w:t>
      </w:r>
    </w:p>
  </w:endnote>
  <w:endnote w:id="69">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This point is made in Whiting (1992), 79-85. I take it up at greater length in section 3.2.2.</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Baskerville Old Face">
    <w:charset w:val="01"/>
    <w:family w:val="roman"/>
    <w:pitch w:val="variable"/>
  </w:font>
  <w:font w:name="Liberation Sans">
    <w:altName w:val="Arial"/>
    <w:charset w:val="01"/>
    <w:family w:val="swiss"/>
    <w:pitch w:val="variable"/>
  </w:font>
  <w:font w:name="Symbola">
    <w:charset w:val="01"/>
    <w:family w:val="auto"/>
    <w:pitch w:val="variable"/>
  </w:font>
  <w:font w:name="Cambr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endnotePr>
    <w:numFmt w:val="decimal"/>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a2ea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b39d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af0adc"/>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c2090"/>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c2090"/>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8a2ea8"/>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ab39dd"/>
    <w:rPr>
      <w:rFonts w:ascii="Calibri Light" w:hAnsi="Calibri Light" w:eastAsia="" w:cs="" w:asciiTheme="majorHAnsi" w:cstheme="majorBidi" w:eastAsiaTheme="majorEastAsia" w:hAnsiTheme="majorHAnsi"/>
      <w:color w:val="2E74B5" w:themeColor="accent1" w:themeShade="bf"/>
      <w:sz w:val="26"/>
      <w:szCs w:val="26"/>
    </w:rPr>
  </w:style>
  <w:style w:type="character" w:styleId="FootnoteTextChar" w:customStyle="1">
    <w:name w:val="Footnote Text Char"/>
    <w:basedOn w:val="DefaultParagraphFont"/>
    <w:link w:val="FootnoteText"/>
    <w:uiPriority w:val="99"/>
    <w:qFormat/>
    <w:rsid w:val="0044216b"/>
    <w:rPr>
      <w:sz w:val="20"/>
      <w:szCs w:val="20"/>
    </w:rPr>
  </w:style>
  <w:style w:type="character" w:styleId="FootnoteCharacters">
    <w:name w:val="Footnote Characters"/>
    <w:basedOn w:val="DefaultParagraphFont"/>
    <w:uiPriority w:val="99"/>
    <w:semiHidden/>
    <w:unhideWhenUsed/>
    <w:qFormat/>
    <w:rsid w:val="0044216b"/>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unhideWhenUsed/>
    <w:rsid w:val="00c3287e"/>
    <w:rPr>
      <w:color w:val="0563C1" w:themeColor="hyperlink"/>
      <w:u w:val="single"/>
    </w:rPr>
  </w:style>
  <w:style w:type="character" w:styleId="Heading3Char" w:customStyle="1">
    <w:name w:val="Heading 3 Char"/>
    <w:basedOn w:val="DefaultParagraphFont"/>
    <w:link w:val="Heading3"/>
    <w:uiPriority w:val="9"/>
    <w:qFormat/>
    <w:rsid w:val="00af0adc"/>
    <w:rPr>
      <w:rFonts w:ascii="Calibri Light" w:hAnsi="Calibri Light" w:eastAsia="" w:cs="" w:asciiTheme="majorHAnsi" w:cstheme="majorBidi" w:eastAsiaTheme="majorEastAsia" w:hAnsiTheme="majorHAnsi"/>
      <w:color w:val="1F4D78" w:themeColor="accent1" w:themeShade="7f"/>
      <w:sz w:val="24"/>
      <w:szCs w:val="24"/>
    </w:rPr>
  </w:style>
  <w:style w:type="character" w:styleId="EndnoteTextChar" w:customStyle="1">
    <w:name w:val="Endnote Text Char"/>
    <w:basedOn w:val="DefaultParagraphFont"/>
    <w:link w:val="EndnoteText"/>
    <w:uiPriority w:val="99"/>
    <w:semiHidden/>
    <w:qFormat/>
    <w:rsid w:val="00170f7b"/>
    <w:rPr>
      <w:sz w:val="20"/>
      <w:szCs w:val="20"/>
    </w:rPr>
  </w:style>
  <w:style w:type="character" w:styleId="EndnoteCharacters">
    <w:name w:val="Endnote Characters"/>
    <w:basedOn w:val="DefaultParagraphFont"/>
    <w:uiPriority w:val="99"/>
    <w:semiHidden/>
    <w:unhideWhenUsed/>
    <w:qFormat/>
    <w:rsid w:val="00170f7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9e7153"/>
    <w:rPr>
      <w:sz w:val="16"/>
      <w:szCs w:val="16"/>
    </w:rPr>
  </w:style>
  <w:style w:type="character" w:styleId="CommentTextChar" w:customStyle="1">
    <w:name w:val="Comment Text Char"/>
    <w:basedOn w:val="DefaultParagraphFont"/>
    <w:link w:val="CommentText"/>
    <w:uiPriority w:val="99"/>
    <w:semiHidden/>
    <w:qFormat/>
    <w:rsid w:val="009e7153"/>
    <w:rPr>
      <w:sz w:val="20"/>
      <w:szCs w:val="20"/>
    </w:rPr>
  </w:style>
  <w:style w:type="character" w:styleId="CommentSubjectChar" w:customStyle="1">
    <w:name w:val="Comment Subject Char"/>
    <w:basedOn w:val="CommentTextChar"/>
    <w:link w:val="CommentSubject"/>
    <w:uiPriority w:val="99"/>
    <w:semiHidden/>
    <w:qFormat/>
    <w:rsid w:val="009e7153"/>
    <w:rPr>
      <w:b/>
      <w:bCs/>
      <w:sz w:val="20"/>
      <w:szCs w:val="20"/>
    </w:rPr>
  </w:style>
  <w:style w:type="character" w:styleId="BalloonTextChar" w:customStyle="1">
    <w:name w:val="Balloon Text Char"/>
    <w:basedOn w:val="DefaultParagraphFont"/>
    <w:link w:val="BalloonText"/>
    <w:uiPriority w:val="99"/>
    <w:semiHidden/>
    <w:qFormat/>
    <w:rsid w:val="009e7153"/>
    <w:rPr>
      <w:rFonts w:ascii="Segoe UI" w:hAnsi="Segoe UI" w:cs="Segoe UI"/>
      <w:sz w:val="18"/>
      <w:szCs w:val="18"/>
    </w:rPr>
  </w:style>
  <w:style w:type="character" w:styleId="ListLabel1">
    <w:name w:val="ListLabel 1"/>
    <w:qFormat/>
    <w:rPr>
      <w:rFonts w:ascii="Baskerville Old Face" w:hAnsi="Baskerville Old Fac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47102"/>
    <w:pPr>
      <w:spacing w:before="0" w:after="160"/>
      <w:ind w:left="720" w:hanging="0"/>
      <w:contextualSpacing/>
    </w:pPr>
    <w:rPr/>
  </w:style>
  <w:style w:type="paragraph" w:styleId="Title">
    <w:name w:val="Title"/>
    <w:basedOn w:val="Normal"/>
    <w:next w:val="Normal"/>
    <w:link w:val="TitleChar"/>
    <w:uiPriority w:val="10"/>
    <w:qFormat/>
    <w:rsid w:val="00ec209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c2090"/>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44216b"/>
    <w:pPr>
      <w:spacing w:lineRule="auto" w:line="240" w:before="0" w:after="0"/>
    </w:pPr>
    <w:rPr>
      <w:sz w:val="20"/>
      <w:szCs w:val="20"/>
    </w:rPr>
  </w:style>
  <w:style w:type="paragraph" w:styleId="Endnote">
    <w:name w:val="Endnote Text"/>
    <w:basedOn w:val="Normal"/>
    <w:link w:val="EndnoteTextChar"/>
    <w:uiPriority w:val="99"/>
    <w:semiHidden/>
    <w:unhideWhenUsed/>
    <w:rsid w:val="00170f7b"/>
    <w:pPr>
      <w:spacing w:lineRule="auto" w:line="240" w:before="0" w:after="0"/>
    </w:pPr>
    <w:rPr>
      <w:sz w:val="20"/>
      <w:szCs w:val="20"/>
    </w:rPr>
  </w:style>
  <w:style w:type="paragraph" w:styleId="Annotationtext">
    <w:name w:val="annotation text"/>
    <w:basedOn w:val="Normal"/>
    <w:link w:val="CommentTextChar"/>
    <w:uiPriority w:val="99"/>
    <w:semiHidden/>
    <w:unhideWhenUsed/>
    <w:qFormat/>
    <w:rsid w:val="009e715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e7153"/>
    <w:pPr/>
    <w:rPr>
      <w:b/>
      <w:bCs/>
    </w:rPr>
  </w:style>
  <w:style w:type="paragraph" w:styleId="BalloonText">
    <w:name w:val="Balloon Text"/>
    <w:basedOn w:val="Normal"/>
    <w:link w:val="BalloonTextChar"/>
    <w:uiPriority w:val="99"/>
    <w:semiHidden/>
    <w:unhideWhenUsed/>
    <w:qFormat/>
    <w:rsid w:val="009e715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649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rpusthomisticum.org/cme1.html" TargetMode="External"/><Relationship Id="rId3" Type="http://schemas.openxmlformats.org/officeDocument/2006/relationships/endnotes" Target="end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13CF1-819E-49AD-9CF9-1C57EA41D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3678</TotalTime>
  <Application>LibreOffice/6.1.5.2$Linux_X86_64 LibreOffice_project/10$Build-2</Application>
  <Pages>24</Pages>
  <Words>8076</Words>
  <Characters>42444</Characters>
  <CharactersWithSpaces>50361</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2015-08-11T17:49:00Z</dcterms:created>
  <dc:creator>Jacob</dc:creator>
  <dc:description/>
  <dc:language>en-US</dc:language>
  <cp:lastModifiedBy/>
  <cp:lastPrinted>2015-08-12T19:47:00Z</cp:lastPrinted>
  <dcterms:modified xsi:type="dcterms:W3CDTF">2019-04-19T15:23:44Z</dcterms:modified>
  <cp:revision>464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