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3C" w:rsidRPr="0009173C" w:rsidRDefault="0009173C" w:rsidP="0009173C">
      <w:pPr>
        <w:pStyle w:val="Title"/>
      </w:pPr>
      <w:proofErr w:type="spellStart"/>
      <w:r w:rsidRPr="0009173C">
        <w:rPr>
          <w:i/>
        </w:rPr>
        <w:t>Agnosia</w:t>
      </w:r>
      <w:proofErr w:type="spellEnd"/>
      <w:r w:rsidRPr="0009173C">
        <w:rPr>
          <w:i/>
        </w:rPr>
        <w:t xml:space="preserve"> </w:t>
      </w:r>
      <w:r w:rsidRPr="0009173C">
        <w:t>and</w:t>
      </w:r>
      <w:r w:rsidRPr="0009173C">
        <w:rPr>
          <w:i/>
        </w:rPr>
        <w:t xml:space="preserve"> </w:t>
      </w:r>
      <w:proofErr w:type="spellStart"/>
      <w:r w:rsidRPr="0009173C">
        <w:rPr>
          <w:i/>
        </w:rPr>
        <w:t>Henosis</w:t>
      </w:r>
      <w:proofErr w:type="spellEnd"/>
      <w:r>
        <w:t xml:space="preserve"> in Pseudo-Dionysius the </w:t>
      </w:r>
      <w:proofErr w:type="spellStart"/>
      <w:r>
        <w:t>Areopagite</w:t>
      </w:r>
      <w:proofErr w:type="spellEnd"/>
    </w:p>
    <w:p w:rsidR="0009173C" w:rsidRDefault="0009173C" w:rsidP="0009173C">
      <w:pPr>
        <w:pStyle w:val="Heading1"/>
      </w:pPr>
      <w:r>
        <w:t>Abstract</w:t>
      </w:r>
    </w:p>
    <w:p w:rsidR="0009173C" w:rsidRDefault="0009173C" w:rsidP="0009173C">
      <w:pPr>
        <w:spacing w:line="480" w:lineRule="auto"/>
        <w:jc w:val="both"/>
      </w:pPr>
      <w:r>
        <w:tab/>
        <w:t xml:space="preserve">Though </w:t>
      </w:r>
      <w:proofErr w:type="gramStart"/>
      <w:r>
        <w:t xml:space="preserve">the </w:t>
      </w:r>
      <w:r>
        <w:rPr>
          <w:i/>
        </w:rPr>
        <w:t>via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negativa</w:t>
      </w:r>
      <w:proofErr w:type="spellEnd"/>
      <w:r>
        <w:rPr>
          <w:i/>
        </w:rPr>
        <w:t xml:space="preserve"> </w:t>
      </w:r>
      <w:r>
        <w:t xml:space="preserve">has roots in both Platonic and Christian traditions before Dionysius, it is Dionysius that gives us the most familiar treatment of the subject in his </w:t>
      </w:r>
      <w:r>
        <w:rPr>
          <w:i/>
          <w:iCs/>
        </w:rPr>
        <w:t>Mystical Theology.</w:t>
      </w:r>
      <w:r>
        <w:t xml:space="preserve"> </w:t>
      </w:r>
      <w:r w:rsidR="00EA39EE">
        <w:t xml:space="preserve">According to </w:t>
      </w:r>
      <w:r>
        <w:t xml:space="preserve">one </w:t>
      </w:r>
      <w:r w:rsidR="00EA39EE">
        <w:t>standard interpretation</w:t>
      </w:r>
      <w:r>
        <w:t xml:space="preserve"> of </w:t>
      </w:r>
      <w:proofErr w:type="gramStart"/>
      <w:r>
        <w:t xml:space="preserve">the </w:t>
      </w:r>
      <w:r>
        <w:rPr>
          <w:i/>
        </w:rPr>
        <w:t>via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negativa</w:t>
      </w:r>
      <w:proofErr w:type="spellEnd"/>
      <w:r w:rsidR="00EA39EE">
        <w:t>, “the role of negation is first and foremost a corrective measure against any anthropomorphic and even intellectual representations” of God.</w:t>
      </w:r>
      <w:r w:rsidR="00EA39EE">
        <w:rPr>
          <w:rStyle w:val="EndnoteReference"/>
        </w:rPr>
        <w:endnoteReference w:id="1"/>
      </w:r>
      <w:r>
        <w:t xml:space="preserve"> </w:t>
      </w:r>
    </w:p>
    <w:p w:rsidR="000250B0" w:rsidRDefault="0009173C" w:rsidP="00B64224">
      <w:pPr>
        <w:spacing w:line="480" w:lineRule="auto"/>
        <w:jc w:val="both"/>
      </w:pPr>
      <w:r>
        <w:tab/>
        <w:t>W</w:t>
      </w:r>
      <w:r>
        <w:t>hile serving as a bulwark against idolatry is certainly importan</w:t>
      </w:r>
      <w:r>
        <w:t>t, it is, I contend, secondary.</w:t>
      </w:r>
      <w:r>
        <w:t xml:space="preserve"> </w:t>
      </w:r>
      <w:r w:rsidR="00EA39EE">
        <w:t xml:space="preserve">In this essay, I intend to explore the role that the Greek concept of </w:t>
      </w:r>
      <w:proofErr w:type="spellStart"/>
      <w:r w:rsidR="00EA39EE">
        <w:rPr>
          <w:i/>
          <w:iCs/>
        </w:rPr>
        <w:t>henosis</w:t>
      </w:r>
      <w:proofErr w:type="spellEnd"/>
      <w:r w:rsidR="00B64224">
        <w:rPr>
          <w:iCs/>
        </w:rPr>
        <w:t>, or union,</w:t>
      </w:r>
      <w:r w:rsidR="00EA39EE">
        <w:t xml:space="preserve"> plays in Dionysius’ writings, and specifically, how it relates to unknowing and </w:t>
      </w:r>
      <w:proofErr w:type="gramStart"/>
      <w:r w:rsidR="00EA39EE">
        <w:t xml:space="preserve">the </w:t>
      </w:r>
      <w:r w:rsidR="00EA39EE">
        <w:rPr>
          <w:i/>
          <w:iCs/>
        </w:rPr>
        <w:t>via</w:t>
      </w:r>
      <w:proofErr w:type="gramEnd"/>
      <w:r w:rsidR="00EA39EE">
        <w:rPr>
          <w:i/>
          <w:iCs/>
        </w:rPr>
        <w:t xml:space="preserve"> </w:t>
      </w:r>
      <w:proofErr w:type="spellStart"/>
      <w:r>
        <w:rPr>
          <w:i/>
          <w:iCs/>
        </w:rPr>
        <w:t>negativa</w:t>
      </w:r>
      <w:proofErr w:type="spellEnd"/>
      <w:r>
        <w:t xml:space="preserve">. </w:t>
      </w:r>
      <w:r w:rsidR="00657D37">
        <w:t>I show that f</w:t>
      </w:r>
      <w:r>
        <w:t>or Pseudo</w:t>
      </w:r>
      <w:r w:rsidR="00657D37">
        <w:t>-Dionysius</w:t>
      </w:r>
      <w:r>
        <w:t xml:space="preserve">, </w:t>
      </w:r>
      <w:proofErr w:type="spellStart"/>
      <w:r w:rsidR="00B64224">
        <w:rPr>
          <w:i/>
        </w:rPr>
        <w:t>agnosia</w:t>
      </w:r>
      <w:proofErr w:type="spellEnd"/>
      <w:r w:rsidR="00B64224">
        <w:t xml:space="preserve">, or unknowing, is itself a mode of </w:t>
      </w:r>
      <w:proofErr w:type="spellStart"/>
      <w:r w:rsidR="00657D37">
        <w:rPr>
          <w:i/>
          <w:iCs/>
        </w:rPr>
        <w:t>henosis</w:t>
      </w:r>
      <w:proofErr w:type="spellEnd"/>
      <w:r>
        <w:t xml:space="preserve">. </w:t>
      </w:r>
      <w:r w:rsidR="00B64224">
        <w:t xml:space="preserve">In accordance with principles governing perception </w:t>
      </w:r>
      <w:r w:rsidR="00BC667A">
        <w:t xml:space="preserve">and intellection </w:t>
      </w:r>
      <w:r w:rsidR="00B64224">
        <w:t xml:space="preserve">more broadly in Greek thought, that which perceives must be distinct from its object. </w:t>
      </w:r>
      <w:r w:rsidR="00657D37">
        <w:t xml:space="preserve">From this perspective, I show that the reason God is unknown in </w:t>
      </w:r>
      <w:proofErr w:type="spellStart"/>
      <w:r w:rsidR="00657D37">
        <w:rPr>
          <w:i/>
        </w:rPr>
        <w:t>agnosia</w:t>
      </w:r>
      <w:proofErr w:type="spellEnd"/>
      <w:r w:rsidR="00657D37">
        <w:rPr>
          <w:i/>
        </w:rPr>
        <w:t xml:space="preserve"> </w:t>
      </w:r>
      <w:r w:rsidR="00657D37">
        <w:t xml:space="preserve">is </w:t>
      </w:r>
      <w:r w:rsidR="00B64224">
        <w:t xml:space="preserve">not on account of distance, </w:t>
      </w:r>
      <w:r w:rsidR="00657D37">
        <w:t xml:space="preserve">or even on account of a defect in the strength of our intellectual faculties. Rather, it is on account of a defect in the nature of </w:t>
      </w:r>
      <w:r w:rsidR="003D7E54">
        <w:t xml:space="preserve">Intellection </w:t>
      </w:r>
      <w:r w:rsidR="00657D37">
        <w:t xml:space="preserve">itself: </w:t>
      </w:r>
      <w:r w:rsidR="003D7E54">
        <w:t xml:space="preserve">Intellection </w:t>
      </w:r>
      <w:r w:rsidR="00657D37">
        <w:t xml:space="preserve">presupposes difference, and thus is unable to serve </w:t>
      </w:r>
      <w:r w:rsidR="00333BF4">
        <w:t xml:space="preserve">as an appropriate medium for kind of </w:t>
      </w:r>
      <w:r w:rsidR="00657D37">
        <w:t>unification with God</w:t>
      </w:r>
      <w:r w:rsidR="00333BF4">
        <w:t xml:space="preserve"> that </w:t>
      </w:r>
      <w:proofErr w:type="spellStart"/>
      <w:r w:rsidR="00333BF4">
        <w:rPr>
          <w:i/>
        </w:rPr>
        <w:t>agnosia</w:t>
      </w:r>
      <w:proofErr w:type="spellEnd"/>
      <w:r w:rsidR="00333BF4">
        <w:rPr>
          <w:i/>
        </w:rPr>
        <w:t xml:space="preserve"> </w:t>
      </w:r>
      <w:r w:rsidR="00333BF4">
        <w:t>describes</w:t>
      </w:r>
      <w:r w:rsidR="00657D37">
        <w:t xml:space="preserve">. </w:t>
      </w:r>
      <w:bookmarkStart w:id="0" w:name="_GoBack"/>
      <w:bookmarkEnd w:id="0"/>
    </w:p>
    <w:sectPr w:rsidR="000250B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DD1" w:rsidRDefault="00D07DD1" w:rsidP="00EA39EE">
      <w:r>
        <w:separator/>
      </w:r>
    </w:p>
  </w:endnote>
  <w:endnote w:type="continuationSeparator" w:id="0">
    <w:p w:rsidR="00D07DD1" w:rsidRDefault="00D07DD1" w:rsidP="00EA39EE">
      <w:r>
        <w:continuationSeparator/>
      </w:r>
    </w:p>
  </w:endnote>
  <w:endnote w:id="1">
    <w:p w:rsidR="00EA39EE" w:rsidRDefault="00EA39EE" w:rsidP="00EA39EE">
      <w:pPr>
        <w:pStyle w:val="EndnoteText"/>
      </w:pPr>
      <w:r>
        <w:rPr>
          <w:rStyle w:val="EndnoteReference"/>
        </w:rPr>
        <w:endnoteRef/>
      </w:r>
      <w:r>
        <w:t xml:space="preserve"> Deirdre </w:t>
      </w:r>
      <w:proofErr w:type="spellStart"/>
      <w:r>
        <w:t>Carabine</w:t>
      </w:r>
      <w:proofErr w:type="spellEnd"/>
      <w:r>
        <w:t xml:space="preserve">, </w:t>
      </w:r>
      <w:r>
        <w:rPr>
          <w:i/>
          <w:iCs/>
        </w:rPr>
        <w:t>The unknown God</w:t>
      </w:r>
      <w:r>
        <w:t>, (Louvain:  W.B. Eerdmans, 1995) 292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DD1" w:rsidRDefault="00D07DD1" w:rsidP="00EA39EE">
      <w:r>
        <w:separator/>
      </w:r>
    </w:p>
  </w:footnote>
  <w:footnote w:type="continuationSeparator" w:id="0">
    <w:p w:rsidR="00D07DD1" w:rsidRDefault="00D07DD1" w:rsidP="00EA3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EE" w:rsidRDefault="00EA39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EA39EE" w:rsidRDefault="00EA39E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EE" w:rsidRDefault="00EA39EE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EE"/>
    <w:rsid w:val="000250B0"/>
    <w:rsid w:val="0009173C"/>
    <w:rsid w:val="00333BF4"/>
    <w:rsid w:val="003D7E54"/>
    <w:rsid w:val="00657D37"/>
    <w:rsid w:val="00934BD2"/>
    <w:rsid w:val="00B64224"/>
    <w:rsid w:val="00BC667A"/>
    <w:rsid w:val="00D07DD1"/>
    <w:rsid w:val="00E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69876-4F64-429F-970B-DED9E744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7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EA39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A39E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rsid w:val="00EA39EE"/>
    <w:rPr>
      <w:vertAlign w:val="superscript"/>
    </w:rPr>
  </w:style>
  <w:style w:type="paragraph" w:styleId="Subtitle">
    <w:name w:val="Subtitle"/>
    <w:basedOn w:val="Normal"/>
    <w:link w:val="SubtitleChar"/>
    <w:qFormat/>
    <w:rsid w:val="00EA39EE"/>
    <w:pPr>
      <w:spacing w:line="480" w:lineRule="auto"/>
      <w:ind w:left="720"/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A39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EA3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39E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A39EE"/>
  </w:style>
  <w:style w:type="character" w:customStyle="1" w:styleId="Heading1Char">
    <w:name w:val="Heading 1 Char"/>
    <w:basedOn w:val="DefaultParagraphFont"/>
    <w:link w:val="Heading1"/>
    <w:uiPriority w:val="9"/>
    <w:rsid w:val="00091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7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5</cp:revision>
  <dcterms:created xsi:type="dcterms:W3CDTF">2014-07-17T12:57:00Z</dcterms:created>
  <dcterms:modified xsi:type="dcterms:W3CDTF">2014-07-17T13:37:00Z</dcterms:modified>
</cp:coreProperties>
</file>