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54" w:rsidRDefault="007227D6" w:rsidP="002E5154">
      <w:pPr>
        <w:pStyle w:val="Title"/>
        <w:jc w:val="both"/>
        <w:rPr>
          <w:i/>
        </w:rPr>
      </w:pPr>
      <w:r>
        <w:t xml:space="preserve">Consequence and </w:t>
      </w:r>
      <w:r w:rsidR="00460BAA">
        <w:t>proportionality</w:t>
      </w:r>
      <w:r>
        <w:t xml:space="preserve"> in </w:t>
      </w:r>
      <w:r w:rsidR="00476818">
        <w:t>Boethius’</w:t>
      </w:r>
      <w:r>
        <w:t xml:space="preserve"> </w:t>
      </w:r>
      <w:r>
        <w:rPr>
          <w:i/>
        </w:rPr>
        <w:t xml:space="preserve">De </w:t>
      </w:r>
      <w:proofErr w:type="spellStart"/>
      <w:r>
        <w:rPr>
          <w:i/>
        </w:rPr>
        <w:t>Differentiis</w:t>
      </w:r>
      <w:proofErr w:type="spellEnd"/>
      <w:r w:rsidR="006944D4">
        <w:rPr>
          <w:i/>
        </w:rPr>
        <w:t xml:space="preserve"> </w:t>
      </w:r>
      <w:proofErr w:type="spellStart"/>
      <w:r w:rsidR="006944D4">
        <w:rPr>
          <w:i/>
        </w:rPr>
        <w:t>Topicis</w:t>
      </w:r>
      <w:proofErr w:type="spellEnd"/>
    </w:p>
    <w:p w:rsidR="002E5154" w:rsidRDefault="002E5154" w:rsidP="002E5154">
      <w:pPr>
        <w:pStyle w:val="Subtitle"/>
        <w:rPr>
          <w:rStyle w:val="SubtleEmphasis"/>
        </w:rPr>
      </w:pPr>
      <w:r>
        <w:t>Jacob Archambault</w:t>
      </w:r>
    </w:p>
    <w:p w:rsidR="002E5154" w:rsidRPr="002E5154" w:rsidRDefault="002E5154" w:rsidP="002E5154">
      <w:pPr>
        <w:rPr>
          <w:rStyle w:val="SubtleEmphasis"/>
        </w:rPr>
      </w:pPr>
      <w:r>
        <w:rPr>
          <w:rStyle w:val="SubtleEmphasis"/>
        </w:rPr>
        <w:t xml:space="preserve">Fordham University, Dept. of Philosophy </w:t>
      </w:r>
    </w:p>
    <w:p w:rsidR="007C37F2" w:rsidRDefault="007C37F2" w:rsidP="00226549">
      <w:pPr>
        <w:pStyle w:val="Heading1"/>
        <w:jc w:val="both"/>
      </w:pPr>
      <w:r>
        <w:t>Abstract</w:t>
      </w:r>
    </w:p>
    <w:p w:rsidR="007C37F2" w:rsidRDefault="007C37F2" w:rsidP="00226549">
      <w:pPr>
        <w:jc w:val="both"/>
      </w:pPr>
      <w:r>
        <w:t xml:space="preserve">This paper represents the first part of a larger project, inquiring into the origins of </w:t>
      </w:r>
      <w:r w:rsidR="008432FF">
        <w:t xml:space="preserve">the </w:t>
      </w:r>
      <w:r>
        <w:t xml:space="preserve">notion of </w:t>
      </w:r>
      <w:r w:rsidR="00B46BE2">
        <w:t xml:space="preserve">formal </w:t>
      </w:r>
      <w:r>
        <w:t xml:space="preserve">consequence </w:t>
      </w:r>
      <w:r w:rsidR="00B46BE2">
        <w:t xml:space="preserve">developed in </w:t>
      </w:r>
      <w:r>
        <w:t>the Medieval Parisian tradition</w:t>
      </w:r>
      <w:r w:rsidR="00B172BD">
        <w:t xml:space="preserve">, and culminating in the work of arts master John </w:t>
      </w:r>
      <w:proofErr w:type="spellStart"/>
      <w:r w:rsidR="00B172BD">
        <w:t>Buridan</w:t>
      </w:r>
      <w:proofErr w:type="spellEnd"/>
      <w:r w:rsidR="00B46BE2">
        <w:t xml:space="preserve">. </w:t>
      </w:r>
      <w:r w:rsidR="008432FF">
        <w:t>That such a project should start with Boethius</w:t>
      </w:r>
      <w:r w:rsidR="006944D4">
        <w:t xml:space="preserve">’ </w:t>
      </w:r>
      <w:r w:rsidR="006944D4">
        <w:rPr>
          <w:i/>
        </w:rPr>
        <w:t>DDT</w:t>
      </w:r>
      <w:r w:rsidR="008432FF">
        <w:t xml:space="preserve"> witnesses not to a broad chronological scope, but to a rather limited one: </w:t>
      </w:r>
      <w:r w:rsidR="00843E8E">
        <w:t>that of the late</w:t>
      </w:r>
      <w:r w:rsidR="00BC7758">
        <w:t>r</w:t>
      </w:r>
      <w:r w:rsidR="00843E8E">
        <w:t xml:space="preserve"> </w:t>
      </w:r>
      <w:r w:rsidR="008432FF">
        <w:t>13</w:t>
      </w:r>
      <w:r w:rsidR="008432FF" w:rsidRPr="008432FF">
        <w:rPr>
          <w:vertAlign w:val="superscript"/>
        </w:rPr>
        <w:t>th</w:t>
      </w:r>
      <w:r w:rsidR="008432FF">
        <w:t xml:space="preserve"> into the 14</w:t>
      </w:r>
      <w:r w:rsidR="008432FF" w:rsidRPr="008432FF">
        <w:rPr>
          <w:vertAlign w:val="superscript"/>
        </w:rPr>
        <w:t>th</w:t>
      </w:r>
      <w:r w:rsidR="00843E8E">
        <w:t xml:space="preserve"> century, during which time </w:t>
      </w:r>
      <w:r w:rsidR="006944D4">
        <w:t xml:space="preserve">the </w:t>
      </w:r>
      <w:r w:rsidR="00843E8E">
        <w:t xml:space="preserve">treatise was one of only three original Latin works </w:t>
      </w:r>
      <w:r w:rsidR="006944D4">
        <w:t xml:space="preserve">in </w:t>
      </w:r>
      <w:r w:rsidR="00843E8E">
        <w:t xml:space="preserve">the </w:t>
      </w:r>
      <w:r w:rsidR="006944D4">
        <w:t xml:space="preserve">curriculum of the </w:t>
      </w:r>
      <w:proofErr w:type="spellStart"/>
      <w:r w:rsidR="00843E8E">
        <w:rPr>
          <w:i/>
        </w:rPr>
        <w:t>logica</w:t>
      </w:r>
      <w:proofErr w:type="spellEnd"/>
      <w:r w:rsidR="00843E8E">
        <w:rPr>
          <w:i/>
        </w:rPr>
        <w:t xml:space="preserve"> </w:t>
      </w:r>
      <w:proofErr w:type="spellStart"/>
      <w:r w:rsidR="00843E8E">
        <w:rPr>
          <w:i/>
        </w:rPr>
        <w:t>antiqua</w:t>
      </w:r>
      <w:proofErr w:type="spellEnd"/>
      <w:r w:rsidR="006944D4">
        <w:t>,</w:t>
      </w:r>
      <w:r w:rsidR="00843E8E">
        <w:rPr>
          <w:rStyle w:val="FootnoteReference"/>
        </w:rPr>
        <w:footnoteReference w:id="1"/>
      </w:r>
      <w:r w:rsidR="006944D4">
        <w:t xml:space="preserve"> and the one most clearly concerned with rules of inference.</w:t>
      </w:r>
      <w:r w:rsidR="00AC23FF">
        <w:rPr>
          <w:rStyle w:val="FootnoteReference"/>
        </w:rPr>
        <w:footnoteReference w:id="2"/>
      </w:r>
    </w:p>
    <w:p w:rsidR="009A654E" w:rsidRDefault="004620EA" w:rsidP="00226549">
      <w:pPr>
        <w:jc w:val="both"/>
      </w:pPr>
      <w:r>
        <w:t xml:space="preserve">Boethius’ treatise addresses proportionality in two senses, one broader and one more restricted. </w:t>
      </w:r>
      <w:r w:rsidR="009F5D40">
        <w:t xml:space="preserve">In the more restricted sense, it is </w:t>
      </w:r>
      <w:r w:rsidR="005B34A7" w:rsidRPr="008F597C">
        <w:rPr>
          <w:i/>
        </w:rPr>
        <w:t>part</w:t>
      </w:r>
      <w:r w:rsidR="005B34A7">
        <w:t xml:space="preserve"> of the treatment of co</w:t>
      </w:r>
      <w:r w:rsidR="008F597C">
        <w:t>nsequence given in the treatise –</w:t>
      </w:r>
      <w:r w:rsidR="005B34A7">
        <w:t xml:space="preserve"> that concerned with</w:t>
      </w:r>
      <w:r w:rsidR="009F5D40">
        <w:t xml:space="preserve"> </w:t>
      </w:r>
      <w:r w:rsidR="008F597C">
        <w:t xml:space="preserve">the </w:t>
      </w:r>
      <w:proofErr w:type="spellStart"/>
      <w:r w:rsidR="009F5D40">
        <w:t>Themistian</w:t>
      </w:r>
      <w:proofErr w:type="spellEnd"/>
      <w:r w:rsidR="009F5D40">
        <w:t xml:space="preserve"> topic </w:t>
      </w:r>
      <w:r w:rsidR="009F5D40">
        <w:rPr>
          <w:i/>
        </w:rPr>
        <w:t xml:space="preserve">a </w:t>
      </w:r>
      <w:proofErr w:type="spellStart"/>
      <w:r w:rsidR="009F5D40">
        <w:rPr>
          <w:i/>
        </w:rPr>
        <w:t>proportione</w:t>
      </w:r>
      <w:proofErr w:type="spellEnd"/>
      <w:r w:rsidR="008F597C">
        <w:t>.</w:t>
      </w:r>
      <w:r w:rsidR="008F597C">
        <w:rPr>
          <w:rStyle w:val="FootnoteReference"/>
        </w:rPr>
        <w:footnoteReference w:id="3"/>
      </w:r>
      <w:r w:rsidR="008F597C">
        <w:t xml:space="preserve"> </w:t>
      </w:r>
      <w:r w:rsidR="005B34A7">
        <w:t xml:space="preserve">In the broader sense, </w:t>
      </w:r>
      <w:r w:rsidR="00AC23FF">
        <w:t xml:space="preserve">though, proportionality </w:t>
      </w:r>
      <w:r w:rsidR="005B34A7">
        <w:t>governs the treatme</w:t>
      </w:r>
      <w:r w:rsidR="00E77033">
        <w:t xml:space="preserve">nt of inference in its entirety: </w:t>
      </w:r>
      <w:r w:rsidR="00240978" w:rsidRPr="00E77033">
        <w:rPr>
          <w:i/>
        </w:rPr>
        <w:t>every</w:t>
      </w:r>
      <w:r w:rsidR="00240978">
        <w:t xml:space="preserve"> valid conditional holds by virtue of a topic</w:t>
      </w:r>
      <w:r w:rsidR="00E77033">
        <w:t xml:space="preserve">, which is itself a proportional relation between the </w:t>
      </w:r>
      <w:proofErr w:type="spellStart"/>
      <w:r w:rsidR="00936EBB">
        <w:rPr>
          <w:i/>
        </w:rPr>
        <w:t>significata</w:t>
      </w:r>
      <w:proofErr w:type="spellEnd"/>
      <w:r w:rsidR="00E77033">
        <w:rPr>
          <w:i/>
        </w:rPr>
        <w:t xml:space="preserve"> </w:t>
      </w:r>
      <w:r w:rsidR="00E77033">
        <w:t>of the terms of the antecedent and consequent – e.g. cause-effect, part-whole, etc</w:t>
      </w:r>
      <w:r w:rsidR="00240978">
        <w:t>.</w:t>
      </w:r>
      <w:r w:rsidR="007D2494">
        <w:t xml:space="preserve"> set</w:t>
      </w:r>
    </w:p>
    <w:p w:rsidR="005B34A7" w:rsidRDefault="005B34A7" w:rsidP="00226549">
      <w:pPr>
        <w:jc w:val="both"/>
      </w:pPr>
      <w:r>
        <w:t xml:space="preserve">Taking </w:t>
      </w:r>
      <w:proofErr w:type="spellStart"/>
      <w:r>
        <w:t>Buridan’s</w:t>
      </w:r>
      <w:proofErr w:type="spellEnd"/>
      <w:r>
        <w:t xml:space="preserve"> </w:t>
      </w:r>
      <w:proofErr w:type="spellStart"/>
      <w:r>
        <w:rPr>
          <w:i/>
        </w:rPr>
        <w:t>Tractatus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Consequentiis</w:t>
      </w:r>
      <w:proofErr w:type="spellEnd"/>
      <w:r>
        <w:rPr>
          <w:i/>
        </w:rPr>
        <w:t xml:space="preserve"> </w:t>
      </w:r>
      <w:r>
        <w:t>as a foil, this paper shows the following</w:t>
      </w:r>
      <w:r w:rsidR="00211B8F">
        <w:t xml:space="preserve">: </w:t>
      </w:r>
    </w:p>
    <w:p w:rsidR="00211B8F" w:rsidRDefault="00131A64" w:rsidP="00211B8F">
      <w:pPr>
        <w:pStyle w:val="ListParagraph"/>
        <w:numPr>
          <w:ilvl w:val="0"/>
          <w:numId w:val="3"/>
        </w:numPr>
        <w:jc w:val="both"/>
      </w:pPr>
      <w:r>
        <w:t>That</w:t>
      </w:r>
      <w:r w:rsidR="00211B8F">
        <w:t xml:space="preserve"> for Boethius, Topics form a framework for the discussion of conditionals in their entirety</w:t>
      </w:r>
      <w:r>
        <w:t>;</w:t>
      </w:r>
      <w:r w:rsidR="00211B8F">
        <w:t xml:space="preserve"> </w:t>
      </w:r>
    </w:p>
    <w:p w:rsidR="00211B8F" w:rsidRDefault="00211B8F" w:rsidP="00211B8F">
      <w:pPr>
        <w:pStyle w:val="ListParagraph"/>
        <w:numPr>
          <w:ilvl w:val="0"/>
          <w:numId w:val="3"/>
        </w:numPr>
        <w:jc w:val="both"/>
      </w:pPr>
      <w:r>
        <w:t>That this framework</w:t>
      </w:r>
      <w:r w:rsidR="00131A64">
        <w:t xml:space="preserve"> is essentially </w:t>
      </w:r>
      <w:r w:rsidR="00131A64">
        <w:rPr>
          <w:i/>
        </w:rPr>
        <w:t>term</w:t>
      </w:r>
      <w:r w:rsidR="00131A64">
        <w:t xml:space="preserve">-based, rather than </w:t>
      </w:r>
      <w:r w:rsidR="00131A64" w:rsidRPr="00131A64">
        <w:t>proposition</w:t>
      </w:r>
      <w:r w:rsidR="00131A64">
        <w:t>-based;</w:t>
      </w:r>
    </w:p>
    <w:p w:rsidR="00131A64" w:rsidRDefault="00131A64" w:rsidP="00211B8F">
      <w:pPr>
        <w:pStyle w:val="ListParagraph"/>
        <w:numPr>
          <w:ilvl w:val="0"/>
          <w:numId w:val="3"/>
        </w:numPr>
        <w:jc w:val="both"/>
      </w:pPr>
      <w:r>
        <w:t xml:space="preserve">That </w:t>
      </w:r>
      <w:r>
        <w:rPr>
          <w:i/>
        </w:rPr>
        <w:t xml:space="preserve">because </w:t>
      </w:r>
      <w:r>
        <w:t>it is term-based</w:t>
      </w:r>
      <w:r w:rsidR="00C33400">
        <w:t>,</w:t>
      </w:r>
      <w:r>
        <w:t xml:space="preserve"> Boethius’ treatment of conditional sentences aims to provide an exhaustive schema capturing not only </w:t>
      </w:r>
      <w:r>
        <w:rPr>
          <w:i/>
        </w:rPr>
        <w:t xml:space="preserve">which </w:t>
      </w:r>
      <w:r>
        <w:t xml:space="preserve">inferences are valid, but </w:t>
      </w:r>
      <w:r>
        <w:rPr>
          <w:i/>
        </w:rPr>
        <w:t xml:space="preserve">why </w:t>
      </w:r>
      <w:r>
        <w:t xml:space="preserve">they are: consequents follow from their antecedents by virtue of their </w:t>
      </w:r>
      <w:proofErr w:type="spellStart"/>
      <w:r>
        <w:rPr>
          <w:i/>
        </w:rPr>
        <w:t>significata</w:t>
      </w:r>
      <w:proofErr w:type="spellEnd"/>
      <w:r>
        <w:rPr>
          <w:i/>
        </w:rPr>
        <w:t xml:space="preserve"> </w:t>
      </w:r>
      <w:r>
        <w:t>being in certain topical relations to what the term</w:t>
      </w:r>
      <w:r w:rsidR="009C46D9">
        <w:t xml:space="preserve">s of the antecedent denote; </w:t>
      </w:r>
    </w:p>
    <w:p w:rsidR="009C46D9" w:rsidRDefault="009C46D9" w:rsidP="00211B8F">
      <w:pPr>
        <w:pStyle w:val="ListParagraph"/>
        <w:numPr>
          <w:ilvl w:val="0"/>
          <w:numId w:val="3"/>
        </w:numPr>
        <w:jc w:val="both"/>
      </w:pPr>
      <w:r>
        <w:t xml:space="preserve">For this reason, Boethius’ treatment of consequence </w:t>
      </w:r>
      <w:r w:rsidR="00CF412B">
        <w:t xml:space="preserve">differs from </w:t>
      </w:r>
      <w:proofErr w:type="spellStart"/>
      <w:r w:rsidR="00CF412B">
        <w:t>Buridan’s</w:t>
      </w:r>
      <w:proofErr w:type="spellEnd"/>
      <w:r w:rsidR="00CF412B">
        <w:t xml:space="preserve"> (and </w:t>
      </w:r>
      <w:r w:rsidR="00016317">
        <w:t xml:space="preserve">contemporary </w:t>
      </w:r>
      <w:r w:rsidR="00CF412B">
        <w:t xml:space="preserve">accounts) in the </w:t>
      </w:r>
      <w:bookmarkStart w:id="0" w:name="_GoBack"/>
      <w:bookmarkEnd w:id="0"/>
      <w:r w:rsidR="00CF412B">
        <w:t xml:space="preserve">following two essential respects: </w:t>
      </w:r>
    </w:p>
    <w:p w:rsidR="00CF412B" w:rsidRDefault="00CF412B" w:rsidP="00CF412B">
      <w:pPr>
        <w:pStyle w:val="ListParagraph"/>
        <w:numPr>
          <w:ilvl w:val="1"/>
          <w:numId w:val="3"/>
        </w:numPr>
        <w:jc w:val="both"/>
      </w:pPr>
      <w:r>
        <w:lastRenderedPageBreak/>
        <w:t xml:space="preserve">For Boethius, the question of which consequences hold is simultaneously a question about </w:t>
      </w:r>
      <w:r>
        <w:rPr>
          <w:i/>
        </w:rPr>
        <w:t>evidence</w:t>
      </w:r>
      <w:r>
        <w:t xml:space="preserve">, i.e. one does not have a good consequence unless the antecedent </w:t>
      </w:r>
      <w:r>
        <w:rPr>
          <w:i/>
        </w:rPr>
        <w:t xml:space="preserve">makes </w:t>
      </w:r>
      <w:r>
        <w:t xml:space="preserve">the consequents’ holding clear. </w:t>
      </w:r>
      <w:proofErr w:type="spellStart"/>
      <w:r>
        <w:t>Buridan’s</w:t>
      </w:r>
      <w:proofErr w:type="spellEnd"/>
      <w:r>
        <w:t xml:space="preserve"> treatment, by contrast, since it admits both circular proof and rules like </w:t>
      </w:r>
      <w:r w:rsidR="007D2494">
        <w:rPr>
          <w:i/>
        </w:rPr>
        <w:t xml:space="preserve">ab </w:t>
      </w:r>
      <w:proofErr w:type="spellStart"/>
      <w:r w:rsidR="007D2494">
        <w:rPr>
          <w:i/>
        </w:rPr>
        <w:t>impossibili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quodlibet</w:t>
      </w:r>
      <w:proofErr w:type="spellEnd"/>
      <w:r w:rsidR="00A055A3">
        <w:t xml:space="preserve">, </w:t>
      </w:r>
      <w:r>
        <w:t>eschews this requirement.</w:t>
      </w:r>
      <w:r w:rsidR="00A055A3">
        <w:rPr>
          <w:rStyle w:val="FootnoteReference"/>
        </w:rPr>
        <w:footnoteReference w:id="4"/>
      </w:r>
      <w:r>
        <w:t xml:space="preserve"> </w:t>
      </w:r>
      <w:r w:rsidR="00936EBB">
        <w:t>Boethius’ framework thereby remains “relevant”</w:t>
      </w:r>
      <w:r w:rsidR="00267CA4">
        <w:t>.</w:t>
      </w:r>
    </w:p>
    <w:p w:rsidR="002E5154" w:rsidRPr="004A0FE7" w:rsidRDefault="00936EBB" w:rsidP="002E5154">
      <w:pPr>
        <w:pStyle w:val="ListParagraph"/>
        <w:numPr>
          <w:ilvl w:val="1"/>
          <w:numId w:val="3"/>
        </w:numPr>
        <w:jc w:val="both"/>
      </w:pPr>
      <w:r>
        <w:t xml:space="preserve">But unlike modern relevant logic, </w:t>
      </w:r>
      <w:r w:rsidR="007D2494">
        <w:t>Boethius’</w:t>
      </w:r>
      <w:r w:rsidR="00A055A3">
        <w:t xml:space="preserve"> </w:t>
      </w:r>
      <w:r>
        <w:t xml:space="preserve">account is relevant precisely </w:t>
      </w:r>
      <w:r>
        <w:rPr>
          <w:i/>
        </w:rPr>
        <w:t xml:space="preserve">because </w:t>
      </w:r>
      <w:r>
        <w:t>it rejects a defining aspect of the modern relevance paradigm: the quest for an adequate account of ‘</w:t>
      </w:r>
      <w:r w:rsidR="00E77033">
        <w:t>the</w:t>
      </w:r>
      <w:r>
        <w:t>’</w:t>
      </w:r>
      <w:r w:rsidR="00E77033">
        <w:t xml:space="preserve"> </w:t>
      </w:r>
      <w:r w:rsidR="00E77033" w:rsidRPr="00936EBB">
        <w:t>conditional</w:t>
      </w:r>
      <w:r w:rsidR="00E77033">
        <w:t xml:space="preserve">. </w:t>
      </w:r>
      <w:r>
        <w:t xml:space="preserve">For Boethius, the </w:t>
      </w:r>
      <w:proofErr w:type="spellStart"/>
      <w:r>
        <w:t>syncategorematical</w:t>
      </w:r>
      <w:proofErr w:type="spellEnd"/>
      <w:r>
        <w:t xml:space="preserve"> term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</w:t>
      </w:r>
      <w:r>
        <w:t xml:space="preserve">(i.e. English ‘if-then’) does not signify a form of reasoning: it is an ambiguous verbal construction used to signify several </w:t>
      </w:r>
      <w:r>
        <w:rPr>
          <w:i/>
        </w:rPr>
        <w:t>different</w:t>
      </w:r>
      <w:r>
        <w:t xml:space="preserve"> kinds of topical argument. For this reason, the conditional as a connective, and argument forms like modus ponens </w:t>
      </w:r>
      <w:r w:rsidR="009B222C">
        <w:t xml:space="preserve">based on it and </w:t>
      </w:r>
      <w:r>
        <w:t xml:space="preserve">accepted by later nominalists like </w:t>
      </w:r>
      <w:proofErr w:type="spellStart"/>
      <w:r>
        <w:t>Buridan</w:t>
      </w:r>
      <w:proofErr w:type="spellEnd"/>
      <w:r>
        <w:t xml:space="preserve"> as basic,</w:t>
      </w:r>
      <w:r w:rsidR="009B222C">
        <w:t xml:space="preserve"> Boethius takes to be confused.</w:t>
      </w:r>
    </w:p>
    <w:sectPr w:rsidR="002E5154" w:rsidRPr="004A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7E7" w:rsidRDefault="009917E7" w:rsidP="00843E8E">
      <w:pPr>
        <w:spacing w:after="0" w:line="240" w:lineRule="auto"/>
      </w:pPr>
      <w:r>
        <w:separator/>
      </w:r>
    </w:p>
  </w:endnote>
  <w:endnote w:type="continuationSeparator" w:id="0">
    <w:p w:rsidR="009917E7" w:rsidRDefault="009917E7" w:rsidP="00843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7E7" w:rsidRDefault="009917E7" w:rsidP="00843E8E">
      <w:pPr>
        <w:spacing w:after="0" w:line="240" w:lineRule="auto"/>
      </w:pPr>
      <w:r>
        <w:separator/>
      </w:r>
    </w:p>
  </w:footnote>
  <w:footnote w:type="continuationSeparator" w:id="0">
    <w:p w:rsidR="009917E7" w:rsidRDefault="009917E7" w:rsidP="00843E8E">
      <w:pPr>
        <w:spacing w:after="0" w:line="240" w:lineRule="auto"/>
      </w:pPr>
      <w:r>
        <w:continuationSeparator/>
      </w:r>
    </w:p>
  </w:footnote>
  <w:footnote w:id="1">
    <w:p w:rsidR="00A055A3" w:rsidRPr="008F597C" w:rsidRDefault="00A055A3" w:rsidP="008F597C">
      <w:pPr>
        <w:pStyle w:val="FootnoteText"/>
        <w:jc w:val="both"/>
      </w:pPr>
      <w:r w:rsidRPr="008F597C">
        <w:rPr>
          <w:rStyle w:val="FootnoteReference"/>
        </w:rPr>
        <w:footnoteRef/>
      </w:r>
      <w:r w:rsidRPr="008F597C">
        <w:t xml:space="preserve"> The other two were Boethius’ </w:t>
      </w:r>
      <w:r w:rsidRPr="008F597C">
        <w:rPr>
          <w:i/>
        </w:rPr>
        <w:t xml:space="preserve">De </w:t>
      </w:r>
      <w:proofErr w:type="spellStart"/>
      <w:r w:rsidRPr="008F597C">
        <w:rPr>
          <w:i/>
        </w:rPr>
        <w:t>Divisione</w:t>
      </w:r>
      <w:proofErr w:type="spellEnd"/>
      <w:r w:rsidRPr="008F597C">
        <w:t xml:space="preserve"> and the anonymous </w:t>
      </w:r>
      <w:r w:rsidRPr="008F597C">
        <w:rPr>
          <w:i/>
        </w:rPr>
        <w:t xml:space="preserve">Liber Sex </w:t>
      </w:r>
      <w:proofErr w:type="spellStart"/>
      <w:r w:rsidRPr="008F597C">
        <w:rPr>
          <w:i/>
        </w:rPr>
        <w:t>Principiorum</w:t>
      </w:r>
      <w:proofErr w:type="spellEnd"/>
      <w:r w:rsidRPr="008F597C">
        <w:t>. The manuscript tradition suggests that Boethius’ commentaries as well as his treatise</w:t>
      </w:r>
      <w:r w:rsidR="00267CA4">
        <w:t>s</w:t>
      </w:r>
      <w:r w:rsidRPr="008F597C">
        <w:t xml:space="preserve"> on syllogisms, though popular in the 12</w:t>
      </w:r>
      <w:r w:rsidRPr="008F597C">
        <w:rPr>
          <w:vertAlign w:val="superscript"/>
        </w:rPr>
        <w:t>th</w:t>
      </w:r>
      <w:r w:rsidRPr="008F597C">
        <w:t xml:space="preserve"> century and earlier, were by this later time no longer canonical.  </w:t>
      </w:r>
    </w:p>
  </w:footnote>
  <w:footnote w:id="2">
    <w:p w:rsidR="00A055A3" w:rsidRPr="008F597C" w:rsidRDefault="00A055A3" w:rsidP="008F597C">
      <w:pPr>
        <w:pStyle w:val="FootnoteText"/>
      </w:pPr>
      <w:r w:rsidRPr="008F597C">
        <w:rPr>
          <w:rStyle w:val="FootnoteReference"/>
        </w:rPr>
        <w:footnoteRef/>
      </w:r>
      <w:r w:rsidRPr="008F597C">
        <w:t xml:space="preserve"> Though in modern logic, consequence, inference, entailment, etc. are distinguished, I will follow the Medieval (and common English) practice of using such terms more or less interchangeably.</w:t>
      </w:r>
    </w:p>
  </w:footnote>
  <w:footnote w:id="3">
    <w:p w:rsidR="008F597C" w:rsidRPr="008F597C" w:rsidRDefault="008F597C" w:rsidP="008F597C">
      <w:pPr>
        <w:spacing w:after="0" w:line="240" w:lineRule="auto"/>
        <w:jc w:val="both"/>
        <w:rPr>
          <w:sz w:val="20"/>
          <w:szCs w:val="20"/>
        </w:rPr>
      </w:pPr>
      <w:r w:rsidRPr="008F597C">
        <w:rPr>
          <w:rStyle w:val="FootnoteReference"/>
          <w:sz w:val="20"/>
          <w:szCs w:val="20"/>
        </w:rPr>
        <w:footnoteRef/>
      </w:r>
      <w:r w:rsidRPr="008F597C">
        <w:rPr>
          <w:sz w:val="20"/>
          <w:szCs w:val="20"/>
        </w:rPr>
        <w:t xml:space="preserve"> This topic corresponds to what we today would be more likely to call ‘analogy’,</w:t>
      </w:r>
      <w:r w:rsidRPr="008F597C">
        <w:rPr>
          <w:rStyle w:val="FootnoteReference"/>
          <w:sz w:val="20"/>
          <w:szCs w:val="20"/>
        </w:rPr>
        <w:footnoteRef/>
      </w:r>
      <w:r w:rsidRPr="008F597C">
        <w:rPr>
          <w:sz w:val="20"/>
          <w:szCs w:val="20"/>
        </w:rPr>
        <w:t xml:space="preserve"> and Boethius gives the following argument as an example: </w:t>
      </w:r>
    </w:p>
    <w:p w:rsidR="008F597C" w:rsidRPr="008F597C" w:rsidRDefault="008F597C" w:rsidP="008F597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8F597C">
        <w:rPr>
          <w:sz w:val="20"/>
          <w:szCs w:val="20"/>
        </w:rPr>
        <w:t>Magistrate: city ≈ captain: ship</w:t>
      </w:r>
    </w:p>
    <w:p w:rsidR="008F597C" w:rsidRPr="008F597C" w:rsidRDefault="008F597C" w:rsidP="008F597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8F597C">
        <w:rPr>
          <w:sz w:val="20"/>
          <w:szCs w:val="20"/>
        </w:rPr>
        <w:t>The captain of a ship shouldn’t be chosen by lot</w:t>
      </w:r>
    </w:p>
    <w:p w:rsidR="008F597C" w:rsidRPr="008F597C" w:rsidRDefault="008F597C" w:rsidP="008F597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8F597C">
        <w:rPr>
          <w:sz w:val="20"/>
          <w:szCs w:val="20"/>
        </w:rPr>
        <w:t>The magistrate of a city shouldn’t be chosen by lot</w:t>
      </w:r>
      <w:r w:rsidRPr="008F597C">
        <w:rPr>
          <w:sz w:val="20"/>
          <w:szCs w:val="20"/>
        </w:rPr>
        <w:tab/>
        <w:t xml:space="preserve">[1, 2, </w:t>
      </w:r>
      <w:r w:rsidRPr="008F597C">
        <w:rPr>
          <w:i/>
          <w:sz w:val="20"/>
          <w:szCs w:val="20"/>
        </w:rPr>
        <w:t xml:space="preserve">a </w:t>
      </w:r>
      <w:proofErr w:type="spellStart"/>
      <w:r w:rsidRPr="008F597C">
        <w:rPr>
          <w:i/>
          <w:sz w:val="20"/>
          <w:szCs w:val="20"/>
        </w:rPr>
        <w:t>proportione</w:t>
      </w:r>
      <w:proofErr w:type="spellEnd"/>
      <w:r w:rsidRPr="008F597C">
        <w:rPr>
          <w:sz w:val="20"/>
          <w:szCs w:val="20"/>
        </w:rPr>
        <w:t>]</w:t>
      </w:r>
    </w:p>
    <w:p w:rsidR="008F597C" w:rsidRPr="008F597C" w:rsidRDefault="008F597C" w:rsidP="008F597C">
      <w:pPr>
        <w:pStyle w:val="FootnoteText"/>
      </w:pPr>
      <w:r w:rsidRPr="008F597C">
        <w:t xml:space="preserve">In this sense, the topic </w:t>
      </w:r>
      <w:r w:rsidRPr="008F597C">
        <w:rPr>
          <w:i/>
        </w:rPr>
        <w:t xml:space="preserve">a </w:t>
      </w:r>
      <w:proofErr w:type="spellStart"/>
      <w:r w:rsidRPr="008F597C">
        <w:rPr>
          <w:i/>
        </w:rPr>
        <w:t>proportione</w:t>
      </w:r>
      <w:proofErr w:type="spellEnd"/>
      <w:r w:rsidRPr="008F597C">
        <w:t xml:space="preserve"> represents a substitution rule according to which in a sentence where one </w:t>
      </w:r>
      <w:r w:rsidR="007D2494">
        <w:t xml:space="preserve">series of terms </w:t>
      </w:r>
      <w:r w:rsidRPr="008F597C">
        <w:t xml:space="preserve">is found, a second analogous to it may be substituted </w:t>
      </w:r>
      <w:proofErr w:type="spellStart"/>
      <w:r w:rsidRPr="008F597C">
        <w:rPr>
          <w:i/>
        </w:rPr>
        <w:t>salva</w:t>
      </w:r>
      <w:proofErr w:type="spellEnd"/>
      <w:r w:rsidRPr="008F597C">
        <w:rPr>
          <w:i/>
        </w:rPr>
        <w:t xml:space="preserve"> </w:t>
      </w:r>
      <w:proofErr w:type="spellStart"/>
      <w:r w:rsidRPr="008F597C">
        <w:rPr>
          <w:i/>
        </w:rPr>
        <w:t>veritate</w:t>
      </w:r>
      <w:proofErr w:type="spellEnd"/>
      <w:r w:rsidRPr="008F597C">
        <w:t>.</w:t>
      </w:r>
    </w:p>
  </w:footnote>
  <w:footnote w:id="4">
    <w:p w:rsidR="00A055A3" w:rsidRPr="008F597C" w:rsidRDefault="00A055A3" w:rsidP="008F597C">
      <w:pPr>
        <w:pStyle w:val="FootnoteText"/>
      </w:pPr>
      <w:r w:rsidRPr="008F597C">
        <w:rPr>
          <w:rStyle w:val="FootnoteReference"/>
        </w:rPr>
        <w:footnoteRef/>
      </w:r>
      <w:r w:rsidRPr="008F597C">
        <w:t xml:space="preserve"> The main </w:t>
      </w:r>
      <w:r w:rsidR="00267CA4">
        <w:t xml:space="preserve">conditional </w:t>
      </w:r>
      <w:r w:rsidRPr="008F597C">
        <w:t xml:space="preserve">with which </w:t>
      </w:r>
      <w:proofErr w:type="spellStart"/>
      <w:r w:rsidRPr="008F597C">
        <w:t>Buridan</w:t>
      </w:r>
      <w:proofErr w:type="spellEnd"/>
      <w:r w:rsidRPr="008F597C">
        <w:t xml:space="preserve"> operates </w:t>
      </w:r>
      <w:r w:rsidR="002E5154">
        <w:t xml:space="preserve">in the </w:t>
      </w:r>
      <w:r w:rsidR="002E5154">
        <w:rPr>
          <w:i/>
        </w:rPr>
        <w:t xml:space="preserve">TC </w:t>
      </w:r>
      <w:r w:rsidRPr="008F597C">
        <w:t xml:space="preserve">is essentially </w:t>
      </w:r>
      <w:r w:rsidR="002E5154">
        <w:t xml:space="preserve">identical with </w:t>
      </w:r>
      <w:r w:rsidRPr="008F597C">
        <w:t xml:space="preserve">C. I. Lewis’ strict conditional.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02459"/>
    <w:multiLevelType w:val="hybridMultilevel"/>
    <w:tmpl w:val="5C546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752D9"/>
    <w:multiLevelType w:val="hybridMultilevel"/>
    <w:tmpl w:val="3940B708"/>
    <w:lvl w:ilvl="0" w:tplc="516AC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91AB5"/>
    <w:multiLevelType w:val="hybridMultilevel"/>
    <w:tmpl w:val="6B70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7D6"/>
    <w:rsid w:val="00016317"/>
    <w:rsid w:val="000250B0"/>
    <w:rsid w:val="000D0551"/>
    <w:rsid w:val="00131A64"/>
    <w:rsid w:val="00211B8F"/>
    <w:rsid w:val="00226549"/>
    <w:rsid w:val="00240978"/>
    <w:rsid w:val="00267CA4"/>
    <w:rsid w:val="002E5154"/>
    <w:rsid w:val="002F1F6D"/>
    <w:rsid w:val="003B0324"/>
    <w:rsid w:val="00460BAA"/>
    <w:rsid w:val="004620EA"/>
    <w:rsid w:val="00476818"/>
    <w:rsid w:val="004A0FE7"/>
    <w:rsid w:val="004A4FD8"/>
    <w:rsid w:val="00571F6F"/>
    <w:rsid w:val="005B34A7"/>
    <w:rsid w:val="0061079B"/>
    <w:rsid w:val="006944D4"/>
    <w:rsid w:val="007227D6"/>
    <w:rsid w:val="0077701B"/>
    <w:rsid w:val="007C37F2"/>
    <w:rsid w:val="007D2494"/>
    <w:rsid w:val="008432FF"/>
    <w:rsid w:val="00843E8E"/>
    <w:rsid w:val="00890816"/>
    <w:rsid w:val="008F597C"/>
    <w:rsid w:val="00936EBB"/>
    <w:rsid w:val="0098436D"/>
    <w:rsid w:val="009917E7"/>
    <w:rsid w:val="009A654E"/>
    <w:rsid w:val="009B222C"/>
    <w:rsid w:val="009C46D9"/>
    <w:rsid w:val="009F5D40"/>
    <w:rsid w:val="00A013B2"/>
    <w:rsid w:val="00A055A3"/>
    <w:rsid w:val="00AC23FF"/>
    <w:rsid w:val="00B172BD"/>
    <w:rsid w:val="00B46BE2"/>
    <w:rsid w:val="00BC7758"/>
    <w:rsid w:val="00C329E0"/>
    <w:rsid w:val="00C33400"/>
    <w:rsid w:val="00CF412B"/>
    <w:rsid w:val="00E77033"/>
    <w:rsid w:val="00F2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3FE47-12C2-4C3F-9F3B-9D75CCA4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37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3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37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3E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3E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3E8E"/>
    <w:rPr>
      <w:vertAlign w:val="superscript"/>
    </w:rPr>
  </w:style>
  <w:style w:type="paragraph" w:styleId="ListParagraph">
    <w:name w:val="List Paragraph"/>
    <w:basedOn w:val="Normal"/>
    <w:uiPriority w:val="34"/>
    <w:qFormat/>
    <w:rsid w:val="005B34A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31A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1A6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E515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50553-50DF-4011-9FCE-E337EA8BD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Archambault</dc:creator>
  <cp:keywords/>
  <dc:description/>
  <cp:lastModifiedBy>Jacob Archambault</cp:lastModifiedBy>
  <cp:revision>12</cp:revision>
  <dcterms:created xsi:type="dcterms:W3CDTF">2014-09-23T10:31:00Z</dcterms:created>
  <dcterms:modified xsi:type="dcterms:W3CDTF">2014-10-09T11:18:00Z</dcterms:modified>
</cp:coreProperties>
</file>