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844" w:rsidRDefault="00C148AC" w:rsidP="00B427D9">
      <w:pPr>
        <w:pStyle w:val="Title"/>
        <w:jc w:val="both"/>
      </w:pPr>
      <w:r>
        <w:t xml:space="preserve">Contributions to a </w:t>
      </w:r>
      <w:proofErr w:type="spellStart"/>
      <w:r w:rsidR="000F6C75">
        <w:t>Codicological</w:t>
      </w:r>
      <w:proofErr w:type="spellEnd"/>
      <w:r w:rsidR="000F6C75">
        <w:t xml:space="preserve"> History of the </w:t>
      </w:r>
      <w:proofErr w:type="spellStart"/>
      <w:r w:rsidR="00B43562">
        <w:rPr>
          <w:i/>
        </w:rPr>
        <w:t>Logica</w:t>
      </w:r>
      <w:proofErr w:type="spellEnd"/>
      <w:r w:rsidR="00B43562">
        <w:rPr>
          <w:i/>
        </w:rPr>
        <w:t xml:space="preserve"> </w:t>
      </w:r>
      <w:proofErr w:type="spellStart"/>
      <w:r w:rsidR="00B43562">
        <w:rPr>
          <w:i/>
        </w:rPr>
        <w:t>Vetus</w:t>
      </w:r>
      <w:proofErr w:type="spellEnd"/>
      <w:r w:rsidR="00B43562">
        <w:rPr>
          <w:i/>
        </w:rPr>
        <w:t xml:space="preserve"> </w:t>
      </w:r>
      <w:r w:rsidR="000F6C75">
        <w:t xml:space="preserve">in Medieval France </w:t>
      </w:r>
    </w:p>
    <w:p w:rsidR="00BD7228" w:rsidRPr="00610CEA" w:rsidRDefault="00BD7228" w:rsidP="00610CEA">
      <w:pPr>
        <w:ind w:left="900"/>
        <w:jc w:val="both"/>
      </w:pPr>
      <w:r>
        <w:rPr>
          <w:b/>
        </w:rPr>
        <w:t>Abstract</w:t>
      </w:r>
      <w:r>
        <w:t>:</w:t>
      </w:r>
      <w:r w:rsidR="00727B09">
        <w:t xml:space="preserve"> </w:t>
      </w:r>
      <w:r w:rsidR="00727B09" w:rsidRPr="00610CEA">
        <w:t xml:space="preserve">In this </w:t>
      </w:r>
      <w:r w:rsidR="000363F6" w:rsidRPr="00610CEA">
        <w:t>paper</w:t>
      </w:r>
      <w:r w:rsidR="00727B09" w:rsidRPr="00610CEA">
        <w:t xml:space="preserve">, I provide a brief outline of shifts in the teaching </w:t>
      </w:r>
      <w:r w:rsidR="00552DCB" w:rsidRPr="00610CEA">
        <w:t>of the texts of the</w:t>
      </w:r>
      <w:r w:rsidR="00552DCB" w:rsidRPr="00610CEA">
        <w:rPr>
          <w:i/>
        </w:rPr>
        <w:t xml:space="preserve"> </w:t>
      </w:r>
      <w:r w:rsidR="00552DCB" w:rsidRPr="00610CEA">
        <w:t xml:space="preserve">Old Logic, or </w:t>
      </w:r>
      <w:proofErr w:type="spellStart"/>
      <w:r w:rsidR="00552DCB" w:rsidRPr="00610CEA">
        <w:rPr>
          <w:i/>
        </w:rPr>
        <w:t>Logica</w:t>
      </w:r>
      <w:proofErr w:type="spellEnd"/>
      <w:r w:rsidR="00552DCB" w:rsidRPr="00610CEA">
        <w:rPr>
          <w:i/>
        </w:rPr>
        <w:t xml:space="preserve"> </w:t>
      </w:r>
      <w:proofErr w:type="spellStart"/>
      <w:r w:rsidR="00552DCB" w:rsidRPr="00610CEA">
        <w:rPr>
          <w:i/>
        </w:rPr>
        <w:t>Vetus</w:t>
      </w:r>
      <w:proofErr w:type="spellEnd"/>
      <w:r w:rsidR="00552DCB" w:rsidRPr="00610CEA">
        <w:t>, in France and its surrounding regions from the 10</w:t>
      </w:r>
      <w:r w:rsidR="00552DCB" w:rsidRPr="00610CEA">
        <w:rPr>
          <w:vertAlign w:val="superscript"/>
        </w:rPr>
        <w:t>th</w:t>
      </w:r>
      <w:r w:rsidR="00552DCB" w:rsidRPr="00610CEA">
        <w:t xml:space="preserve"> to the mid-14</w:t>
      </w:r>
      <w:r w:rsidR="00552DCB" w:rsidRPr="00610CEA">
        <w:rPr>
          <w:vertAlign w:val="superscript"/>
        </w:rPr>
        <w:t>th</w:t>
      </w:r>
      <w:r w:rsidR="00552DCB" w:rsidRPr="00610CEA">
        <w:t xml:space="preserve"> century, primarily relying on </w:t>
      </w:r>
      <w:proofErr w:type="spellStart"/>
      <w:r w:rsidR="00552DCB" w:rsidRPr="00610CEA">
        <w:t>codicological</w:t>
      </w:r>
      <w:proofErr w:type="spellEnd"/>
      <w:r w:rsidR="00552DCB" w:rsidRPr="00610CEA">
        <w:t xml:space="preserve"> evidence. The following shows: 1a) that prior to the 13</w:t>
      </w:r>
      <w:r w:rsidR="00552DCB" w:rsidRPr="00610CEA">
        <w:rPr>
          <w:vertAlign w:val="superscript"/>
        </w:rPr>
        <w:t>th</w:t>
      </w:r>
      <w:r w:rsidR="00552DCB" w:rsidRPr="00610CEA">
        <w:t xml:space="preserve"> century, the teaching of the old logic was dominated by the reading of commentaries, primarily those of Boethius, and 1b) that during this same period, there are no clear signs of a systematic approach to teaching logic; 2) that during the 13</w:t>
      </w:r>
      <w:r w:rsidR="00552DCB" w:rsidRPr="00610CEA">
        <w:rPr>
          <w:vertAlign w:val="superscript"/>
        </w:rPr>
        <w:t>th</w:t>
      </w:r>
      <w:r w:rsidR="00552DCB" w:rsidRPr="00610CEA">
        <w:t xml:space="preserve"> century, Boethius’ commentaries cease to be widely read, and the beginnings of a curriculum in logic develop; </w:t>
      </w:r>
      <w:r w:rsidR="005D2847" w:rsidRPr="00610CEA">
        <w:t xml:space="preserve">and </w:t>
      </w:r>
      <w:r w:rsidR="00552DCB" w:rsidRPr="00610CEA">
        <w:t xml:space="preserve">3) that </w:t>
      </w:r>
      <w:r w:rsidR="00127C10" w:rsidRPr="00610CEA">
        <w:t>the major development from the 13</w:t>
      </w:r>
      <w:r w:rsidR="00127C10" w:rsidRPr="00610CEA">
        <w:rPr>
          <w:vertAlign w:val="superscript"/>
        </w:rPr>
        <w:t>th</w:t>
      </w:r>
      <w:r w:rsidR="00127C10" w:rsidRPr="00610CEA">
        <w:t xml:space="preserve"> to the 14</w:t>
      </w:r>
      <w:r w:rsidR="00127C10" w:rsidRPr="00610CEA">
        <w:rPr>
          <w:vertAlign w:val="superscript"/>
        </w:rPr>
        <w:t>th</w:t>
      </w:r>
      <w:r w:rsidR="00127C10" w:rsidRPr="00610CEA">
        <w:t xml:space="preserve"> century in the organization of the </w:t>
      </w:r>
      <w:proofErr w:type="spellStart"/>
      <w:r w:rsidR="00127C10" w:rsidRPr="00610CEA">
        <w:rPr>
          <w:i/>
        </w:rPr>
        <w:t>Logica</w:t>
      </w:r>
      <w:proofErr w:type="spellEnd"/>
      <w:r w:rsidR="00127C10" w:rsidRPr="00610CEA">
        <w:rPr>
          <w:i/>
        </w:rPr>
        <w:t xml:space="preserve"> </w:t>
      </w:r>
      <w:proofErr w:type="spellStart"/>
      <w:r w:rsidR="00127C10" w:rsidRPr="00610CEA">
        <w:rPr>
          <w:i/>
        </w:rPr>
        <w:t>Vetus</w:t>
      </w:r>
      <w:proofErr w:type="spellEnd"/>
      <w:r w:rsidR="00127C10" w:rsidRPr="00610CEA">
        <w:t xml:space="preserve"> is the decreased presence of the Latin </w:t>
      </w:r>
      <w:proofErr w:type="spellStart"/>
      <w:r w:rsidR="00127C10" w:rsidRPr="00610CEA">
        <w:rPr>
          <w:i/>
        </w:rPr>
        <w:t>auctores</w:t>
      </w:r>
      <w:proofErr w:type="spellEnd"/>
      <w:r w:rsidR="00127C10" w:rsidRPr="00610CEA">
        <w:t xml:space="preserve">, and a corresponding Hellenization of the study of logic more generally. </w:t>
      </w:r>
      <w:bookmarkStart w:id="0" w:name="_GoBack"/>
      <w:bookmarkEnd w:id="0"/>
    </w:p>
    <w:p w:rsidR="00BD7228" w:rsidRPr="00BD7228" w:rsidRDefault="00BD7228" w:rsidP="00B427D9">
      <w:pPr>
        <w:jc w:val="both"/>
      </w:pPr>
      <w:r>
        <w:t xml:space="preserve">Keywords: Aristoteles </w:t>
      </w:r>
      <w:proofErr w:type="spellStart"/>
      <w:r>
        <w:t>Latinus</w:t>
      </w:r>
      <w:proofErr w:type="spellEnd"/>
      <w:r>
        <w:t>; Logic in Medieval France</w:t>
      </w:r>
      <w:r w:rsidR="00552DCB">
        <w:t>, history of</w:t>
      </w:r>
      <w:r>
        <w:t xml:space="preserve">; </w:t>
      </w:r>
      <w:proofErr w:type="spellStart"/>
      <w:r>
        <w:rPr>
          <w:i/>
        </w:rPr>
        <w:t>Ars</w:t>
      </w:r>
      <w:proofErr w:type="spellEnd"/>
      <w:r>
        <w:rPr>
          <w:i/>
        </w:rPr>
        <w:t xml:space="preserve"> Antiqua</w:t>
      </w:r>
      <w:r>
        <w:t xml:space="preserve">; </w:t>
      </w:r>
      <w:proofErr w:type="spellStart"/>
      <w:r>
        <w:rPr>
          <w:i/>
        </w:rPr>
        <w:t>Logica</w:t>
      </w:r>
      <w:proofErr w:type="spellEnd"/>
      <w:r>
        <w:rPr>
          <w:i/>
        </w:rPr>
        <w:t xml:space="preserve"> </w:t>
      </w:r>
      <w:proofErr w:type="spellStart"/>
      <w:r>
        <w:rPr>
          <w:i/>
        </w:rPr>
        <w:t>Vetus</w:t>
      </w:r>
      <w:proofErr w:type="spellEnd"/>
      <w:r>
        <w:t xml:space="preserve">; </w:t>
      </w:r>
      <w:r w:rsidR="00552DCB">
        <w:t xml:space="preserve">Aristotle; </w:t>
      </w:r>
      <w:r>
        <w:t>Boethius</w:t>
      </w:r>
      <w:r w:rsidR="00E17963">
        <w:t xml:space="preserve">; </w:t>
      </w:r>
      <w:r w:rsidR="00552DCB">
        <w:t xml:space="preserve">Medieval </w:t>
      </w:r>
      <w:r w:rsidR="00E17963">
        <w:t>education</w:t>
      </w:r>
      <w:r w:rsidR="00552DCB">
        <w:t xml:space="preserve">, history of. </w:t>
      </w:r>
    </w:p>
    <w:p w:rsidR="00C148AC" w:rsidRDefault="00C148AC" w:rsidP="00B427D9">
      <w:pPr>
        <w:pStyle w:val="Heading1"/>
        <w:jc w:val="both"/>
      </w:pPr>
      <w:r>
        <w:t>Introduction</w:t>
      </w:r>
    </w:p>
    <w:p w:rsidR="00862256" w:rsidRDefault="00737C86" w:rsidP="00B427D9">
      <w:pPr>
        <w:spacing w:line="480" w:lineRule="auto"/>
        <w:jc w:val="both"/>
      </w:pPr>
      <w:r>
        <w:tab/>
      </w:r>
      <w:r w:rsidR="00166A2F">
        <w:t xml:space="preserve">This </w:t>
      </w:r>
      <w:r w:rsidR="005211D5">
        <w:t xml:space="preserve">paper </w:t>
      </w:r>
      <w:r w:rsidR="00166A2F">
        <w:t xml:space="preserve">aims to outline the general features of the shift in the study of the Aristotelian logical corpus </w:t>
      </w:r>
      <w:r>
        <w:t xml:space="preserve">in the Gallican region </w:t>
      </w:r>
      <w:r w:rsidR="00166A2F">
        <w:t>from the 10</w:t>
      </w:r>
      <w:r w:rsidR="00166A2F" w:rsidRPr="00166A2F">
        <w:rPr>
          <w:vertAlign w:val="superscript"/>
        </w:rPr>
        <w:t>th</w:t>
      </w:r>
      <w:r w:rsidR="00166A2F">
        <w:t xml:space="preserve"> to the mid</w:t>
      </w:r>
      <w:r>
        <w:t>-</w:t>
      </w:r>
      <w:r w:rsidR="00166A2F">
        <w:t>14</w:t>
      </w:r>
      <w:r w:rsidR="00166A2F" w:rsidRPr="00166A2F">
        <w:rPr>
          <w:vertAlign w:val="superscript"/>
        </w:rPr>
        <w:t>th</w:t>
      </w:r>
      <w:r>
        <w:t xml:space="preserve"> century. The reason for this undertaking is </w:t>
      </w:r>
      <w:r w:rsidR="00727B09">
        <w:t xml:space="preserve">in part </w:t>
      </w:r>
      <w:r>
        <w:t xml:space="preserve">a need to supplement </w:t>
      </w:r>
      <w:r w:rsidR="00BC3ABF">
        <w:t xml:space="preserve">more standard attempts at tracing the history of </w:t>
      </w:r>
      <w:proofErr w:type="gramStart"/>
      <w:r w:rsidR="00BC3ABF">
        <w:t>Medieval</w:t>
      </w:r>
      <w:proofErr w:type="gramEnd"/>
      <w:r w:rsidR="00BC3ABF">
        <w:t xml:space="preserve"> logic. Such accounts tend to </w:t>
      </w:r>
      <w:r w:rsidR="00862256">
        <w:t xml:space="preserve">be guided by, it seems to me, at least one of following </w:t>
      </w:r>
      <w:r w:rsidR="000977E4">
        <w:t xml:space="preserve">two </w:t>
      </w:r>
      <w:r w:rsidR="00B43562">
        <w:t>tendencies</w:t>
      </w:r>
      <w:r w:rsidR="00BC3ABF">
        <w:t xml:space="preserve">. The first </w:t>
      </w:r>
      <w:r w:rsidR="00862256">
        <w:t>is to focus</w:t>
      </w:r>
      <w:r w:rsidR="00BC3ABF">
        <w:t xml:space="preserve"> heavily on the contributions of </w:t>
      </w:r>
      <w:r w:rsidR="006B72A2">
        <w:t xml:space="preserve">singular </w:t>
      </w:r>
      <w:r w:rsidR="00BC3ABF">
        <w:t>individual</w:t>
      </w:r>
      <w:r w:rsidR="006B72A2">
        <w:t>s,</w:t>
      </w:r>
      <w:r w:rsidR="00BC3ABF">
        <w:t xml:space="preserve"> </w:t>
      </w:r>
      <w:r w:rsidR="006B72A2">
        <w:t>prodigies</w:t>
      </w:r>
      <w:r w:rsidR="00BC3ABF">
        <w:t xml:space="preserve"> like Abelard or Ockham</w:t>
      </w:r>
      <w:r w:rsidR="006B72A2">
        <w:t>,</w:t>
      </w:r>
      <w:r w:rsidR="00BC3ABF">
        <w:t xml:space="preserve"> who often attract</w:t>
      </w:r>
      <w:r w:rsidR="006B72A2">
        <w:t>ed</w:t>
      </w:r>
      <w:r w:rsidR="00BC3ABF">
        <w:t xml:space="preserve"> a number of followers.</w:t>
      </w:r>
      <w:r w:rsidR="00657B0C">
        <w:rPr>
          <w:rStyle w:val="FootnoteReference"/>
        </w:rPr>
        <w:footnoteReference w:id="1"/>
      </w:r>
      <w:r w:rsidR="00BC3ABF">
        <w:t xml:space="preserve"> </w:t>
      </w:r>
      <w:r w:rsidR="006B72A2">
        <w:t>T</w:t>
      </w:r>
      <w:r w:rsidR="00BC3ABF">
        <w:t>hough there certainly were major thinkers of this kind, the tendency to focus almost exclusively on them – trying, for instance, to determine whether one thinker is or is not directly acquainted with the t</w:t>
      </w:r>
      <w:r w:rsidR="00657B0C">
        <w:t>h</w:t>
      </w:r>
      <w:r w:rsidR="00BC3ABF">
        <w:t xml:space="preserve">ought of another – has arisen not so much because </w:t>
      </w:r>
      <w:r w:rsidR="00657B0C">
        <w:t>of the evidence itself as because of a certain romantic ideal governing much of our historiography of the middle ages, viz., that of the solitary genius.</w:t>
      </w:r>
      <w:r w:rsidR="001924CC">
        <w:t xml:space="preserve"> </w:t>
      </w:r>
      <w:r w:rsidR="006B72A2">
        <w:t>A</w:t>
      </w:r>
      <w:r w:rsidR="00A9687A">
        <w:t xml:space="preserve">part from treating different phases of literary production – e.g. early monastic and late </w:t>
      </w:r>
      <w:r w:rsidR="00A9687A">
        <w:lastRenderedPageBreak/>
        <w:t xml:space="preserve">scholastic – as essentially the same, </w:t>
      </w:r>
      <w:r w:rsidR="006B72A2">
        <w:t xml:space="preserve">this </w:t>
      </w:r>
      <w:r w:rsidR="002E30CF">
        <w:t xml:space="preserve">also </w:t>
      </w:r>
      <w:r w:rsidR="006B72A2">
        <w:t xml:space="preserve">approach </w:t>
      </w:r>
      <w:r w:rsidR="00A9687A">
        <w:t xml:space="preserve">fails to capture </w:t>
      </w:r>
      <w:r w:rsidR="002E30CF">
        <w:t xml:space="preserve">the </w:t>
      </w:r>
      <w:r w:rsidR="00A9687A">
        <w:t xml:space="preserve">communal and collaborative </w:t>
      </w:r>
      <w:r w:rsidR="002E30CF">
        <w:t>nature of the work of those figures the model is supposed to fit best</w:t>
      </w:r>
      <w:r w:rsidR="00A9687A">
        <w:t>.</w:t>
      </w:r>
      <w:r w:rsidR="00A9687A">
        <w:rPr>
          <w:rStyle w:val="FootnoteReference"/>
        </w:rPr>
        <w:footnoteReference w:id="2"/>
      </w:r>
      <w:r w:rsidR="00A9687A">
        <w:t xml:space="preserve"> </w:t>
      </w:r>
    </w:p>
    <w:p w:rsidR="003E1B35" w:rsidRDefault="00862256" w:rsidP="00B427D9">
      <w:pPr>
        <w:spacing w:line="480" w:lineRule="auto"/>
        <w:jc w:val="both"/>
      </w:pPr>
      <w:r>
        <w:tab/>
        <w:t>A second tendency arises not so much from roman</w:t>
      </w:r>
      <w:r w:rsidR="000977E4">
        <w:t>ti</w:t>
      </w:r>
      <w:r>
        <w:t>c</w:t>
      </w:r>
      <w:r w:rsidR="000977E4">
        <w:t>iz</w:t>
      </w:r>
      <w:r>
        <w:t xml:space="preserve">ing </w:t>
      </w:r>
      <w:r>
        <w:rPr>
          <w:i/>
        </w:rPr>
        <w:t xml:space="preserve">the </w:t>
      </w:r>
      <w:r>
        <w:t xml:space="preserve">self as </w:t>
      </w:r>
      <w:r w:rsidRPr="00862256">
        <w:rPr>
          <w:i/>
        </w:rPr>
        <w:t>our</w:t>
      </w:r>
      <w:r>
        <w:t xml:space="preserve">selves. By this, I mean the tendency to organize the study of </w:t>
      </w:r>
      <w:proofErr w:type="gramStart"/>
      <w:r>
        <w:t>Medieval</w:t>
      </w:r>
      <w:proofErr w:type="gramEnd"/>
      <w:r>
        <w:t xml:space="preserve"> thought along contemporary interests, and to accordingly devote more space to those areas of medieval thought that </w:t>
      </w:r>
      <w:r w:rsidR="00BD5810">
        <w:t xml:space="preserve">either are most similar to our own or </w:t>
      </w:r>
      <w:r>
        <w:t>interest us the most.</w:t>
      </w:r>
      <w:r w:rsidR="00A9687A">
        <w:rPr>
          <w:rStyle w:val="FootnoteReference"/>
        </w:rPr>
        <w:footnoteReference w:id="3"/>
      </w:r>
      <w:r>
        <w:t xml:space="preserve"> </w:t>
      </w:r>
      <w:r w:rsidR="00BD5810">
        <w:t>I</w:t>
      </w:r>
      <w:r w:rsidR="00BD07D5">
        <w:t xml:space="preserve">n the historiography of Medieval Logic more </w:t>
      </w:r>
      <w:r w:rsidR="00BD5810">
        <w:t>specifically</w:t>
      </w:r>
      <w:r w:rsidR="00BD07D5">
        <w:t>, this arises in the tendency to devote far more attention to post 14</w:t>
      </w:r>
      <w:r w:rsidR="00BD07D5" w:rsidRPr="00BD07D5">
        <w:rPr>
          <w:vertAlign w:val="superscript"/>
        </w:rPr>
        <w:t>th</w:t>
      </w:r>
      <w:r w:rsidR="00BD07D5">
        <w:t xml:space="preserve"> century developments – foreshadowing, as they seem to be, the development of modern advancements like the propositional calculus – while dismissing </w:t>
      </w:r>
      <w:r w:rsidR="006B72A2">
        <w:t xml:space="preserve">much of </w:t>
      </w:r>
      <w:r w:rsidR="00BD07D5">
        <w:t>the tradition prior to it.</w:t>
      </w:r>
      <w:r w:rsidR="00BD07D5">
        <w:rPr>
          <w:rStyle w:val="FootnoteReference"/>
        </w:rPr>
        <w:footnoteReference w:id="4"/>
      </w:r>
      <w:r w:rsidR="00BD07D5">
        <w:t xml:space="preserve"> </w:t>
      </w:r>
    </w:p>
    <w:p w:rsidR="00D923B2" w:rsidRDefault="00053F4E" w:rsidP="00B427D9">
      <w:pPr>
        <w:spacing w:line="480" w:lineRule="auto"/>
        <w:jc w:val="both"/>
      </w:pPr>
      <w:r>
        <w:tab/>
        <w:t>The net effect of these tendencies has been the neglect of the canonical texts of the Latin tradi</w:t>
      </w:r>
      <w:r w:rsidR="002E30CF">
        <w:t xml:space="preserve">tion prior to the developments </w:t>
      </w:r>
      <w:r>
        <w:t xml:space="preserve">that </w:t>
      </w:r>
      <w:r w:rsidR="009C3D1A">
        <w:t xml:space="preserve">came to fruition in the first half </w:t>
      </w:r>
      <w:r>
        <w:t>of the 14</w:t>
      </w:r>
      <w:r w:rsidRPr="00053F4E">
        <w:rPr>
          <w:vertAlign w:val="superscript"/>
        </w:rPr>
        <w:t>th</w:t>
      </w:r>
      <w:r>
        <w:t xml:space="preserve"> century among the </w:t>
      </w:r>
      <w:proofErr w:type="spellStart"/>
      <w:r w:rsidR="00720951">
        <w:t>terminist</w:t>
      </w:r>
      <w:proofErr w:type="spellEnd"/>
      <w:r w:rsidR="002E30CF">
        <w:t xml:space="preserve"> logicians </w:t>
      </w:r>
      <w:r w:rsidR="00D228F0">
        <w:t xml:space="preserve">at Oxford and Paris. </w:t>
      </w:r>
    </w:p>
    <w:p w:rsidR="00053F4E" w:rsidRPr="00053F4E" w:rsidRDefault="00642D7C" w:rsidP="00B427D9">
      <w:pPr>
        <w:spacing w:line="480" w:lineRule="auto"/>
        <w:jc w:val="both"/>
      </w:pPr>
      <w:r>
        <w:tab/>
        <w:t xml:space="preserve">Positively, the scope of this study is restricted to the circulation of the </w:t>
      </w:r>
      <w:r w:rsidR="00720951">
        <w:t xml:space="preserve">codices </w:t>
      </w:r>
      <w:r>
        <w:t xml:space="preserve">of the </w:t>
      </w:r>
      <w:proofErr w:type="spellStart"/>
      <w:r>
        <w:rPr>
          <w:i/>
        </w:rPr>
        <w:t>Logica</w:t>
      </w:r>
      <w:proofErr w:type="spellEnd"/>
      <w:r>
        <w:rPr>
          <w:i/>
        </w:rPr>
        <w:t xml:space="preserve"> </w:t>
      </w:r>
      <w:proofErr w:type="spellStart"/>
      <w:r>
        <w:rPr>
          <w:i/>
        </w:rPr>
        <w:t>Vetus</w:t>
      </w:r>
      <w:proofErr w:type="spellEnd"/>
      <w:r>
        <w:rPr>
          <w:i/>
        </w:rPr>
        <w:t xml:space="preserve"> </w:t>
      </w:r>
      <w:r>
        <w:t>in the Gallican region from the 9</w:t>
      </w:r>
      <w:r w:rsidRPr="00642D7C">
        <w:rPr>
          <w:vertAlign w:val="superscript"/>
        </w:rPr>
        <w:t>th</w:t>
      </w:r>
      <w:r>
        <w:t xml:space="preserve"> to the 14</w:t>
      </w:r>
      <w:r w:rsidRPr="00642D7C">
        <w:rPr>
          <w:vertAlign w:val="superscript"/>
        </w:rPr>
        <w:t>th</w:t>
      </w:r>
      <w:r>
        <w:t xml:space="preserve"> century. </w:t>
      </w:r>
      <w:r w:rsidR="00C85892">
        <w:t xml:space="preserve">For precision’s sake, I have defined a </w:t>
      </w:r>
      <w:proofErr w:type="spellStart"/>
      <w:r w:rsidR="00C85892">
        <w:rPr>
          <w:i/>
        </w:rPr>
        <w:t>logica</w:t>
      </w:r>
      <w:proofErr w:type="spellEnd"/>
      <w:r w:rsidR="00C85892">
        <w:rPr>
          <w:i/>
        </w:rPr>
        <w:t xml:space="preserve"> </w:t>
      </w:r>
      <w:proofErr w:type="spellStart"/>
      <w:r w:rsidR="00C85892">
        <w:rPr>
          <w:i/>
        </w:rPr>
        <w:t>vetus</w:t>
      </w:r>
      <w:proofErr w:type="spellEnd"/>
      <w:r w:rsidR="00C85892">
        <w:rPr>
          <w:i/>
        </w:rPr>
        <w:t xml:space="preserve"> </w:t>
      </w:r>
      <w:r w:rsidR="00720951">
        <w:t>codex</w:t>
      </w:r>
      <w:r w:rsidR="00C85892">
        <w:t xml:space="preserve"> as </w:t>
      </w:r>
      <w:r w:rsidR="009C3D1A">
        <w:t xml:space="preserve">one containing any of the following three works, in whole or in part: Porphyry’s </w:t>
      </w:r>
      <w:proofErr w:type="spellStart"/>
      <w:r w:rsidR="009C3D1A">
        <w:rPr>
          <w:i/>
        </w:rPr>
        <w:t>Isagoge</w:t>
      </w:r>
      <w:proofErr w:type="spellEnd"/>
      <w:r w:rsidR="009C3D1A">
        <w:rPr>
          <w:i/>
        </w:rPr>
        <w:t xml:space="preserve">, </w:t>
      </w:r>
      <w:r w:rsidR="009C3D1A">
        <w:t xml:space="preserve">Aristotle’s </w:t>
      </w:r>
      <w:r w:rsidR="009C3D1A">
        <w:rPr>
          <w:i/>
        </w:rPr>
        <w:t>Categories</w:t>
      </w:r>
      <w:r w:rsidR="009C3D1A">
        <w:t xml:space="preserve">, or Aristotle’s </w:t>
      </w:r>
      <w:proofErr w:type="spellStart"/>
      <w:r w:rsidR="009C3D1A">
        <w:rPr>
          <w:i/>
        </w:rPr>
        <w:t>Periermenias</w:t>
      </w:r>
      <w:proofErr w:type="spellEnd"/>
      <w:r w:rsidR="009C3D1A">
        <w:t xml:space="preserve">, all in their </w:t>
      </w:r>
      <w:proofErr w:type="spellStart"/>
      <w:r w:rsidR="009C3D1A">
        <w:t>Boethian</w:t>
      </w:r>
      <w:proofErr w:type="spellEnd"/>
      <w:r w:rsidR="009C3D1A">
        <w:t xml:space="preserve"> translations</w:t>
      </w:r>
      <w:r w:rsidR="009C3D1A">
        <w:rPr>
          <w:i/>
        </w:rPr>
        <w:t xml:space="preserve">. </w:t>
      </w:r>
      <w:r w:rsidR="009C3D1A">
        <w:t xml:space="preserve">Though, as we shall </w:t>
      </w:r>
      <w:r w:rsidR="009C3D1A">
        <w:lastRenderedPageBreak/>
        <w:t xml:space="preserve">see, there were other works studied alongside these, these three represent the ‘stable core’ of logical studies throughout the </w:t>
      </w:r>
      <w:r w:rsidR="00720951">
        <w:t xml:space="preserve">medieval </w:t>
      </w:r>
      <w:r w:rsidR="009C3D1A">
        <w:t xml:space="preserve">period. </w:t>
      </w:r>
      <w:r>
        <w:t>My aim has been</w:t>
      </w:r>
      <w:r w:rsidR="00720951">
        <w:t xml:space="preserve"> throughout to allow the manuscript evidence </w:t>
      </w:r>
      <w:r>
        <w:t xml:space="preserve">to shed light on the circulation of a </w:t>
      </w:r>
      <w:r w:rsidR="00720951">
        <w:t xml:space="preserve">body of texts </w:t>
      </w:r>
      <w:r>
        <w:t xml:space="preserve">that remained </w:t>
      </w:r>
      <w:r w:rsidR="00720951">
        <w:t xml:space="preserve">available </w:t>
      </w:r>
      <w:r>
        <w:t>throughout the middle ages</w:t>
      </w:r>
      <w:r w:rsidR="00720951">
        <w:t xml:space="preserve">, and </w:t>
      </w:r>
      <w:r>
        <w:t xml:space="preserve">to </w:t>
      </w:r>
      <w:r w:rsidR="00720951">
        <w:t xml:space="preserve">contribute to an understanding of </w:t>
      </w:r>
      <w:r>
        <w:t xml:space="preserve">the common patrimony of Latin logic, to which the </w:t>
      </w:r>
      <w:proofErr w:type="spellStart"/>
      <w:r>
        <w:t>terminists</w:t>
      </w:r>
      <w:proofErr w:type="spellEnd"/>
      <w:r>
        <w:t xml:space="preserve"> </w:t>
      </w:r>
      <w:r w:rsidR="00720951">
        <w:t xml:space="preserve">themselves would have been </w:t>
      </w:r>
      <w:r>
        <w:t>indebted</w:t>
      </w:r>
      <w:r w:rsidR="00720951">
        <w:t>.</w:t>
      </w:r>
    </w:p>
    <w:p w:rsidR="00C148AC" w:rsidRDefault="00A8276A" w:rsidP="00B427D9">
      <w:pPr>
        <w:pStyle w:val="Heading1"/>
        <w:jc w:val="both"/>
      </w:pPr>
      <w:r>
        <w:t>Introduction to t</w:t>
      </w:r>
      <w:r w:rsidR="00C148AC">
        <w:t>he Texts</w:t>
      </w:r>
    </w:p>
    <w:p w:rsidR="00E860C0" w:rsidRPr="00E860C0" w:rsidRDefault="00E860C0" w:rsidP="00B427D9">
      <w:pPr>
        <w:spacing w:line="480" w:lineRule="auto"/>
        <w:jc w:val="both"/>
      </w:pPr>
      <w:r>
        <w:tab/>
        <w:t xml:space="preserve">In his </w:t>
      </w:r>
      <w:proofErr w:type="spellStart"/>
      <w:r>
        <w:rPr>
          <w:i/>
        </w:rPr>
        <w:t>Dialectica</w:t>
      </w:r>
      <w:proofErr w:type="spellEnd"/>
      <w:r>
        <w:t>,</w:t>
      </w:r>
      <w:r>
        <w:rPr>
          <w:i/>
        </w:rPr>
        <w:t xml:space="preserve"> </w:t>
      </w:r>
      <w:r>
        <w:t xml:space="preserve">Peter Abelard numbers the </w:t>
      </w:r>
      <w:r w:rsidR="00720951">
        <w:t xml:space="preserve">works studied under dialectic </w:t>
      </w:r>
      <w:r>
        <w:t xml:space="preserve">as follows: </w:t>
      </w:r>
    </w:p>
    <w:p w:rsidR="00E860C0" w:rsidRPr="00EE1EE0" w:rsidRDefault="00E860C0" w:rsidP="00B427D9">
      <w:pPr>
        <w:ind w:left="900"/>
        <w:jc w:val="both"/>
      </w:pPr>
      <w:r>
        <w:t xml:space="preserve">The Latin treatment of this art [i.e. dialectic] is furnished by seven books, the work of three authors. For so far in the Latin world there are just two of them by Aristotle, the </w:t>
      </w:r>
      <w:r>
        <w:rPr>
          <w:i/>
        </w:rPr>
        <w:t xml:space="preserve">Categories </w:t>
      </w:r>
      <w:r>
        <w:t xml:space="preserve">and </w:t>
      </w:r>
      <w:r>
        <w:rPr>
          <w:i/>
        </w:rPr>
        <w:t>On Interpretation</w:t>
      </w:r>
      <w:r>
        <w:t xml:space="preserve">, and one by Porphyry… We generally use four by Boethius: </w:t>
      </w:r>
      <w:r>
        <w:rPr>
          <w:i/>
        </w:rPr>
        <w:t xml:space="preserve">On Division, </w:t>
      </w:r>
      <w:r>
        <w:t xml:space="preserve">the </w:t>
      </w:r>
      <w:r>
        <w:rPr>
          <w:i/>
        </w:rPr>
        <w:t>Topics</w:t>
      </w:r>
      <w:r>
        <w:t xml:space="preserve"> and his </w:t>
      </w:r>
      <w:r>
        <w:rPr>
          <w:i/>
        </w:rPr>
        <w:t xml:space="preserve">Categorical </w:t>
      </w:r>
      <w:r>
        <w:t xml:space="preserve">and </w:t>
      </w:r>
      <w:r>
        <w:rPr>
          <w:i/>
        </w:rPr>
        <w:t>Hypothetical Syllogisms</w:t>
      </w:r>
      <w:r w:rsidR="00EE1EE0" w:rsidRPr="009F5253">
        <w:rPr>
          <w:rStyle w:val="FootnoteReference"/>
        </w:rPr>
        <w:footnoteReference w:id="5"/>
      </w:r>
    </w:p>
    <w:p w:rsidR="00F41621" w:rsidRDefault="00E860C0" w:rsidP="00B427D9">
      <w:pPr>
        <w:spacing w:line="480" w:lineRule="auto"/>
        <w:jc w:val="both"/>
      </w:pPr>
      <w:r>
        <w:t xml:space="preserve">To Abelard’s list we should also add the </w:t>
      </w:r>
      <w:r>
        <w:rPr>
          <w:i/>
        </w:rPr>
        <w:t xml:space="preserve">Liber Sex </w:t>
      </w:r>
      <w:proofErr w:type="spellStart"/>
      <w:r>
        <w:rPr>
          <w:i/>
        </w:rPr>
        <w:t>Principiorum</w:t>
      </w:r>
      <w:proofErr w:type="spellEnd"/>
      <w:r>
        <w:t xml:space="preserve">, a supplement to Aristotle’s categories </w:t>
      </w:r>
      <w:r w:rsidR="00F41621">
        <w:t xml:space="preserve">forming </w:t>
      </w:r>
      <w:r>
        <w:t>an important part of the logical curriculum through the 13</w:t>
      </w:r>
      <w:r w:rsidRPr="00E860C0">
        <w:rPr>
          <w:vertAlign w:val="superscript"/>
        </w:rPr>
        <w:t>th</w:t>
      </w:r>
      <w:r>
        <w:t xml:space="preserve"> century. </w:t>
      </w:r>
    </w:p>
    <w:p w:rsidR="00E860C0" w:rsidRPr="00DF7D6F" w:rsidRDefault="00127C10" w:rsidP="00B427D9">
      <w:pPr>
        <w:spacing w:line="480" w:lineRule="auto"/>
        <w:jc w:val="both"/>
      </w:pPr>
      <w:r>
        <w:tab/>
      </w:r>
      <w:r w:rsidR="00EE1EE0">
        <w:t xml:space="preserve">The </w:t>
      </w:r>
      <w:proofErr w:type="spellStart"/>
      <w:r w:rsidR="00EE1EE0" w:rsidRPr="00EE1EE0">
        <w:rPr>
          <w:i/>
        </w:rPr>
        <w:t>Isagoge</w:t>
      </w:r>
      <w:proofErr w:type="spellEnd"/>
      <w:r w:rsidR="00EE1EE0">
        <w:t xml:space="preserve"> is an introduction to the Aristotelian </w:t>
      </w:r>
      <w:proofErr w:type="spellStart"/>
      <w:r w:rsidR="00EE1EE0">
        <w:t>organon</w:t>
      </w:r>
      <w:proofErr w:type="spellEnd"/>
      <w:r w:rsidR="00EE1EE0">
        <w:t xml:space="preserve"> composed by the </w:t>
      </w:r>
      <w:r w:rsidR="00871B10">
        <w:t>Neo-Platonist</w:t>
      </w:r>
      <w:r w:rsidR="00EE1EE0">
        <w:t xml:space="preserve"> Porphyry, though from fairly early on it was regarded as an introduction to Aristotle’s </w:t>
      </w:r>
      <w:r w:rsidR="00EE1EE0">
        <w:rPr>
          <w:i/>
        </w:rPr>
        <w:t xml:space="preserve">Categories </w:t>
      </w:r>
      <w:r w:rsidR="00EE1EE0">
        <w:t>more specifically</w:t>
      </w:r>
      <w:r w:rsidR="00933F48">
        <w:t xml:space="preserve">. </w:t>
      </w:r>
      <w:r w:rsidR="00F41621">
        <w:t xml:space="preserve">The text’s main concern is to explain the </w:t>
      </w:r>
      <w:r w:rsidR="00F41621" w:rsidRPr="00F41621">
        <w:rPr>
          <w:i/>
        </w:rPr>
        <w:t xml:space="preserve">five </w:t>
      </w:r>
      <w:proofErr w:type="spellStart"/>
      <w:r w:rsidR="00F41621" w:rsidRPr="00F41621">
        <w:rPr>
          <w:i/>
        </w:rPr>
        <w:t>Porphyrian</w:t>
      </w:r>
      <w:proofErr w:type="spellEnd"/>
      <w:r w:rsidR="00F41621" w:rsidRPr="00F41621">
        <w:rPr>
          <w:i/>
        </w:rPr>
        <w:t xml:space="preserve"> </w:t>
      </w:r>
      <w:proofErr w:type="spellStart"/>
      <w:r w:rsidR="00F41621" w:rsidRPr="00F41621">
        <w:rPr>
          <w:i/>
        </w:rPr>
        <w:t>predicables</w:t>
      </w:r>
      <w:proofErr w:type="spellEnd"/>
      <w:r w:rsidR="00F41621">
        <w:t xml:space="preserve"> – genus, species, difference, property, accident – which are five basic ways in which things predicated of a subject relate to that subject. Though Porphyry himself deliberately refrains from </w:t>
      </w:r>
      <w:r w:rsidR="0060073A">
        <w:t>attempting to solve</w:t>
      </w:r>
      <w:r w:rsidR="00F41621">
        <w:t xml:space="preserve"> it, d</w:t>
      </w:r>
      <w:r w:rsidR="00933F48">
        <w:t>iscussions of this</w:t>
      </w:r>
      <w:r w:rsidR="00DD0996">
        <w:t xml:space="preserve"> </w:t>
      </w:r>
      <w:r w:rsidR="00933F48">
        <w:t xml:space="preserve">text </w:t>
      </w:r>
      <w:r w:rsidR="00DD0996">
        <w:t xml:space="preserve">often centered on the </w:t>
      </w:r>
      <w:r w:rsidR="00F41621">
        <w:rPr>
          <w:i/>
        </w:rPr>
        <w:t>problem of universals</w:t>
      </w:r>
      <w:r w:rsidR="00F41621">
        <w:t xml:space="preserve">, a series of problems </w:t>
      </w:r>
      <w:r w:rsidR="0060073A">
        <w:t xml:space="preserve">revolving around that of </w:t>
      </w:r>
      <w:r w:rsidR="00243C2E">
        <w:t xml:space="preserve">the relationship things predicable of many subjects bear to </w:t>
      </w:r>
      <w:r w:rsidR="00871B10">
        <w:t xml:space="preserve">the </w:t>
      </w:r>
      <w:r w:rsidR="00243C2E">
        <w:t>numerically singular particular</w:t>
      </w:r>
      <w:r w:rsidR="00871B10">
        <w:t>s they are predicated</w:t>
      </w:r>
      <w:r w:rsidR="00243C2E">
        <w:t xml:space="preserve"> of. </w:t>
      </w:r>
      <w:r w:rsidR="00871B10">
        <w:t>Prior to the 13</w:t>
      </w:r>
      <w:r w:rsidR="00243C2E" w:rsidRPr="00243C2E">
        <w:rPr>
          <w:vertAlign w:val="superscript"/>
        </w:rPr>
        <w:t>th</w:t>
      </w:r>
      <w:r w:rsidR="00243C2E">
        <w:t xml:space="preserve"> century, </w:t>
      </w:r>
      <w:r w:rsidR="00871B10">
        <w:t xml:space="preserve">this text </w:t>
      </w:r>
      <w:r w:rsidR="00243C2E">
        <w:t xml:space="preserve">was </w:t>
      </w:r>
      <w:r w:rsidR="00DF7D6F">
        <w:t xml:space="preserve">often </w:t>
      </w:r>
      <w:r w:rsidR="00243C2E">
        <w:t xml:space="preserve">accompanied by one </w:t>
      </w:r>
      <w:r w:rsidR="00DF7D6F">
        <w:t xml:space="preserve">or both </w:t>
      </w:r>
      <w:proofErr w:type="spellStart"/>
      <w:r w:rsidR="00DF7D6F">
        <w:t>Boethian</w:t>
      </w:r>
      <w:proofErr w:type="spellEnd"/>
      <w:r w:rsidR="00DF7D6F">
        <w:t xml:space="preserve"> commentaries on it. T</w:t>
      </w:r>
      <w:r w:rsidR="00243C2E">
        <w:t xml:space="preserve">he first, called the </w:t>
      </w:r>
      <w:r w:rsidR="00243C2E">
        <w:rPr>
          <w:i/>
        </w:rPr>
        <w:t>lesser commentary</w:t>
      </w:r>
      <w:r w:rsidR="00DF7D6F">
        <w:t xml:space="preserve"> or occasionally the </w:t>
      </w:r>
      <w:proofErr w:type="spellStart"/>
      <w:r w:rsidR="00DF7D6F">
        <w:rPr>
          <w:i/>
        </w:rPr>
        <w:t>dialogus</w:t>
      </w:r>
      <w:proofErr w:type="spellEnd"/>
      <w:r w:rsidR="00243C2E">
        <w:t xml:space="preserve">, was </w:t>
      </w:r>
      <w:r w:rsidR="00DF7D6F">
        <w:t xml:space="preserve">written in a dialogue form, and is not so much a commentary on the </w:t>
      </w:r>
      <w:proofErr w:type="spellStart"/>
      <w:r w:rsidR="00DF7D6F">
        <w:t>Isagoge</w:t>
      </w:r>
      <w:proofErr w:type="spellEnd"/>
      <w:r w:rsidR="00DF7D6F">
        <w:t xml:space="preserve"> as an introduction to it. The second, </w:t>
      </w:r>
      <w:r w:rsidR="00DF7D6F">
        <w:lastRenderedPageBreak/>
        <w:t xml:space="preserve">called the </w:t>
      </w:r>
      <w:r w:rsidR="00DF7D6F">
        <w:rPr>
          <w:i/>
        </w:rPr>
        <w:t>greater commentary</w:t>
      </w:r>
      <w:r w:rsidR="00DF7D6F">
        <w:t xml:space="preserve">, is considerably longer, providing a section by section exposition of Porphyry’s text. </w:t>
      </w:r>
    </w:p>
    <w:p w:rsidR="0006324B" w:rsidRDefault="00127C10" w:rsidP="00B427D9">
      <w:pPr>
        <w:spacing w:line="480" w:lineRule="auto"/>
        <w:jc w:val="both"/>
      </w:pPr>
      <w:r>
        <w:tab/>
      </w:r>
      <w:r w:rsidR="00243C2E">
        <w:t xml:space="preserve">The </w:t>
      </w:r>
      <w:r w:rsidR="00DF7D6F" w:rsidRPr="00DF7D6F">
        <w:rPr>
          <w:i/>
        </w:rPr>
        <w:t>Categories</w:t>
      </w:r>
      <w:r w:rsidR="00DF7D6F">
        <w:t xml:space="preserve"> and </w:t>
      </w:r>
      <w:proofErr w:type="spellStart"/>
      <w:r w:rsidR="00DF7D6F">
        <w:rPr>
          <w:i/>
        </w:rPr>
        <w:t>Periermenias</w:t>
      </w:r>
      <w:proofErr w:type="spellEnd"/>
      <w:r w:rsidR="00DF7D6F">
        <w:t xml:space="preserve"> </w:t>
      </w:r>
      <w:r w:rsidR="00871B10">
        <w:t xml:space="preserve">were </w:t>
      </w:r>
      <w:r w:rsidR="00DF7D6F">
        <w:t xml:space="preserve">the only </w:t>
      </w:r>
      <w:r w:rsidR="008B45FE">
        <w:t xml:space="preserve">works of Aristotle available throughout the </w:t>
      </w:r>
      <w:proofErr w:type="gramStart"/>
      <w:r w:rsidR="008B45FE">
        <w:t>Middle</w:t>
      </w:r>
      <w:proofErr w:type="gramEnd"/>
      <w:r w:rsidR="008B45FE">
        <w:t xml:space="preserve"> Ages. </w:t>
      </w:r>
      <w:r w:rsidR="00871B10">
        <w:t>T</w:t>
      </w:r>
      <w:r w:rsidR="0006324B">
        <w:t xml:space="preserve">he </w:t>
      </w:r>
      <w:r w:rsidR="0006324B">
        <w:rPr>
          <w:i/>
        </w:rPr>
        <w:t xml:space="preserve">Categories </w:t>
      </w:r>
      <w:r w:rsidR="0006324B">
        <w:t>treats the most general genera under which an</w:t>
      </w:r>
      <w:r w:rsidR="00F857CC">
        <w:t>ything spoken about must belong, while t</w:t>
      </w:r>
      <w:r w:rsidR="0006324B">
        <w:t xml:space="preserve">he </w:t>
      </w:r>
      <w:proofErr w:type="spellStart"/>
      <w:r w:rsidR="0006324B">
        <w:rPr>
          <w:i/>
        </w:rPr>
        <w:t>Periermenias</w:t>
      </w:r>
      <w:proofErr w:type="spellEnd"/>
      <w:r w:rsidR="0006324B">
        <w:t xml:space="preserve"> gives Aristotle’s account of the proposition, explaining</w:t>
      </w:r>
      <w:r w:rsidR="00F74E72">
        <w:t xml:space="preserve"> the different kinds of propositions as well as the constitutive parts belonging to them. Each of these treatises has a standard commentary attributed to Boethius.</w:t>
      </w:r>
      <w:r w:rsidR="0006324B">
        <w:t xml:space="preserve"> </w:t>
      </w:r>
      <w:r w:rsidR="00F74E72">
        <w:t xml:space="preserve">While Boethius’ </w:t>
      </w:r>
      <w:r w:rsidR="00F74E72">
        <w:rPr>
          <w:i/>
        </w:rPr>
        <w:t xml:space="preserve">Categories </w:t>
      </w:r>
      <w:r w:rsidR="00F74E72">
        <w:t xml:space="preserve">commentary has a less complicated manuscript tradition, the </w:t>
      </w:r>
      <w:proofErr w:type="spellStart"/>
      <w:r w:rsidR="00F74E72">
        <w:rPr>
          <w:i/>
        </w:rPr>
        <w:t>Periermenias</w:t>
      </w:r>
      <w:proofErr w:type="spellEnd"/>
      <w:r w:rsidR="00F74E72">
        <w:t xml:space="preserve"> has two distinct editions – presumably because Boethius himself edited and expanded his original commentary after it had already begun to circulate – as well as manuscripts representing a mix of the two. </w:t>
      </w:r>
    </w:p>
    <w:p w:rsidR="00F74E72" w:rsidRDefault="00127C10" w:rsidP="00B427D9">
      <w:pPr>
        <w:spacing w:line="480" w:lineRule="auto"/>
        <w:jc w:val="both"/>
      </w:pPr>
      <w:r>
        <w:tab/>
      </w:r>
      <w:r w:rsidR="00F74E72">
        <w:t xml:space="preserve">The </w:t>
      </w:r>
      <w:r w:rsidR="00F74E72">
        <w:rPr>
          <w:i/>
        </w:rPr>
        <w:t xml:space="preserve">Categories </w:t>
      </w:r>
      <w:r w:rsidR="00F74E72">
        <w:t>only provides in-depth discussions of four categories: substance, quality, quantity an</w:t>
      </w:r>
      <w:r w:rsidR="007F3655">
        <w:t>d relation. The treatise</w:t>
      </w:r>
      <w:r w:rsidR="00F74E72">
        <w:t xml:space="preserve"> only briefly mentions the remaining – habit, place, position, time, action, passion – in chapter 9. The </w:t>
      </w:r>
      <w:r w:rsidR="00F74E72">
        <w:rPr>
          <w:i/>
        </w:rPr>
        <w:t xml:space="preserve">Liber Sex </w:t>
      </w:r>
      <w:proofErr w:type="spellStart"/>
      <w:r w:rsidR="00F74E72">
        <w:rPr>
          <w:i/>
        </w:rPr>
        <w:t>Principiorum</w:t>
      </w:r>
      <w:proofErr w:type="spellEnd"/>
      <w:r w:rsidR="00F74E72">
        <w:t xml:space="preserve"> is a 12</w:t>
      </w:r>
      <w:r w:rsidR="00F74E72" w:rsidRPr="00F74E72">
        <w:rPr>
          <w:vertAlign w:val="superscript"/>
        </w:rPr>
        <w:t>th</w:t>
      </w:r>
      <w:r w:rsidR="00F74E72">
        <w:t xml:space="preserve"> century Latin treatise intended to fill the gap left by Aristotle here, and provides detailed treatments of each of these, as well as discussion of </w:t>
      </w:r>
      <w:r w:rsidR="007F3655">
        <w:t xml:space="preserve">materials relevant to the categories from the </w:t>
      </w:r>
      <w:r w:rsidR="007F3655">
        <w:rPr>
          <w:i/>
        </w:rPr>
        <w:t>Metaphysics</w:t>
      </w:r>
      <w:r w:rsidR="007F3655">
        <w:t xml:space="preserve"> and excerpts from the </w:t>
      </w:r>
      <w:r w:rsidR="007F3655">
        <w:rPr>
          <w:i/>
        </w:rPr>
        <w:t xml:space="preserve">De </w:t>
      </w:r>
      <w:proofErr w:type="spellStart"/>
      <w:r w:rsidR="007F3655">
        <w:rPr>
          <w:i/>
        </w:rPr>
        <w:t>generatione</w:t>
      </w:r>
      <w:proofErr w:type="spellEnd"/>
      <w:r w:rsidR="007F3655">
        <w:rPr>
          <w:i/>
        </w:rPr>
        <w:t xml:space="preserve"> et </w:t>
      </w:r>
      <w:proofErr w:type="spellStart"/>
      <w:r w:rsidR="007F3655">
        <w:rPr>
          <w:i/>
        </w:rPr>
        <w:t>corruptione</w:t>
      </w:r>
      <w:proofErr w:type="spellEnd"/>
      <w:r w:rsidR="007F3655">
        <w:t xml:space="preserve">. </w:t>
      </w:r>
    </w:p>
    <w:p w:rsidR="002E608A" w:rsidRPr="00196817" w:rsidRDefault="00127C10" w:rsidP="00B427D9">
      <w:pPr>
        <w:spacing w:line="480" w:lineRule="auto"/>
        <w:jc w:val="both"/>
      </w:pPr>
      <w:r>
        <w:tab/>
      </w:r>
      <w:r w:rsidR="007F3655">
        <w:t>The four works by Boethius</w:t>
      </w:r>
      <w:r w:rsidR="00B705D9">
        <w:t xml:space="preserve"> Abelard mentions – the </w:t>
      </w:r>
      <w:r w:rsidR="00B705D9">
        <w:rPr>
          <w:i/>
        </w:rPr>
        <w:t xml:space="preserve">de </w:t>
      </w:r>
      <w:proofErr w:type="spellStart"/>
      <w:r w:rsidR="00B705D9">
        <w:rPr>
          <w:i/>
        </w:rPr>
        <w:t>divisione</w:t>
      </w:r>
      <w:proofErr w:type="spellEnd"/>
      <w:r w:rsidR="00B705D9">
        <w:t xml:space="preserve">, </w:t>
      </w:r>
      <w:r w:rsidR="00B705D9">
        <w:rPr>
          <w:i/>
        </w:rPr>
        <w:t xml:space="preserve">de </w:t>
      </w:r>
      <w:proofErr w:type="spellStart"/>
      <w:r w:rsidR="00B705D9">
        <w:rPr>
          <w:i/>
        </w:rPr>
        <w:t>differentiis</w:t>
      </w:r>
      <w:proofErr w:type="spellEnd"/>
      <w:r w:rsidR="00B705D9">
        <w:rPr>
          <w:i/>
        </w:rPr>
        <w:t xml:space="preserve"> </w:t>
      </w:r>
      <w:proofErr w:type="spellStart"/>
      <w:r w:rsidR="00B705D9">
        <w:rPr>
          <w:i/>
        </w:rPr>
        <w:t>topicis</w:t>
      </w:r>
      <w:proofErr w:type="spellEnd"/>
      <w:r w:rsidR="00B705D9">
        <w:t xml:space="preserve">, </w:t>
      </w:r>
      <w:r w:rsidR="00B705D9">
        <w:rPr>
          <w:i/>
        </w:rPr>
        <w:t xml:space="preserve">de </w:t>
      </w:r>
      <w:proofErr w:type="spellStart"/>
      <w:r w:rsidR="00B705D9">
        <w:rPr>
          <w:i/>
        </w:rPr>
        <w:t>syllogismis</w:t>
      </w:r>
      <w:proofErr w:type="spellEnd"/>
      <w:r w:rsidR="00B705D9">
        <w:rPr>
          <w:i/>
        </w:rPr>
        <w:t xml:space="preserve"> </w:t>
      </w:r>
      <w:proofErr w:type="spellStart"/>
      <w:r w:rsidR="00B705D9">
        <w:rPr>
          <w:i/>
        </w:rPr>
        <w:t>hypotheticis</w:t>
      </w:r>
      <w:proofErr w:type="spellEnd"/>
      <w:r w:rsidR="00B705D9">
        <w:rPr>
          <w:i/>
        </w:rPr>
        <w:t xml:space="preserve"> </w:t>
      </w:r>
      <w:r w:rsidR="00B705D9">
        <w:t xml:space="preserve">and the </w:t>
      </w:r>
      <w:r w:rsidR="00B705D9">
        <w:rPr>
          <w:i/>
        </w:rPr>
        <w:t xml:space="preserve">de </w:t>
      </w:r>
      <w:proofErr w:type="spellStart"/>
      <w:r w:rsidR="00B705D9">
        <w:rPr>
          <w:i/>
        </w:rPr>
        <w:t>syllogismis</w:t>
      </w:r>
      <w:proofErr w:type="spellEnd"/>
      <w:r w:rsidR="00B705D9">
        <w:rPr>
          <w:i/>
        </w:rPr>
        <w:t xml:space="preserve"> </w:t>
      </w:r>
      <w:proofErr w:type="spellStart"/>
      <w:r w:rsidR="00B705D9">
        <w:rPr>
          <w:i/>
        </w:rPr>
        <w:t>categoricis</w:t>
      </w:r>
      <w:proofErr w:type="spellEnd"/>
      <w:r w:rsidR="00B705D9">
        <w:t xml:space="preserve"> – are broadly concerned with </w:t>
      </w:r>
      <w:r w:rsidR="00196817">
        <w:t>deduction and argumentation</w:t>
      </w:r>
      <w:r w:rsidR="00B705D9">
        <w:t xml:space="preserve">. The latter two treat hypothetical and demonstrative syllogisms, respectively. Hypothetical syllogisms </w:t>
      </w:r>
      <w:r w:rsidR="00906461">
        <w:t xml:space="preserve">are formally valid syllogisms whose premises may or may not hold; while categorical syllogisms are </w:t>
      </w:r>
      <w:r w:rsidR="00906461" w:rsidRPr="00906461">
        <w:rPr>
          <w:i/>
        </w:rPr>
        <w:t>demonstrative</w:t>
      </w:r>
      <w:r w:rsidR="00906461">
        <w:t xml:space="preserve"> – that is, they are valid, sound, their premises are known to be true, and they are better known than the conclusion they lead to. The </w:t>
      </w:r>
      <w:r w:rsidR="00906461">
        <w:rPr>
          <w:i/>
        </w:rPr>
        <w:t xml:space="preserve">de </w:t>
      </w:r>
      <w:proofErr w:type="spellStart"/>
      <w:r w:rsidR="00906461">
        <w:rPr>
          <w:i/>
        </w:rPr>
        <w:t>differentiis</w:t>
      </w:r>
      <w:proofErr w:type="spellEnd"/>
      <w:r w:rsidR="00906461">
        <w:rPr>
          <w:i/>
        </w:rPr>
        <w:t xml:space="preserve"> </w:t>
      </w:r>
      <w:proofErr w:type="spellStart"/>
      <w:r w:rsidR="00906461">
        <w:rPr>
          <w:i/>
        </w:rPr>
        <w:t>topicis</w:t>
      </w:r>
      <w:proofErr w:type="spellEnd"/>
      <w:r w:rsidR="00906461">
        <w:t xml:space="preserve"> attempts to reconcile two different ways of understanding what a topic is: one </w:t>
      </w:r>
      <w:r w:rsidR="00196817">
        <w:t xml:space="preserve">deriving from </w:t>
      </w:r>
      <w:r w:rsidR="00906461">
        <w:t>Aristotle</w:t>
      </w:r>
      <w:r w:rsidR="00196817">
        <w:t>’s</w:t>
      </w:r>
      <w:r w:rsidR="00906461">
        <w:t xml:space="preserve">, the other deriving from Cicero’s </w:t>
      </w:r>
      <w:r w:rsidR="00196817" w:rsidRPr="002E608A">
        <w:rPr>
          <w:i/>
        </w:rPr>
        <w:t>Topics</w:t>
      </w:r>
      <w:r w:rsidR="002E608A">
        <w:t xml:space="preserve">, </w:t>
      </w:r>
      <w:r w:rsidR="002E608A" w:rsidRPr="002E608A">
        <w:t>b</w:t>
      </w:r>
      <w:r w:rsidR="00196817" w:rsidRPr="002E608A">
        <w:t>oth</w:t>
      </w:r>
      <w:r w:rsidR="00196817">
        <w:t xml:space="preserve"> </w:t>
      </w:r>
      <w:r w:rsidR="002E608A">
        <w:t xml:space="preserve">of which </w:t>
      </w:r>
      <w:r w:rsidR="00196817">
        <w:t xml:space="preserve">are treatises providing methods for discovering arguments in </w:t>
      </w:r>
      <w:r w:rsidR="00196817">
        <w:lastRenderedPageBreak/>
        <w:t xml:space="preserve">a context of a formal disputation.  The </w:t>
      </w:r>
      <w:r w:rsidR="00196817">
        <w:rPr>
          <w:i/>
        </w:rPr>
        <w:t xml:space="preserve">de </w:t>
      </w:r>
      <w:proofErr w:type="spellStart"/>
      <w:r w:rsidR="00196817">
        <w:rPr>
          <w:i/>
        </w:rPr>
        <w:t>divisione</w:t>
      </w:r>
      <w:proofErr w:type="spellEnd"/>
      <w:r w:rsidR="00196817">
        <w:t xml:space="preserve"> </w:t>
      </w:r>
      <w:r w:rsidR="00A8276A">
        <w:t xml:space="preserve">is concerned with </w:t>
      </w:r>
      <w:r w:rsidR="00B01D31">
        <w:t>the different ways in which certain concepts, names, and relations may be divided.</w:t>
      </w:r>
    </w:p>
    <w:p w:rsidR="00C148AC" w:rsidRDefault="0050001F" w:rsidP="00B427D9">
      <w:pPr>
        <w:pStyle w:val="Heading1"/>
        <w:jc w:val="both"/>
      </w:pPr>
      <w:r>
        <w:t>The study of</w:t>
      </w:r>
      <w:r w:rsidR="00C148AC">
        <w:t xml:space="preserve"> Logic </w:t>
      </w:r>
      <w:r w:rsidR="00A8276A">
        <w:t xml:space="preserve">prior to </w:t>
      </w:r>
      <w:r w:rsidR="00C148AC">
        <w:t>the 13</w:t>
      </w:r>
      <w:r w:rsidR="00C148AC" w:rsidRPr="00C148AC">
        <w:rPr>
          <w:vertAlign w:val="superscript"/>
        </w:rPr>
        <w:t>th</w:t>
      </w:r>
      <w:r w:rsidR="00C148AC">
        <w:t xml:space="preserve"> Century</w:t>
      </w:r>
    </w:p>
    <w:p w:rsidR="00745C27" w:rsidRDefault="00127C10" w:rsidP="00B427D9">
      <w:pPr>
        <w:spacing w:line="480" w:lineRule="auto"/>
        <w:jc w:val="both"/>
      </w:pPr>
      <w:r>
        <w:tab/>
      </w:r>
      <w:r w:rsidR="002E608A">
        <w:t>In the manuscripts available to us from the 9</w:t>
      </w:r>
      <w:r w:rsidR="002E608A" w:rsidRPr="002E608A">
        <w:rPr>
          <w:vertAlign w:val="superscript"/>
        </w:rPr>
        <w:t>th</w:t>
      </w:r>
      <w:r w:rsidR="002E608A">
        <w:t xml:space="preserve"> to the </w:t>
      </w:r>
      <w:r w:rsidR="00676D08">
        <w:t>12</w:t>
      </w:r>
      <w:r w:rsidR="002E608A" w:rsidRPr="002E608A">
        <w:rPr>
          <w:vertAlign w:val="superscript"/>
        </w:rPr>
        <w:t>th</w:t>
      </w:r>
      <w:r w:rsidR="002E608A">
        <w:t xml:space="preserve"> century, w</w:t>
      </w:r>
      <w:r w:rsidR="009201D6">
        <w:t xml:space="preserve">e can see the following. St. </w:t>
      </w:r>
      <w:proofErr w:type="spellStart"/>
      <w:r w:rsidR="009201D6">
        <w:t>Germain</w:t>
      </w:r>
      <w:proofErr w:type="spellEnd"/>
      <w:r w:rsidR="009201D6">
        <w:t xml:space="preserve"> de Pres</w:t>
      </w:r>
      <w:r w:rsidR="00676D08">
        <w:t xml:space="preserve"> in Paris</w:t>
      </w:r>
      <w:r w:rsidR="00F65282">
        <w:t xml:space="preserve">, </w:t>
      </w:r>
      <w:r w:rsidR="009201D6">
        <w:t xml:space="preserve">St. Mary’s </w:t>
      </w:r>
      <w:r w:rsidR="00676D08">
        <w:t>of Chartres</w:t>
      </w:r>
      <w:r w:rsidR="00F65282">
        <w:t>,</w:t>
      </w:r>
      <w:r w:rsidR="00676D08">
        <w:t xml:space="preserve"> </w:t>
      </w:r>
      <w:r w:rsidR="00F65282">
        <w:t xml:space="preserve">St. </w:t>
      </w:r>
      <w:proofErr w:type="spellStart"/>
      <w:r w:rsidR="00F65282">
        <w:t>Willibrode’s</w:t>
      </w:r>
      <w:proofErr w:type="spellEnd"/>
      <w:r w:rsidR="00F65282">
        <w:t xml:space="preserve"> at </w:t>
      </w:r>
      <w:proofErr w:type="spellStart"/>
      <w:r w:rsidR="00F65282">
        <w:t>Epternach</w:t>
      </w:r>
      <w:proofErr w:type="spellEnd"/>
      <w:r w:rsidR="00F65282">
        <w:t xml:space="preserve">, St. Peter’s at </w:t>
      </w:r>
      <w:proofErr w:type="spellStart"/>
      <w:r w:rsidR="00F65282">
        <w:t>Corbie</w:t>
      </w:r>
      <w:proofErr w:type="spellEnd"/>
      <w:r w:rsidR="00F65282">
        <w:t xml:space="preserve">, and St. Benedict’s at Fleury-sur-Loire </w:t>
      </w:r>
      <w:r w:rsidR="00676D08">
        <w:t xml:space="preserve">provide us with the earliest texts. </w:t>
      </w:r>
      <w:r w:rsidR="00F65282">
        <w:t>In the 11</w:t>
      </w:r>
      <w:r w:rsidR="00F65282" w:rsidRPr="00F65282">
        <w:rPr>
          <w:vertAlign w:val="superscript"/>
        </w:rPr>
        <w:t>th</w:t>
      </w:r>
      <w:r w:rsidR="00F65282">
        <w:t xml:space="preserve"> century, we begin to see texts from Saint-Michel, Arras, and St. Victor’s near Paris as well.</w:t>
      </w:r>
      <w:r w:rsidR="00607D7F">
        <w:t xml:space="preserve"> During this period, those works of Aristotle known in the west almost always circulate with the accompaniment of a </w:t>
      </w:r>
      <w:proofErr w:type="spellStart"/>
      <w:r w:rsidR="00607D7F">
        <w:t>Boethian</w:t>
      </w:r>
      <w:proofErr w:type="spellEnd"/>
      <w:r w:rsidR="00607D7F">
        <w:t xml:space="preserve"> commentary. And often, the commentary along with the text itself will fill </w:t>
      </w:r>
      <w:r w:rsidR="00F857CC">
        <w:t xml:space="preserve">its </w:t>
      </w:r>
      <w:r w:rsidR="00607D7F">
        <w:t>codex. In those cases where the Aristotelian texts are accompanied by others, the overall unity of the codex varies. In some cases, there is clear evidence of a plan of study</w:t>
      </w:r>
      <w:r w:rsidR="00D91394">
        <w:t>,</w:t>
      </w:r>
      <w:r w:rsidR="00D91394">
        <w:rPr>
          <w:rStyle w:val="FootnoteReference"/>
        </w:rPr>
        <w:footnoteReference w:id="6"/>
      </w:r>
      <w:r w:rsidR="00D91394">
        <w:t xml:space="preserve"> while others place logical commentaries side by side with epistles or patristic works.</w:t>
      </w:r>
      <w:r w:rsidR="00D91394">
        <w:rPr>
          <w:rStyle w:val="FootnoteReference"/>
        </w:rPr>
        <w:footnoteReference w:id="7"/>
      </w:r>
      <w:r w:rsidR="00D91394">
        <w:t xml:space="preserve"> Typically, if a codex contains the </w:t>
      </w:r>
      <w:proofErr w:type="spellStart"/>
      <w:r w:rsidR="00D91394">
        <w:rPr>
          <w:i/>
        </w:rPr>
        <w:t>Isagoge</w:t>
      </w:r>
      <w:proofErr w:type="spellEnd"/>
      <w:r w:rsidR="00D91394">
        <w:t xml:space="preserve">, </w:t>
      </w:r>
      <w:r w:rsidR="00D91394">
        <w:rPr>
          <w:i/>
        </w:rPr>
        <w:t>Categories</w:t>
      </w:r>
      <w:r w:rsidR="00D91394">
        <w:t xml:space="preserve">, or </w:t>
      </w:r>
      <w:proofErr w:type="spellStart"/>
      <w:r w:rsidR="00D91394">
        <w:rPr>
          <w:i/>
        </w:rPr>
        <w:t>Periermenias</w:t>
      </w:r>
      <w:proofErr w:type="spellEnd"/>
      <w:r w:rsidR="00D91394">
        <w:t>, then the other works in that codex will be of a broadly logical nature – though occasionally one finds works of grammar as well.</w:t>
      </w:r>
      <w:r w:rsidR="00D91394">
        <w:rPr>
          <w:rStyle w:val="FootnoteReference"/>
        </w:rPr>
        <w:footnoteReference w:id="8"/>
      </w:r>
      <w:r w:rsidR="00D91394">
        <w:t xml:space="preserve"> But even when works are from a single monastery, there is </w:t>
      </w:r>
      <w:r w:rsidR="006722FB">
        <w:t xml:space="preserve">little </w:t>
      </w:r>
      <w:r w:rsidR="00D91394">
        <w:t xml:space="preserve">standardization concerning the order </w:t>
      </w:r>
      <w:r w:rsidR="00F857CC">
        <w:t xml:space="preserve">of </w:t>
      </w:r>
      <w:r w:rsidR="00D91394">
        <w:t xml:space="preserve">works in a given codex, or even concerning </w:t>
      </w:r>
      <w:r w:rsidR="00D91394">
        <w:rPr>
          <w:i/>
        </w:rPr>
        <w:t xml:space="preserve">which </w:t>
      </w:r>
      <w:r w:rsidR="00D91394">
        <w:t xml:space="preserve">works should be </w:t>
      </w:r>
      <w:r w:rsidR="006722FB">
        <w:t>studied</w:t>
      </w:r>
      <w:r w:rsidR="00D91394">
        <w:t xml:space="preserve">.  </w:t>
      </w:r>
      <w:r w:rsidR="00E97F9C">
        <w:t xml:space="preserve">The only schools with enough of a manuscript footprint for us to discern any patterns are St. Mary’s of Chartres and St. Benedict’s at Fleury-sur-Loire. </w:t>
      </w:r>
    </w:p>
    <w:p w:rsidR="00E97F9C" w:rsidRDefault="00127C10" w:rsidP="00B427D9">
      <w:pPr>
        <w:spacing w:line="480" w:lineRule="auto"/>
        <w:jc w:val="both"/>
      </w:pPr>
      <w:r>
        <w:tab/>
      </w:r>
      <w:r w:rsidR="00E97F9C">
        <w:t xml:space="preserve">The </w:t>
      </w:r>
      <w:proofErr w:type="spellStart"/>
      <w:r w:rsidR="00E97F9C">
        <w:t>Chartrian</w:t>
      </w:r>
      <w:proofErr w:type="spellEnd"/>
      <w:r w:rsidR="00E97F9C">
        <w:t xml:space="preserve"> </w:t>
      </w:r>
      <w:r w:rsidR="0050001F">
        <w:t>School</w:t>
      </w:r>
      <w:r w:rsidR="007262F2">
        <w:t xml:space="preserve"> is notable for the sheer variety of texts it possessed.</w:t>
      </w:r>
      <w:r w:rsidR="00A62C90">
        <w:rPr>
          <w:rStyle w:val="FootnoteReference"/>
        </w:rPr>
        <w:footnoteReference w:id="9"/>
      </w:r>
      <w:r w:rsidR="007262F2">
        <w:t xml:space="preserve"> It had multiple copies of the </w:t>
      </w:r>
      <w:proofErr w:type="spellStart"/>
      <w:r w:rsidR="007262F2" w:rsidRPr="007262F2">
        <w:rPr>
          <w:i/>
        </w:rPr>
        <w:t>Isagoge</w:t>
      </w:r>
      <w:proofErr w:type="spellEnd"/>
      <w:r w:rsidR="007262F2">
        <w:t xml:space="preserve">, </w:t>
      </w:r>
      <w:r w:rsidR="007262F2">
        <w:rPr>
          <w:i/>
        </w:rPr>
        <w:t>Categories</w:t>
      </w:r>
      <w:r w:rsidR="007262F2" w:rsidRPr="007262F2">
        <w:t>,</w:t>
      </w:r>
      <w:r w:rsidR="007262F2">
        <w:rPr>
          <w:i/>
        </w:rPr>
        <w:t xml:space="preserve"> </w:t>
      </w:r>
      <w:r w:rsidR="007262F2">
        <w:t xml:space="preserve">and </w:t>
      </w:r>
      <w:proofErr w:type="spellStart"/>
      <w:r w:rsidR="007262F2" w:rsidRPr="007262F2">
        <w:rPr>
          <w:i/>
        </w:rPr>
        <w:t>Periermenias</w:t>
      </w:r>
      <w:proofErr w:type="spellEnd"/>
      <w:r w:rsidR="007262F2">
        <w:t xml:space="preserve"> with commentaries by Boethius</w:t>
      </w:r>
      <w:r w:rsidR="004F073C">
        <w:t>,</w:t>
      </w:r>
      <w:r w:rsidR="007262F2">
        <w:t xml:space="preserve"> </w:t>
      </w:r>
      <w:r w:rsidR="004F073C">
        <w:t xml:space="preserve">as well as Apuleius’ </w:t>
      </w:r>
      <w:proofErr w:type="spellStart"/>
      <w:r w:rsidR="007262F2">
        <w:rPr>
          <w:i/>
        </w:rPr>
        <w:t>Periermenias</w:t>
      </w:r>
      <w:proofErr w:type="spellEnd"/>
      <w:r w:rsidR="004F073C">
        <w:rPr>
          <w:i/>
        </w:rPr>
        <w:t xml:space="preserve"> </w:t>
      </w:r>
      <w:r w:rsidR="004F073C">
        <w:t>compendium</w:t>
      </w:r>
      <w:r w:rsidR="007262F2">
        <w:t xml:space="preserve">. It </w:t>
      </w:r>
      <w:r w:rsidR="00A62C90">
        <w:t xml:space="preserve">has an early specimen of Cicero’s </w:t>
      </w:r>
      <w:r w:rsidR="00A62C90">
        <w:rPr>
          <w:i/>
        </w:rPr>
        <w:t xml:space="preserve">Topics </w:t>
      </w:r>
      <w:r w:rsidR="00A62C90">
        <w:t xml:space="preserve">with Boethius’ commentary on it, the Pseudo-Augustinian </w:t>
      </w:r>
      <w:proofErr w:type="spellStart"/>
      <w:r w:rsidR="00A62C90">
        <w:rPr>
          <w:i/>
        </w:rPr>
        <w:t>Categoriae</w:t>
      </w:r>
      <w:proofErr w:type="spellEnd"/>
      <w:r w:rsidR="00A62C90">
        <w:rPr>
          <w:i/>
        </w:rPr>
        <w:t xml:space="preserve"> </w:t>
      </w:r>
      <w:proofErr w:type="spellStart"/>
      <w:r w:rsidR="00A62C90">
        <w:rPr>
          <w:i/>
        </w:rPr>
        <w:t>Decem</w:t>
      </w:r>
      <w:proofErr w:type="spellEnd"/>
      <w:r w:rsidR="00A62C90" w:rsidRPr="00A62C90">
        <w:t>,</w:t>
      </w:r>
      <w:r w:rsidR="00A62C90">
        <w:rPr>
          <w:i/>
        </w:rPr>
        <w:t xml:space="preserve"> </w:t>
      </w:r>
      <w:r w:rsidR="004F073C">
        <w:t xml:space="preserve">and </w:t>
      </w:r>
      <w:r w:rsidR="00A62C90">
        <w:t xml:space="preserve">one of the earliest copies of the </w:t>
      </w:r>
      <w:r w:rsidR="00415431">
        <w:t xml:space="preserve">newly rediscovered </w:t>
      </w:r>
      <w:proofErr w:type="spellStart"/>
      <w:r w:rsidR="00A62C90">
        <w:rPr>
          <w:i/>
        </w:rPr>
        <w:lastRenderedPageBreak/>
        <w:t>Sophistici</w:t>
      </w:r>
      <w:proofErr w:type="spellEnd"/>
      <w:r w:rsidR="00A62C90">
        <w:rPr>
          <w:i/>
        </w:rPr>
        <w:t xml:space="preserve"> </w:t>
      </w:r>
      <w:proofErr w:type="spellStart"/>
      <w:r w:rsidR="00A62C90">
        <w:rPr>
          <w:i/>
        </w:rPr>
        <w:t>Elenchi</w:t>
      </w:r>
      <w:proofErr w:type="spellEnd"/>
      <w:r w:rsidR="00A62C90">
        <w:t xml:space="preserve">. Lastly, </w:t>
      </w:r>
      <w:r w:rsidR="004F073C">
        <w:t>one of its manuscripts</w:t>
      </w:r>
      <w:r w:rsidR="00A62C90">
        <w:rPr>
          <w:rStyle w:val="FootnoteReference"/>
        </w:rPr>
        <w:footnoteReference w:id="10"/>
      </w:r>
      <w:r w:rsidR="00A62C90">
        <w:t xml:space="preserve"> contains a surprising number of </w:t>
      </w:r>
      <w:r w:rsidR="00415431">
        <w:t xml:space="preserve">works presumably original to the school itself. </w:t>
      </w:r>
    </w:p>
    <w:p w:rsidR="004F073C" w:rsidRDefault="00127C10" w:rsidP="00B427D9">
      <w:pPr>
        <w:spacing w:line="480" w:lineRule="auto"/>
        <w:jc w:val="both"/>
      </w:pPr>
      <w:r>
        <w:tab/>
      </w:r>
      <w:r w:rsidR="00415431">
        <w:t>St. Benedict’s at Fleury-sur-Loire</w:t>
      </w:r>
      <w:r w:rsidR="002077C7">
        <w:rPr>
          <w:rStyle w:val="FootnoteReference"/>
        </w:rPr>
        <w:footnoteReference w:id="11"/>
      </w:r>
      <w:r w:rsidR="00B30E39">
        <w:t xml:space="preserve"> doesn’t evince either the breadth or the originality one finds at Chartres, but there is still evidence of ample interest in logic there: several copies of the </w:t>
      </w:r>
      <w:proofErr w:type="spellStart"/>
      <w:r w:rsidR="00B30E39">
        <w:rPr>
          <w:i/>
        </w:rPr>
        <w:t>Isagoge</w:t>
      </w:r>
      <w:proofErr w:type="spellEnd"/>
      <w:r w:rsidR="00B30E39">
        <w:rPr>
          <w:i/>
        </w:rPr>
        <w:t>, Categories</w:t>
      </w:r>
      <w:r w:rsidR="00B30E39">
        <w:t xml:space="preserve">, and </w:t>
      </w:r>
      <w:proofErr w:type="spellStart"/>
      <w:r w:rsidR="00B30E39">
        <w:rPr>
          <w:i/>
        </w:rPr>
        <w:t>Periermenias</w:t>
      </w:r>
      <w:proofErr w:type="spellEnd"/>
      <w:r w:rsidR="00B30E39">
        <w:t xml:space="preserve"> survive, along with multiple copies of </w:t>
      </w:r>
      <w:proofErr w:type="spellStart"/>
      <w:r w:rsidR="00B30E39">
        <w:t>Boethian</w:t>
      </w:r>
      <w:proofErr w:type="spellEnd"/>
      <w:r w:rsidR="00B30E39">
        <w:t xml:space="preserve"> commentaries on these works. The library also contains a copy of Apuleius’ </w:t>
      </w:r>
      <w:proofErr w:type="spellStart"/>
      <w:r w:rsidR="00B30E39">
        <w:rPr>
          <w:i/>
        </w:rPr>
        <w:t>Periermenias</w:t>
      </w:r>
      <w:proofErr w:type="spellEnd"/>
      <w:r w:rsidR="00B30E39">
        <w:t xml:space="preserve">, as well as the </w:t>
      </w:r>
      <w:r w:rsidR="00B30E39">
        <w:rPr>
          <w:i/>
        </w:rPr>
        <w:t xml:space="preserve">de </w:t>
      </w:r>
      <w:proofErr w:type="spellStart"/>
      <w:r w:rsidR="00B30E39">
        <w:rPr>
          <w:i/>
        </w:rPr>
        <w:t>topicis</w:t>
      </w:r>
      <w:proofErr w:type="spellEnd"/>
      <w:r w:rsidR="00B30E39">
        <w:rPr>
          <w:i/>
        </w:rPr>
        <w:t xml:space="preserve"> </w:t>
      </w:r>
      <w:proofErr w:type="spellStart"/>
      <w:r w:rsidR="00B30E39">
        <w:rPr>
          <w:i/>
        </w:rPr>
        <w:t>differentiis</w:t>
      </w:r>
      <w:proofErr w:type="spellEnd"/>
      <w:r w:rsidR="00B30E39">
        <w:rPr>
          <w:i/>
        </w:rPr>
        <w:t xml:space="preserve"> </w:t>
      </w:r>
      <w:r w:rsidR="00B30E39">
        <w:t>and</w:t>
      </w:r>
      <w:r w:rsidR="00B30E39">
        <w:rPr>
          <w:i/>
        </w:rPr>
        <w:t xml:space="preserve"> </w:t>
      </w:r>
      <w:r w:rsidR="00B30E39">
        <w:t xml:space="preserve">Boethius’ works on hypothetical and categorical syllogisms. </w:t>
      </w:r>
    </w:p>
    <w:p w:rsidR="00B30E39" w:rsidRPr="00F07C03" w:rsidRDefault="004F073C" w:rsidP="00B427D9">
      <w:pPr>
        <w:spacing w:line="480" w:lineRule="auto"/>
        <w:jc w:val="both"/>
      </w:pPr>
      <w:r>
        <w:tab/>
      </w:r>
      <w:r w:rsidR="00F07C03">
        <w:t xml:space="preserve">What is important to notice here, though, is that </w:t>
      </w:r>
      <w:r w:rsidR="00F07C03" w:rsidRPr="00F07C03">
        <w:t xml:space="preserve">there is </w:t>
      </w:r>
      <w:r>
        <w:t xml:space="preserve">little </w:t>
      </w:r>
      <w:r w:rsidR="00F07C03" w:rsidRPr="00F07C03">
        <w:t>evidence either for a unified curriculum at either locale, nor</w:t>
      </w:r>
      <w:r w:rsidR="00F07C03">
        <w:rPr>
          <w:i/>
        </w:rPr>
        <w:t xml:space="preserve"> </w:t>
      </w:r>
      <w:r w:rsidR="00F07C03">
        <w:t>even for the more basic recognition of the codex as a</w:t>
      </w:r>
      <w:r w:rsidR="002077C7">
        <w:t xml:space="preserve">n occasion for </w:t>
      </w:r>
      <w:r w:rsidR="005C6C02">
        <w:t xml:space="preserve">gathering several works together with the aim of unified, </w:t>
      </w:r>
      <w:r w:rsidR="002077C7">
        <w:t>programmatic instruction</w:t>
      </w:r>
      <w:r w:rsidR="00F07C03">
        <w:t xml:space="preserve">. </w:t>
      </w:r>
      <w:r w:rsidR="005C6C02">
        <w:t>For instance, one finds, t</w:t>
      </w:r>
      <w:r w:rsidR="00F07C03">
        <w:t xml:space="preserve">he </w:t>
      </w:r>
      <w:proofErr w:type="spellStart"/>
      <w:r w:rsidR="00F07C03">
        <w:rPr>
          <w:i/>
        </w:rPr>
        <w:t>Periermenias</w:t>
      </w:r>
      <w:proofErr w:type="spellEnd"/>
      <w:r w:rsidR="00F07C03">
        <w:t xml:space="preserve"> prior to the </w:t>
      </w:r>
      <w:proofErr w:type="spellStart"/>
      <w:r w:rsidR="00F07C03">
        <w:rPr>
          <w:i/>
        </w:rPr>
        <w:t>Isagoge</w:t>
      </w:r>
      <w:proofErr w:type="spellEnd"/>
      <w:r w:rsidR="00F07C03">
        <w:rPr>
          <w:i/>
        </w:rPr>
        <w:t xml:space="preserve"> </w:t>
      </w:r>
      <w:r w:rsidR="00F07C03">
        <w:t xml:space="preserve">and </w:t>
      </w:r>
      <w:r w:rsidR="00F07C03">
        <w:rPr>
          <w:i/>
        </w:rPr>
        <w:t>Categories</w:t>
      </w:r>
      <w:r w:rsidR="00F07C03">
        <w:t xml:space="preserve">, and even the unified works themselves are cut up into various sections </w:t>
      </w:r>
      <w:r w:rsidR="00F07C03">
        <w:rPr>
          <w:i/>
        </w:rPr>
        <w:t xml:space="preserve">ad </w:t>
      </w:r>
      <w:proofErr w:type="spellStart"/>
      <w:r w:rsidR="00F07C03">
        <w:rPr>
          <w:i/>
        </w:rPr>
        <w:t>placitum</w:t>
      </w:r>
      <w:proofErr w:type="spellEnd"/>
      <w:r w:rsidR="00F07C03">
        <w:t>.</w:t>
      </w:r>
      <w:r w:rsidR="00F07C03">
        <w:rPr>
          <w:rStyle w:val="FootnoteReference"/>
        </w:rPr>
        <w:footnoteReference w:id="12"/>
      </w:r>
      <w:r w:rsidR="00F07C03">
        <w:t xml:space="preserve"> </w:t>
      </w:r>
    </w:p>
    <w:p w:rsidR="00415431" w:rsidRPr="00A62C90" w:rsidRDefault="00127C10" w:rsidP="00B427D9">
      <w:pPr>
        <w:spacing w:line="480" w:lineRule="auto"/>
        <w:jc w:val="both"/>
      </w:pPr>
      <w:r>
        <w:tab/>
      </w:r>
      <w:r w:rsidR="00B30E39">
        <w:t xml:space="preserve">In sum, </w:t>
      </w:r>
      <w:r w:rsidR="002077C7">
        <w:t>prior to the start of the 13</w:t>
      </w:r>
      <w:r w:rsidR="002077C7" w:rsidRPr="002077C7">
        <w:rPr>
          <w:vertAlign w:val="superscript"/>
        </w:rPr>
        <w:t>th</w:t>
      </w:r>
      <w:r w:rsidR="002077C7">
        <w:t xml:space="preserve"> century, the interest in logic, though keen in some places, </w:t>
      </w:r>
      <w:r w:rsidR="0022054A">
        <w:t xml:space="preserve">does not appear to have manifested itself in the form of a progressive study of the various works of the logical canon </w:t>
      </w:r>
      <w:r w:rsidR="009A6C1F">
        <w:t xml:space="preserve">according to a </w:t>
      </w:r>
      <w:r w:rsidR="0022054A">
        <w:t>hierarchical order</w:t>
      </w:r>
      <w:r w:rsidR="009A6C1F">
        <w:t>ing of its various sub-</w:t>
      </w:r>
      <w:r w:rsidR="0022054A">
        <w:t xml:space="preserve">disciplines. As we shall see, this means that the recovery of the remainder of the Aristotelian </w:t>
      </w:r>
      <w:proofErr w:type="spellStart"/>
      <w:r w:rsidR="0022054A">
        <w:t>Organon</w:t>
      </w:r>
      <w:proofErr w:type="spellEnd"/>
      <w:r w:rsidR="0022054A">
        <w:t xml:space="preserve"> was itself accompanied by a new approach even to the old texts: they </w:t>
      </w:r>
      <w:r w:rsidR="00050A0F">
        <w:t xml:space="preserve">begin to be viewed in accordance with the aims of </w:t>
      </w:r>
      <w:r w:rsidR="0022054A">
        <w:t>a progressive, step-wise, goal-centered notion of education</w:t>
      </w:r>
      <w:r w:rsidR="00050A0F">
        <w:t xml:space="preserve">, in contrast with the </w:t>
      </w:r>
      <w:r w:rsidR="006700C6">
        <w:t xml:space="preserve">more </w:t>
      </w:r>
      <w:r w:rsidR="00050A0F">
        <w:t>meditative</w:t>
      </w:r>
      <w:r w:rsidR="006700C6">
        <w:t xml:space="preserve"> and repetitive</w:t>
      </w:r>
      <w:r w:rsidR="00050A0F">
        <w:t xml:space="preserve">, less </w:t>
      </w:r>
      <w:r w:rsidR="006700C6">
        <w:t xml:space="preserve">systematic and programmatic </w:t>
      </w:r>
      <w:r w:rsidR="00050A0F">
        <w:t>character of a monastic one</w:t>
      </w:r>
      <w:r w:rsidR="0022054A">
        <w:t xml:space="preserve">. </w:t>
      </w:r>
    </w:p>
    <w:p w:rsidR="00C148AC" w:rsidRDefault="00C148AC" w:rsidP="00B427D9">
      <w:pPr>
        <w:pStyle w:val="Heading1"/>
        <w:jc w:val="both"/>
      </w:pPr>
      <w:r>
        <w:lastRenderedPageBreak/>
        <w:t>The development of a Standard Curriculum</w:t>
      </w:r>
    </w:p>
    <w:p w:rsidR="00050A0F" w:rsidRDefault="00127C10" w:rsidP="00B427D9">
      <w:pPr>
        <w:spacing w:line="480" w:lineRule="auto"/>
        <w:jc w:val="both"/>
      </w:pPr>
      <w:r>
        <w:tab/>
      </w:r>
      <w:r w:rsidR="0050001F">
        <w:t>The 13</w:t>
      </w:r>
      <w:r w:rsidR="0050001F" w:rsidRPr="0050001F">
        <w:rPr>
          <w:vertAlign w:val="superscript"/>
        </w:rPr>
        <w:t>th</w:t>
      </w:r>
      <w:r w:rsidR="0050001F">
        <w:t xml:space="preserve"> century </w:t>
      </w:r>
      <w:r w:rsidR="00E17963">
        <w:t xml:space="preserve">gives us the first glimpse </w:t>
      </w:r>
      <w:r w:rsidR="006700C6">
        <w:t xml:space="preserve">at the </w:t>
      </w:r>
      <w:r w:rsidR="00E17963">
        <w:t xml:space="preserve">systematic study of logic in the medieval period. Compared to the prior period, we can see </w:t>
      </w:r>
      <w:r w:rsidR="005C6C02">
        <w:t xml:space="preserve">several </w:t>
      </w:r>
      <w:r w:rsidR="00050A0F">
        <w:t xml:space="preserve">important shifts. First, as is well known, </w:t>
      </w:r>
      <w:r w:rsidR="005C6C02">
        <w:t xml:space="preserve">those logical works of </w:t>
      </w:r>
      <w:r w:rsidR="00050A0F">
        <w:t xml:space="preserve">Aristotle’s </w:t>
      </w:r>
      <w:r w:rsidR="005C6C02">
        <w:t xml:space="preserve">that had been lost for part of the medieval period – the </w:t>
      </w:r>
      <w:proofErr w:type="spellStart"/>
      <w:r w:rsidR="005C6C02">
        <w:rPr>
          <w:i/>
        </w:rPr>
        <w:t>logica</w:t>
      </w:r>
      <w:proofErr w:type="spellEnd"/>
      <w:r w:rsidR="005C6C02">
        <w:rPr>
          <w:i/>
        </w:rPr>
        <w:t xml:space="preserve"> nova </w:t>
      </w:r>
      <w:r w:rsidR="005C6C02" w:rsidRPr="005C6C02">
        <w:softHyphen/>
      </w:r>
      <w:r w:rsidR="005C6C02">
        <w:t xml:space="preserve">– </w:t>
      </w:r>
      <w:r w:rsidR="005C6C02" w:rsidRPr="005C6C02">
        <w:t>once</w:t>
      </w:r>
      <w:r w:rsidR="005C6C02">
        <w:t xml:space="preserve"> again </w:t>
      </w:r>
      <w:r w:rsidR="00050A0F">
        <w:t xml:space="preserve">become widely available. Second, the logical works begin to be grouped in a codex in much more systematic manner: differences in ordering of the texts, therefore, begin to reflect differences in the pedagogical order of reading. Third, </w:t>
      </w:r>
      <w:r w:rsidR="009A6C1F">
        <w:t xml:space="preserve">the Greek texts of the </w:t>
      </w:r>
      <w:proofErr w:type="spellStart"/>
      <w:r w:rsidR="009A6C1F">
        <w:rPr>
          <w:i/>
        </w:rPr>
        <w:t>logica</w:t>
      </w:r>
      <w:proofErr w:type="spellEnd"/>
      <w:r w:rsidR="009A6C1F">
        <w:rPr>
          <w:i/>
        </w:rPr>
        <w:t xml:space="preserve"> </w:t>
      </w:r>
      <w:proofErr w:type="spellStart"/>
      <w:r w:rsidR="009A6C1F">
        <w:rPr>
          <w:i/>
        </w:rPr>
        <w:t>vetus</w:t>
      </w:r>
      <w:proofErr w:type="spellEnd"/>
      <w:r w:rsidR="009A6C1F">
        <w:rPr>
          <w:i/>
        </w:rPr>
        <w:t xml:space="preserve"> </w:t>
      </w:r>
      <w:r w:rsidR="009A6C1F">
        <w:t xml:space="preserve">begin to circulate more often than not </w:t>
      </w:r>
      <w:r w:rsidR="009A6C1F">
        <w:rPr>
          <w:i/>
        </w:rPr>
        <w:t xml:space="preserve">sans </w:t>
      </w:r>
      <w:r w:rsidR="009A6C1F">
        <w:t xml:space="preserve">commentary, and those systematic treatments of a subject originally written in Latin – for instance, Cicero’s </w:t>
      </w:r>
      <w:r w:rsidR="009A6C1F">
        <w:rPr>
          <w:i/>
        </w:rPr>
        <w:t>Topics</w:t>
      </w:r>
      <w:r w:rsidR="009A6C1F">
        <w:t xml:space="preserve">, Boethius’ </w:t>
      </w:r>
      <w:r w:rsidR="009A6C1F">
        <w:rPr>
          <w:i/>
        </w:rPr>
        <w:t xml:space="preserve">De </w:t>
      </w:r>
      <w:proofErr w:type="spellStart"/>
      <w:r w:rsidR="009A6C1F">
        <w:rPr>
          <w:i/>
        </w:rPr>
        <w:t>Syllogismis</w:t>
      </w:r>
      <w:proofErr w:type="spellEnd"/>
      <w:r w:rsidR="009A6C1F">
        <w:rPr>
          <w:i/>
        </w:rPr>
        <w:t xml:space="preserve"> </w:t>
      </w:r>
      <w:proofErr w:type="spellStart"/>
      <w:r w:rsidR="009A6C1F">
        <w:rPr>
          <w:i/>
        </w:rPr>
        <w:t>Hypotheticis</w:t>
      </w:r>
      <w:proofErr w:type="spellEnd"/>
      <w:r w:rsidR="005C6C02">
        <w:t xml:space="preserve"> – circulate</w:t>
      </w:r>
      <w:r w:rsidR="009A6C1F">
        <w:t xml:space="preserve"> less widely as Greek texts on the subject become more widely available. </w:t>
      </w:r>
    </w:p>
    <w:p w:rsidR="0050001F" w:rsidRPr="00387447" w:rsidRDefault="00127C10" w:rsidP="00B427D9">
      <w:pPr>
        <w:spacing w:line="480" w:lineRule="auto"/>
        <w:jc w:val="both"/>
      </w:pPr>
      <w:r>
        <w:tab/>
      </w:r>
      <w:r w:rsidR="00D01191">
        <w:t xml:space="preserve">Patterns of orderings of texts throughout our period are </w:t>
      </w:r>
      <w:r w:rsidR="0006106A">
        <w:t>illustrated in the following table.</w:t>
      </w:r>
      <w:r w:rsidR="00387447">
        <w:t xml:space="preserve"> Each </w:t>
      </w:r>
      <w:r w:rsidR="00387447" w:rsidRPr="00387447">
        <w:rPr>
          <w:i/>
        </w:rPr>
        <w:t>n</w:t>
      </w:r>
      <w:r w:rsidR="00387447" w:rsidRPr="00D01191">
        <w:rPr>
          <w:vertAlign w:val="superscript"/>
        </w:rPr>
        <w:t>th</w:t>
      </w:r>
      <w:r w:rsidR="00387447">
        <w:t xml:space="preserve"> row represents the </w:t>
      </w:r>
      <w:r w:rsidR="00387447">
        <w:rPr>
          <w:i/>
        </w:rPr>
        <w:t>n</w:t>
      </w:r>
      <w:r w:rsidR="00387447" w:rsidRPr="00D01191">
        <w:rPr>
          <w:vertAlign w:val="superscript"/>
        </w:rPr>
        <w:t>th</w:t>
      </w:r>
      <w:r w:rsidR="00387447">
        <w:t xml:space="preserve"> work </w:t>
      </w:r>
      <w:r w:rsidR="00D01191">
        <w:t>in a given codex, with the number to the right of the work being the number of codices following that pattern for all rows prior to that cell. Because of this, the splits in a column are capable of representing divergent traditions regarding the ordering of the texts</w:t>
      </w:r>
      <w:r w:rsidR="008070EA">
        <w:t>, and so the table can be read as depicting branches of an upside-down tree</w:t>
      </w:r>
      <w:r w:rsidR="00D01191">
        <w:t xml:space="preserve">. The following records the data for every case where two or more manuscripts follow the same pattern in the ordering of works. </w:t>
      </w:r>
      <w:r w:rsidR="008070EA">
        <w:t xml:space="preserve">In determining the number of a work in a codex, works taking up less than a folium – for instance, logical schemata or improvised verses of French poetry – have been ignored. </w:t>
      </w:r>
      <w:r w:rsidR="001F49C7">
        <w:t xml:space="preserve">Names and details for the manuscripts following a given pattern to its end are footnoted at the entry for the final node of a branch. </w:t>
      </w:r>
    </w:p>
    <w:tbl>
      <w:tblPr>
        <w:tblStyle w:val="TableGrid"/>
        <w:tblW w:w="0" w:type="auto"/>
        <w:tblLook w:val="04A0" w:firstRow="1" w:lastRow="0" w:firstColumn="1" w:lastColumn="0" w:noHBand="0" w:noVBand="1"/>
      </w:tblPr>
      <w:tblGrid>
        <w:gridCol w:w="1268"/>
        <w:gridCol w:w="1406"/>
        <w:gridCol w:w="1268"/>
        <w:gridCol w:w="1371"/>
        <w:gridCol w:w="1359"/>
        <w:gridCol w:w="1268"/>
        <w:gridCol w:w="709"/>
        <w:gridCol w:w="701"/>
      </w:tblGrid>
      <w:tr w:rsidR="003F2736" w:rsidTr="00D01191">
        <w:tc>
          <w:tcPr>
            <w:tcW w:w="0" w:type="auto"/>
            <w:gridSpan w:val="8"/>
          </w:tcPr>
          <w:p w:rsidR="003F2736" w:rsidRDefault="003F2736" w:rsidP="00B427D9">
            <w:pPr>
              <w:jc w:val="center"/>
            </w:pPr>
            <w:proofErr w:type="spellStart"/>
            <w:r w:rsidRPr="003828EE">
              <w:rPr>
                <w:i/>
              </w:rPr>
              <w:t>Isagoge</w:t>
            </w:r>
            <w:proofErr w:type="spellEnd"/>
            <w:r w:rsidR="002E435C">
              <w:t>,</w:t>
            </w:r>
            <w:r>
              <w:t xml:space="preserve"> 49</w:t>
            </w:r>
          </w:p>
        </w:tc>
      </w:tr>
      <w:tr w:rsidR="003F2736" w:rsidTr="00D01191">
        <w:tc>
          <w:tcPr>
            <w:tcW w:w="0" w:type="auto"/>
            <w:gridSpan w:val="8"/>
          </w:tcPr>
          <w:p w:rsidR="003F2736" w:rsidRDefault="003F2736" w:rsidP="00B427D9">
            <w:pPr>
              <w:jc w:val="center"/>
            </w:pPr>
            <w:r w:rsidRPr="003828EE">
              <w:rPr>
                <w:i/>
              </w:rPr>
              <w:t>Categories</w:t>
            </w:r>
            <w:r w:rsidR="00AA7A94">
              <w:t>,</w:t>
            </w:r>
            <w:r w:rsidR="004E1F4A">
              <w:t xml:space="preserve"> 48</w:t>
            </w:r>
          </w:p>
        </w:tc>
      </w:tr>
      <w:tr w:rsidR="00907F30" w:rsidTr="00D01191">
        <w:tc>
          <w:tcPr>
            <w:tcW w:w="0" w:type="auto"/>
            <w:gridSpan w:val="6"/>
          </w:tcPr>
          <w:p w:rsidR="004E1F4A" w:rsidRDefault="004E1F4A" w:rsidP="00B427D9">
            <w:pPr>
              <w:jc w:val="center"/>
            </w:pPr>
            <w:proofErr w:type="spellStart"/>
            <w:r w:rsidRPr="003828EE">
              <w:rPr>
                <w:i/>
              </w:rPr>
              <w:t>Periermenias</w:t>
            </w:r>
            <w:proofErr w:type="spellEnd"/>
            <w:r w:rsidR="00AA7A94">
              <w:t>,</w:t>
            </w:r>
            <w:r>
              <w:t xml:space="preserve"> 41</w:t>
            </w:r>
          </w:p>
        </w:tc>
        <w:tc>
          <w:tcPr>
            <w:tcW w:w="0" w:type="auto"/>
            <w:gridSpan w:val="2"/>
          </w:tcPr>
          <w:p w:rsidR="004E1F4A" w:rsidRPr="004E1F4A" w:rsidRDefault="004E1F4A" w:rsidP="00B427D9">
            <w:pPr>
              <w:jc w:val="center"/>
            </w:pPr>
            <w:r w:rsidRPr="004E1F4A">
              <w:rPr>
                <w:i/>
              </w:rPr>
              <w:t xml:space="preserve">Liber Sex </w:t>
            </w:r>
            <w:proofErr w:type="spellStart"/>
            <w:r w:rsidRPr="004E1F4A">
              <w:rPr>
                <w:i/>
              </w:rPr>
              <w:t>Principiorum</w:t>
            </w:r>
            <w:proofErr w:type="spellEnd"/>
            <w:r w:rsidR="00AA7A94">
              <w:t>,</w:t>
            </w:r>
            <w:r>
              <w:t xml:space="preserve"> 6</w:t>
            </w:r>
          </w:p>
        </w:tc>
      </w:tr>
      <w:tr w:rsidR="00DE72D2" w:rsidTr="00D01191">
        <w:tc>
          <w:tcPr>
            <w:tcW w:w="0" w:type="auto"/>
            <w:gridSpan w:val="3"/>
          </w:tcPr>
          <w:p w:rsidR="00C41139" w:rsidRPr="00DF7F2F" w:rsidRDefault="00C41139" w:rsidP="00B427D9">
            <w:pPr>
              <w:jc w:val="center"/>
            </w:pPr>
            <w:r>
              <w:rPr>
                <w:i/>
              </w:rPr>
              <w:lastRenderedPageBreak/>
              <w:t xml:space="preserve">Liber Sex </w:t>
            </w:r>
            <w:proofErr w:type="spellStart"/>
            <w:r>
              <w:rPr>
                <w:i/>
              </w:rPr>
              <w:t>Principiorum</w:t>
            </w:r>
            <w:proofErr w:type="spellEnd"/>
            <w:r w:rsidR="00AA7A94">
              <w:t>,</w:t>
            </w:r>
            <w:r>
              <w:t xml:space="preserve"> 28</w:t>
            </w:r>
          </w:p>
        </w:tc>
        <w:tc>
          <w:tcPr>
            <w:tcW w:w="0" w:type="auto"/>
          </w:tcPr>
          <w:p w:rsidR="00C41139" w:rsidRPr="00C41139" w:rsidRDefault="00C41139" w:rsidP="00B427D9">
            <w:pPr>
              <w:jc w:val="center"/>
            </w:pPr>
            <w:r>
              <w:rPr>
                <w:i/>
              </w:rPr>
              <w:t xml:space="preserve">De </w:t>
            </w:r>
            <w:proofErr w:type="spellStart"/>
            <w:r>
              <w:rPr>
                <w:i/>
              </w:rPr>
              <w:t>Divisione</w:t>
            </w:r>
            <w:proofErr w:type="spellEnd"/>
            <w:r w:rsidR="00AA7A94">
              <w:t>,</w:t>
            </w:r>
            <w:r>
              <w:rPr>
                <w:i/>
              </w:rPr>
              <w:t xml:space="preserve"> </w:t>
            </w:r>
            <w:r>
              <w:t>4</w:t>
            </w:r>
          </w:p>
        </w:tc>
        <w:tc>
          <w:tcPr>
            <w:tcW w:w="0" w:type="auto"/>
          </w:tcPr>
          <w:p w:rsidR="00C41139" w:rsidRPr="00C41139" w:rsidRDefault="00C41139" w:rsidP="00B427D9">
            <w:pPr>
              <w:jc w:val="center"/>
            </w:pPr>
            <w:r>
              <w:rPr>
                <w:i/>
              </w:rPr>
              <w:t xml:space="preserve">De </w:t>
            </w:r>
            <w:proofErr w:type="spellStart"/>
            <w:r>
              <w:rPr>
                <w:i/>
              </w:rPr>
              <w:t>Topicis</w:t>
            </w:r>
            <w:proofErr w:type="spellEnd"/>
            <w:r>
              <w:rPr>
                <w:i/>
              </w:rPr>
              <w:t xml:space="preserve"> </w:t>
            </w:r>
            <w:proofErr w:type="spellStart"/>
            <w:r>
              <w:rPr>
                <w:i/>
              </w:rPr>
              <w:t>Differentiis</w:t>
            </w:r>
            <w:proofErr w:type="spellEnd"/>
            <w:r w:rsidR="00AA7A94">
              <w:t>,</w:t>
            </w:r>
            <w:r w:rsidR="00AA7A94">
              <w:rPr>
                <w:rStyle w:val="FootnoteReference"/>
              </w:rPr>
              <w:footnoteReference w:id="13"/>
            </w:r>
            <w:r>
              <w:rPr>
                <w:i/>
              </w:rPr>
              <w:t xml:space="preserve"> </w:t>
            </w:r>
            <w:r>
              <w:t>3</w:t>
            </w:r>
          </w:p>
        </w:tc>
        <w:tc>
          <w:tcPr>
            <w:tcW w:w="0" w:type="auto"/>
          </w:tcPr>
          <w:p w:rsidR="00C41139" w:rsidRPr="00B246C5" w:rsidRDefault="00C41139" w:rsidP="00B427D9">
            <w:pPr>
              <w:jc w:val="center"/>
            </w:pPr>
            <w:r w:rsidRPr="00C41139">
              <w:t>Aristotle’s</w:t>
            </w:r>
            <w:r>
              <w:rPr>
                <w:i/>
              </w:rPr>
              <w:t xml:space="preserve"> Topics</w:t>
            </w:r>
            <w:r w:rsidR="00AA7A94">
              <w:t>,</w:t>
            </w:r>
            <w:r w:rsidR="00B246C5">
              <w:t xml:space="preserve"> 2</w:t>
            </w:r>
          </w:p>
        </w:tc>
        <w:tc>
          <w:tcPr>
            <w:tcW w:w="0" w:type="auto"/>
            <w:gridSpan w:val="2"/>
          </w:tcPr>
          <w:p w:rsidR="00C41139" w:rsidRPr="00EA6B3B" w:rsidRDefault="00C41139" w:rsidP="00B427D9">
            <w:pPr>
              <w:jc w:val="center"/>
            </w:pPr>
            <w:proofErr w:type="spellStart"/>
            <w:r>
              <w:rPr>
                <w:i/>
              </w:rPr>
              <w:t>Periermenias</w:t>
            </w:r>
            <w:proofErr w:type="spellEnd"/>
            <w:r w:rsidR="00AA7A94">
              <w:t>,</w:t>
            </w:r>
            <w:r>
              <w:rPr>
                <w:i/>
              </w:rPr>
              <w:t xml:space="preserve"> </w:t>
            </w:r>
            <w:r>
              <w:t>5</w:t>
            </w:r>
          </w:p>
        </w:tc>
      </w:tr>
      <w:tr w:rsidR="00DE72D2" w:rsidTr="00D01191">
        <w:tc>
          <w:tcPr>
            <w:tcW w:w="0" w:type="auto"/>
            <w:gridSpan w:val="3"/>
          </w:tcPr>
          <w:p w:rsidR="00B246C5" w:rsidRPr="00813192" w:rsidRDefault="00813192" w:rsidP="00B427D9">
            <w:pPr>
              <w:jc w:val="center"/>
            </w:pPr>
            <w:r>
              <w:rPr>
                <w:i/>
              </w:rPr>
              <w:t xml:space="preserve">De </w:t>
            </w:r>
            <w:proofErr w:type="spellStart"/>
            <w:r>
              <w:rPr>
                <w:i/>
              </w:rPr>
              <w:t>Divisione</w:t>
            </w:r>
            <w:proofErr w:type="spellEnd"/>
            <w:r w:rsidR="00AA7A94">
              <w:t>,</w:t>
            </w:r>
            <w:r>
              <w:t xml:space="preserve"> 22</w:t>
            </w:r>
          </w:p>
        </w:tc>
        <w:tc>
          <w:tcPr>
            <w:tcW w:w="0" w:type="auto"/>
          </w:tcPr>
          <w:p w:rsidR="00B246C5" w:rsidRPr="00B246C5" w:rsidRDefault="00B246C5" w:rsidP="00B427D9">
            <w:pPr>
              <w:jc w:val="center"/>
            </w:pPr>
            <w:r>
              <w:rPr>
                <w:i/>
              </w:rPr>
              <w:t xml:space="preserve">De </w:t>
            </w:r>
            <w:proofErr w:type="spellStart"/>
            <w:r>
              <w:rPr>
                <w:i/>
              </w:rPr>
              <w:t>Topicis</w:t>
            </w:r>
            <w:proofErr w:type="spellEnd"/>
            <w:r>
              <w:rPr>
                <w:i/>
              </w:rPr>
              <w:t xml:space="preserve"> </w:t>
            </w:r>
            <w:proofErr w:type="spellStart"/>
            <w:r>
              <w:rPr>
                <w:i/>
              </w:rPr>
              <w:t>Differentiis</w:t>
            </w:r>
            <w:proofErr w:type="spellEnd"/>
            <w:r w:rsidR="00AA7A94">
              <w:t>,</w:t>
            </w:r>
            <w:r>
              <w:t xml:space="preserve"> 4</w:t>
            </w:r>
          </w:p>
        </w:tc>
        <w:tc>
          <w:tcPr>
            <w:tcW w:w="0" w:type="auto"/>
          </w:tcPr>
          <w:p w:rsidR="00B246C5" w:rsidRDefault="00B246C5" w:rsidP="00B427D9">
            <w:pPr>
              <w:jc w:val="center"/>
            </w:pPr>
          </w:p>
        </w:tc>
        <w:tc>
          <w:tcPr>
            <w:tcW w:w="0" w:type="auto"/>
          </w:tcPr>
          <w:p w:rsidR="00B246C5" w:rsidRPr="00B246C5" w:rsidRDefault="00B246C5" w:rsidP="00B427D9">
            <w:pPr>
              <w:jc w:val="center"/>
              <w:rPr>
                <w:i/>
              </w:rPr>
            </w:pPr>
            <w:r>
              <w:rPr>
                <w:i/>
              </w:rPr>
              <w:t>On Sophistical Refutations</w:t>
            </w:r>
            <w:r w:rsidR="00AA7A94">
              <w:t>,</w:t>
            </w:r>
            <w:r>
              <w:rPr>
                <w:i/>
              </w:rPr>
              <w:t xml:space="preserve"> 2</w:t>
            </w:r>
          </w:p>
        </w:tc>
        <w:tc>
          <w:tcPr>
            <w:tcW w:w="0" w:type="auto"/>
            <w:gridSpan w:val="2"/>
          </w:tcPr>
          <w:p w:rsidR="00B246C5" w:rsidRPr="00EA6B3B" w:rsidRDefault="00B246C5" w:rsidP="00B427D9">
            <w:pPr>
              <w:jc w:val="center"/>
            </w:pPr>
            <w:r>
              <w:rPr>
                <w:i/>
              </w:rPr>
              <w:t xml:space="preserve">De </w:t>
            </w:r>
            <w:proofErr w:type="spellStart"/>
            <w:r>
              <w:rPr>
                <w:i/>
              </w:rPr>
              <w:t>Divisione</w:t>
            </w:r>
            <w:proofErr w:type="spellEnd"/>
            <w:r w:rsidR="00AA7A94">
              <w:t>,</w:t>
            </w:r>
            <w:r>
              <w:rPr>
                <w:i/>
              </w:rPr>
              <w:t xml:space="preserve"> </w:t>
            </w:r>
            <w:r>
              <w:t>3</w:t>
            </w:r>
          </w:p>
        </w:tc>
      </w:tr>
      <w:tr w:rsidR="00DE72D2" w:rsidTr="00D01191">
        <w:tc>
          <w:tcPr>
            <w:tcW w:w="0" w:type="auto"/>
            <w:gridSpan w:val="3"/>
          </w:tcPr>
          <w:p w:rsidR="00B246C5" w:rsidRPr="00813192" w:rsidRDefault="00813192" w:rsidP="00B427D9">
            <w:pPr>
              <w:jc w:val="center"/>
            </w:pPr>
            <w:r>
              <w:rPr>
                <w:i/>
              </w:rPr>
              <w:t xml:space="preserve">De </w:t>
            </w:r>
            <w:proofErr w:type="spellStart"/>
            <w:r>
              <w:rPr>
                <w:i/>
              </w:rPr>
              <w:t>Topicis</w:t>
            </w:r>
            <w:proofErr w:type="spellEnd"/>
            <w:r>
              <w:rPr>
                <w:i/>
              </w:rPr>
              <w:t xml:space="preserve"> </w:t>
            </w:r>
            <w:proofErr w:type="spellStart"/>
            <w:r>
              <w:rPr>
                <w:i/>
              </w:rPr>
              <w:t>Differentiis</w:t>
            </w:r>
            <w:proofErr w:type="spellEnd"/>
            <w:r w:rsidR="00AA7A94">
              <w:t>,</w:t>
            </w:r>
            <w:r>
              <w:t xml:space="preserve"> 21</w:t>
            </w:r>
          </w:p>
        </w:tc>
        <w:tc>
          <w:tcPr>
            <w:tcW w:w="0" w:type="auto"/>
          </w:tcPr>
          <w:p w:rsidR="00B246C5" w:rsidRPr="00B246C5" w:rsidRDefault="00B246C5" w:rsidP="00B427D9">
            <w:pPr>
              <w:jc w:val="center"/>
            </w:pPr>
            <w:r>
              <w:rPr>
                <w:i/>
              </w:rPr>
              <w:t xml:space="preserve">Liber Sex </w:t>
            </w:r>
            <w:proofErr w:type="spellStart"/>
            <w:r>
              <w:rPr>
                <w:i/>
              </w:rPr>
              <w:t>Principiorum</w:t>
            </w:r>
            <w:proofErr w:type="spellEnd"/>
            <w:r w:rsidR="00AA7A94">
              <w:t>,</w:t>
            </w:r>
            <w:r>
              <w:rPr>
                <w:i/>
              </w:rPr>
              <w:t xml:space="preserve"> </w:t>
            </w:r>
            <w:r>
              <w:t>3</w:t>
            </w:r>
          </w:p>
        </w:tc>
        <w:tc>
          <w:tcPr>
            <w:tcW w:w="0" w:type="auto"/>
          </w:tcPr>
          <w:p w:rsidR="00B246C5" w:rsidRDefault="00B246C5" w:rsidP="00B427D9">
            <w:pPr>
              <w:jc w:val="center"/>
            </w:pPr>
          </w:p>
        </w:tc>
        <w:tc>
          <w:tcPr>
            <w:tcW w:w="0" w:type="auto"/>
          </w:tcPr>
          <w:p w:rsidR="00B246C5" w:rsidRPr="00B246C5" w:rsidRDefault="00B246C5" w:rsidP="00B427D9">
            <w:pPr>
              <w:jc w:val="center"/>
              <w:rPr>
                <w:i/>
              </w:rPr>
            </w:pPr>
            <w:r>
              <w:rPr>
                <w:i/>
              </w:rPr>
              <w:t>Prior Analytics</w:t>
            </w:r>
            <w:r w:rsidR="00AA7A94">
              <w:t>,</w:t>
            </w:r>
            <w:r>
              <w:rPr>
                <w:i/>
              </w:rPr>
              <w:t xml:space="preserve"> 2</w:t>
            </w:r>
          </w:p>
        </w:tc>
        <w:tc>
          <w:tcPr>
            <w:tcW w:w="0" w:type="auto"/>
            <w:gridSpan w:val="2"/>
          </w:tcPr>
          <w:p w:rsidR="00B246C5" w:rsidRPr="00DF7F2F" w:rsidRDefault="00B246C5" w:rsidP="00B427D9">
            <w:pPr>
              <w:jc w:val="center"/>
            </w:pPr>
            <w:r>
              <w:rPr>
                <w:i/>
              </w:rPr>
              <w:t xml:space="preserve">De </w:t>
            </w:r>
            <w:proofErr w:type="spellStart"/>
            <w:r>
              <w:rPr>
                <w:i/>
              </w:rPr>
              <w:t>Topicis</w:t>
            </w:r>
            <w:proofErr w:type="spellEnd"/>
            <w:r>
              <w:rPr>
                <w:i/>
              </w:rPr>
              <w:t xml:space="preserve"> </w:t>
            </w:r>
            <w:proofErr w:type="spellStart"/>
            <w:r>
              <w:rPr>
                <w:i/>
              </w:rPr>
              <w:t>differentiis</w:t>
            </w:r>
            <w:proofErr w:type="spellEnd"/>
            <w:r w:rsidR="00AA7A94">
              <w:t>,</w:t>
            </w:r>
            <w:r w:rsidR="00AA7A94">
              <w:rPr>
                <w:rStyle w:val="FootnoteReference"/>
              </w:rPr>
              <w:footnoteReference w:id="14"/>
            </w:r>
            <w:r>
              <w:t xml:space="preserve"> 2</w:t>
            </w:r>
          </w:p>
        </w:tc>
      </w:tr>
      <w:tr w:rsidR="00AA7A94" w:rsidTr="00D01191">
        <w:tc>
          <w:tcPr>
            <w:tcW w:w="0" w:type="auto"/>
          </w:tcPr>
          <w:p w:rsidR="00907F30" w:rsidRPr="00907F30" w:rsidRDefault="00907F30" w:rsidP="00B427D9">
            <w:pPr>
              <w:jc w:val="center"/>
            </w:pPr>
            <w:r>
              <w:rPr>
                <w:i/>
              </w:rPr>
              <w:t>On Sophistical Refutations</w:t>
            </w:r>
            <w:r w:rsidR="00AA7A94">
              <w:t>,</w:t>
            </w:r>
            <w:r>
              <w:rPr>
                <w:i/>
              </w:rPr>
              <w:t xml:space="preserve"> </w:t>
            </w:r>
            <w:r>
              <w:t>7</w:t>
            </w:r>
          </w:p>
        </w:tc>
        <w:tc>
          <w:tcPr>
            <w:tcW w:w="0" w:type="auto"/>
          </w:tcPr>
          <w:p w:rsidR="00907F30" w:rsidRPr="00907F30" w:rsidRDefault="00907F30" w:rsidP="00B427D9">
            <w:pPr>
              <w:jc w:val="center"/>
            </w:pPr>
            <w:r>
              <w:rPr>
                <w:i/>
              </w:rPr>
              <w:t>Prior Analytics</w:t>
            </w:r>
            <w:r w:rsidR="00AA7A94">
              <w:t>,</w:t>
            </w:r>
            <w:r>
              <w:t xml:space="preserve"> 6</w:t>
            </w:r>
          </w:p>
        </w:tc>
        <w:tc>
          <w:tcPr>
            <w:tcW w:w="0" w:type="auto"/>
          </w:tcPr>
          <w:p w:rsidR="00907F30" w:rsidRPr="00907F30" w:rsidRDefault="00907F30" w:rsidP="00B427D9">
            <w:pPr>
              <w:jc w:val="center"/>
            </w:pPr>
            <w:r>
              <w:t xml:space="preserve">Aristotle’s </w:t>
            </w:r>
            <w:r>
              <w:rPr>
                <w:i/>
              </w:rPr>
              <w:t>Topics</w:t>
            </w:r>
            <w:r w:rsidR="00AA7A94">
              <w:t>,</w:t>
            </w:r>
            <w:r>
              <w:rPr>
                <w:i/>
              </w:rPr>
              <w:t xml:space="preserve"> </w:t>
            </w:r>
            <w:r>
              <w:t>5</w:t>
            </w:r>
          </w:p>
        </w:tc>
        <w:tc>
          <w:tcPr>
            <w:tcW w:w="0" w:type="auto"/>
          </w:tcPr>
          <w:p w:rsidR="00907F30" w:rsidRPr="00B246C5" w:rsidRDefault="00907F30" w:rsidP="00B427D9">
            <w:pPr>
              <w:jc w:val="center"/>
            </w:pPr>
            <w:r>
              <w:rPr>
                <w:i/>
              </w:rPr>
              <w:t>Prior Analytics</w:t>
            </w:r>
            <w:r w:rsidR="00AA7A94">
              <w:t>,</w:t>
            </w:r>
            <w:r w:rsidR="00AA7A94">
              <w:rPr>
                <w:rStyle w:val="FootnoteReference"/>
              </w:rPr>
              <w:footnoteReference w:id="15"/>
            </w:r>
            <w:r>
              <w:t xml:space="preserve"> 2</w:t>
            </w:r>
          </w:p>
        </w:tc>
        <w:tc>
          <w:tcPr>
            <w:tcW w:w="0" w:type="auto"/>
          </w:tcPr>
          <w:p w:rsidR="00907F30" w:rsidRDefault="00907F30" w:rsidP="00B427D9">
            <w:pPr>
              <w:jc w:val="center"/>
            </w:pPr>
          </w:p>
        </w:tc>
        <w:tc>
          <w:tcPr>
            <w:tcW w:w="0" w:type="auto"/>
          </w:tcPr>
          <w:p w:rsidR="00907F30" w:rsidRPr="00B246C5" w:rsidRDefault="00907F30" w:rsidP="00B427D9">
            <w:pPr>
              <w:jc w:val="center"/>
            </w:pPr>
            <w:r>
              <w:rPr>
                <w:i/>
              </w:rPr>
              <w:t>Posterior Analytics</w:t>
            </w:r>
            <w:r w:rsidR="00AA7A94">
              <w:t>,</w:t>
            </w:r>
            <w:r w:rsidR="00AA7A94">
              <w:rPr>
                <w:rStyle w:val="FootnoteReference"/>
              </w:rPr>
              <w:footnoteReference w:id="16"/>
            </w:r>
            <w:r>
              <w:t xml:space="preserve"> 2</w:t>
            </w:r>
          </w:p>
        </w:tc>
        <w:tc>
          <w:tcPr>
            <w:tcW w:w="0" w:type="auto"/>
          </w:tcPr>
          <w:p w:rsidR="00907F30" w:rsidRDefault="00907F30" w:rsidP="00B427D9">
            <w:pPr>
              <w:jc w:val="center"/>
              <w:rPr>
                <w:i/>
              </w:rPr>
            </w:pPr>
          </w:p>
        </w:tc>
        <w:tc>
          <w:tcPr>
            <w:tcW w:w="0" w:type="auto"/>
          </w:tcPr>
          <w:p w:rsidR="00907F30" w:rsidRDefault="00907F30" w:rsidP="00B427D9">
            <w:pPr>
              <w:jc w:val="center"/>
              <w:rPr>
                <w:i/>
              </w:rPr>
            </w:pPr>
          </w:p>
        </w:tc>
      </w:tr>
      <w:tr w:rsidR="00AA7A94" w:rsidTr="00D01191">
        <w:tc>
          <w:tcPr>
            <w:tcW w:w="0" w:type="auto"/>
          </w:tcPr>
          <w:p w:rsidR="00907F30" w:rsidRPr="00907F30" w:rsidRDefault="00907F30" w:rsidP="00B427D9">
            <w:pPr>
              <w:jc w:val="center"/>
            </w:pPr>
            <w:r>
              <w:t xml:space="preserve">Aristotle’s </w:t>
            </w:r>
            <w:r>
              <w:rPr>
                <w:i/>
              </w:rPr>
              <w:t>Topics</w:t>
            </w:r>
            <w:r w:rsidR="00AA7A94">
              <w:t>,</w:t>
            </w:r>
            <w:r>
              <w:t xml:space="preserve"> 6</w:t>
            </w:r>
          </w:p>
        </w:tc>
        <w:tc>
          <w:tcPr>
            <w:tcW w:w="0" w:type="auto"/>
          </w:tcPr>
          <w:p w:rsidR="00907F30" w:rsidRPr="00DE72D2" w:rsidRDefault="00DE72D2" w:rsidP="00B427D9">
            <w:pPr>
              <w:jc w:val="center"/>
            </w:pPr>
            <w:r>
              <w:rPr>
                <w:i/>
              </w:rPr>
              <w:t>Posterior Analytics</w:t>
            </w:r>
            <w:r w:rsidR="00AA7A94">
              <w:t>,</w:t>
            </w:r>
            <w:r>
              <w:rPr>
                <w:i/>
              </w:rPr>
              <w:t xml:space="preserve"> </w:t>
            </w:r>
            <w:r>
              <w:t>6</w:t>
            </w:r>
          </w:p>
        </w:tc>
        <w:tc>
          <w:tcPr>
            <w:tcW w:w="0" w:type="auto"/>
          </w:tcPr>
          <w:p w:rsidR="00907F30" w:rsidRPr="00DE72D2" w:rsidRDefault="00DE72D2" w:rsidP="00B427D9">
            <w:pPr>
              <w:jc w:val="center"/>
            </w:pPr>
            <w:r>
              <w:rPr>
                <w:i/>
              </w:rPr>
              <w:t>On Sophistical Refutations</w:t>
            </w:r>
            <w:r w:rsidR="00AA7A94">
              <w:t>,</w:t>
            </w:r>
            <w:r>
              <w:rPr>
                <w:i/>
              </w:rPr>
              <w:t xml:space="preserve"> </w:t>
            </w:r>
            <w:r>
              <w:t>5</w:t>
            </w:r>
          </w:p>
        </w:tc>
        <w:tc>
          <w:tcPr>
            <w:tcW w:w="0" w:type="auto"/>
          </w:tcPr>
          <w:p w:rsidR="00907F30" w:rsidRDefault="00907F30" w:rsidP="00B427D9">
            <w:pPr>
              <w:jc w:val="center"/>
              <w:rPr>
                <w:i/>
              </w:rPr>
            </w:pPr>
          </w:p>
        </w:tc>
        <w:tc>
          <w:tcPr>
            <w:tcW w:w="0" w:type="auto"/>
          </w:tcPr>
          <w:p w:rsidR="00907F30" w:rsidRDefault="00907F30" w:rsidP="00B427D9">
            <w:pPr>
              <w:jc w:val="center"/>
            </w:pPr>
          </w:p>
        </w:tc>
        <w:tc>
          <w:tcPr>
            <w:tcW w:w="0" w:type="auto"/>
          </w:tcPr>
          <w:p w:rsidR="00907F30" w:rsidRDefault="00907F30" w:rsidP="00B427D9">
            <w:pPr>
              <w:jc w:val="center"/>
              <w:rPr>
                <w:i/>
              </w:rPr>
            </w:pPr>
          </w:p>
        </w:tc>
        <w:tc>
          <w:tcPr>
            <w:tcW w:w="0" w:type="auto"/>
          </w:tcPr>
          <w:p w:rsidR="00907F30" w:rsidRDefault="00907F30" w:rsidP="00B427D9">
            <w:pPr>
              <w:jc w:val="center"/>
              <w:rPr>
                <w:i/>
              </w:rPr>
            </w:pPr>
          </w:p>
        </w:tc>
        <w:tc>
          <w:tcPr>
            <w:tcW w:w="0" w:type="auto"/>
          </w:tcPr>
          <w:p w:rsidR="00907F30" w:rsidRDefault="00907F30" w:rsidP="00B427D9">
            <w:pPr>
              <w:jc w:val="center"/>
              <w:rPr>
                <w:i/>
              </w:rPr>
            </w:pPr>
          </w:p>
        </w:tc>
      </w:tr>
      <w:tr w:rsidR="00AA7A94" w:rsidTr="00D01191">
        <w:tc>
          <w:tcPr>
            <w:tcW w:w="0" w:type="auto"/>
          </w:tcPr>
          <w:p w:rsidR="00DE72D2" w:rsidRPr="00DE72D2" w:rsidRDefault="00DE72D2" w:rsidP="00B427D9">
            <w:pPr>
              <w:jc w:val="center"/>
            </w:pPr>
            <w:r>
              <w:rPr>
                <w:i/>
              </w:rPr>
              <w:t>Prior Analytics</w:t>
            </w:r>
            <w:r w:rsidR="00AA7A94">
              <w:t>,</w:t>
            </w:r>
            <w:r>
              <w:t xml:space="preserve"> 5</w:t>
            </w:r>
          </w:p>
        </w:tc>
        <w:tc>
          <w:tcPr>
            <w:tcW w:w="0" w:type="auto"/>
          </w:tcPr>
          <w:p w:rsidR="00DE72D2" w:rsidRPr="00DE72D2" w:rsidRDefault="00DE72D2" w:rsidP="00B427D9">
            <w:pPr>
              <w:jc w:val="center"/>
            </w:pPr>
            <w:r>
              <w:t xml:space="preserve">Aristotle’s </w:t>
            </w:r>
            <w:r>
              <w:rPr>
                <w:i/>
              </w:rPr>
              <w:t>Topics</w:t>
            </w:r>
            <w:r w:rsidR="00AA7A94">
              <w:t>,</w:t>
            </w:r>
            <w:r>
              <w:rPr>
                <w:i/>
              </w:rPr>
              <w:t xml:space="preserve"> </w:t>
            </w:r>
            <w:r>
              <w:t>5</w:t>
            </w:r>
          </w:p>
        </w:tc>
        <w:tc>
          <w:tcPr>
            <w:tcW w:w="0" w:type="auto"/>
          </w:tcPr>
          <w:p w:rsidR="00DE72D2" w:rsidRPr="00DE72D2" w:rsidRDefault="00DE72D2" w:rsidP="00B427D9">
            <w:pPr>
              <w:jc w:val="center"/>
            </w:pPr>
            <w:r>
              <w:rPr>
                <w:i/>
              </w:rPr>
              <w:t>Prior Analytics</w:t>
            </w:r>
            <w:r w:rsidR="00AA7A94">
              <w:t>,</w:t>
            </w:r>
            <w:r>
              <w:t xml:space="preserve"> 5</w:t>
            </w:r>
          </w:p>
        </w:tc>
        <w:tc>
          <w:tcPr>
            <w:tcW w:w="0" w:type="auto"/>
          </w:tcPr>
          <w:p w:rsidR="00DE72D2" w:rsidRDefault="00DE72D2" w:rsidP="00B427D9">
            <w:pPr>
              <w:jc w:val="center"/>
              <w:rPr>
                <w:i/>
              </w:rPr>
            </w:pPr>
          </w:p>
        </w:tc>
        <w:tc>
          <w:tcPr>
            <w:tcW w:w="0" w:type="auto"/>
          </w:tcPr>
          <w:p w:rsidR="00DE72D2" w:rsidRDefault="00DE72D2" w:rsidP="00B427D9">
            <w:pPr>
              <w:jc w:val="center"/>
            </w:pPr>
          </w:p>
        </w:tc>
        <w:tc>
          <w:tcPr>
            <w:tcW w:w="0" w:type="auto"/>
          </w:tcPr>
          <w:p w:rsidR="00DE72D2" w:rsidRDefault="00DE72D2" w:rsidP="00B427D9">
            <w:pPr>
              <w:jc w:val="center"/>
              <w:rPr>
                <w:i/>
              </w:rPr>
            </w:pPr>
          </w:p>
        </w:tc>
        <w:tc>
          <w:tcPr>
            <w:tcW w:w="0" w:type="auto"/>
          </w:tcPr>
          <w:p w:rsidR="00DE72D2" w:rsidRDefault="00DE72D2" w:rsidP="00B427D9">
            <w:pPr>
              <w:jc w:val="center"/>
              <w:rPr>
                <w:i/>
              </w:rPr>
            </w:pPr>
          </w:p>
        </w:tc>
        <w:tc>
          <w:tcPr>
            <w:tcW w:w="0" w:type="auto"/>
          </w:tcPr>
          <w:p w:rsidR="00DE72D2" w:rsidRDefault="00DE72D2" w:rsidP="00B427D9">
            <w:pPr>
              <w:jc w:val="center"/>
              <w:rPr>
                <w:i/>
              </w:rPr>
            </w:pPr>
          </w:p>
        </w:tc>
      </w:tr>
      <w:tr w:rsidR="00AA7A94" w:rsidTr="00D01191">
        <w:tc>
          <w:tcPr>
            <w:tcW w:w="0" w:type="auto"/>
          </w:tcPr>
          <w:p w:rsidR="00DE72D2" w:rsidRPr="00DE72D2" w:rsidRDefault="00DE72D2" w:rsidP="00B427D9">
            <w:pPr>
              <w:jc w:val="center"/>
            </w:pPr>
            <w:r>
              <w:rPr>
                <w:i/>
              </w:rPr>
              <w:t>Posterior Analytics</w:t>
            </w:r>
            <w:r w:rsidR="00AA7A94">
              <w:t>,</w:t>
            </w:r>
            <w:r w:rsidR="0035270B">
              <w:rPr>
                <w:rStyle w:val="FootnoteReference"/>
              </w:rPr>
              <w:footnoteReference w:id="17"/>
            </w:r>
            <w:r>
              <w:t xml:space="preserve"> 5</w:t>
            </w:r>
          </w:p>
        </w:tc>
        <w:tc>
          <w:tcPr>
            <w:tcW w:w="0" w:type="auto"/>
          </w:tcPr>
          <w:p w:rsidR="00DE72D2" w:rsidRPr="00DE72D2" w:rsidRDefault="00DE72D2" w:rsidP="00B427D9">
            <w:pPr>
              <w:jc w:val="center"/>
            </w:pPr>
            <w:r>
              <w:rPr>
                <w:i/>
              </w:rPr>
              <w:t>On Sophistical Refutations</w:t>
            </w:r>
            <w:r w:rsidR="00AA7A94">
              <w:t>,</w:t>
            </w:r>
            <w:r w:rsidR="0035270B">
              <w:rPr>
                <w:rStyle w:val="FootnoteReference"/>
              </w:rPr>
              <w:footnoteReference w:id="18"/>
            </w:r>
            <w:r>
              <w:rPr>
                <w:i/>
              </w:rPr>
              <w:t xml:space="preserve"> </w:t>
            </w:r>
            <w:r>
              <w:t>5</w:t>
            </w:r>
          </w:p>
        </w:tc>
        <w:tc>
          <w:tcPr>
            <w:tcW w:w="0" w:type="auto"/>
          </w:tcPr>
          <w:p w:rsidR="00DE72D2" w:rsidRPr="00DE72D2" w:rsidRDefault="00DE72D2" w:rsidP="00B427D9">
            <w:pPr>
              <w:jc w:val="center"/>
            </w:pPr>
            <w:r>
              <w:rPr>
                <w:i/>
              </w:rPr>
              <w:t>Posterior Analytics</w:t>
            </w:r>
            <w:r w:rsidR="00AA7A94">
              <w:t>,</w:t>
            </w:r>
            <w:r w:rsidR="0035270B">
              <w:rPr>
                <w:rStyle w:val="FootnoteReference"/>
              </w:rPr>
              <w:footnoteReference w:id="19"/>
            </w:r>
            <w:r>
              <w:t xml:space="preserve"> 5</w:t>
            </w:r>
          </w:p>
        </w:tc>
        <w:tc>
          <w:tcPr>
            <w:tcW w:w="0" w:type="auto"/>
          </w:tcPr>
          <w:p w:rsidR="00DE72D2" w:rsidRDefault="00DE72D2" w:rsidP="00B427D9">
            <w:pPr>
              <w:jc w:val="center"/>
              <w:rPr>
                <w:i/>
              </w:rPr>
            </w:pPr>
          </w:p>
        </w:tc>
        <w:tc>
          <w:tcPr>
            <w:tcW w:w="0" w:type="auto"/>
          </w:tcPr>
          <w:p w:rsidR="00DE72D2" w:rsidRDefault="00DE72D2" w:rsidP="00B427D9">
            <w:pPr>
              <w:jc w:val="center"/>
            </w:pPr>
          </w:p>
        </w:tc>
        <w:tc>
          <w:tcPr>
            <w:tcW w:w="0" w:type="auto"/>
          </w:tcPr>
          <w:p w:rsidR="00DE72D2" w:rsidRDefault="00DE72D2" w:rsidP="00B427D9">
            <w:pPr>
              <w:jc w:val="center"/>
              <w:rPr>
                <w:i/>
              </w:rPr>
            </w:pPr>
          </w:p>
        </w:tc>
        <w:tc>
          <w:tcPr>
            <w:tcW w:w="0" w:type="auto"/>
          </w:tcPr>
          <w:p w:rsidR="00DE72D2" w:rsidRDefault="00DE72D2" w:rsidP="00B427D9">
            <w:pPr>
              <w:jc w:val="center"/>
              <w:rPr>
                <w:i/>
              </w:rPr>
            </w:pPr>
          </w:p>
        </w:tc>
        <w:tc>
          <w:tcPr>
            <w:tcW w:w="0" w:type="auto"/>
          </w:tcPr>
          <w:p w:rsidR="00DE72D2" w:rsidRDefault="00DE72D2" w:rsidP="00B427D9">
            <w:pPr>
              <w:jc w:val="center"/>
              <w:rPr>
                <w:i/>
              </w:rPr>
            </w:pPr>
          </w:p>
        </w:tc>
      </w:tr>
    </w:tbl>
    <w:p w:rsidR="008070EA" w:rsidRDefault="008070EA" w:rsidP="00B427D9">
      <w:pPr>
        <w:jc w:val="both"/>
      </w:pPr>
    </w:p>
    <w:p w:rsidR="00D01191" w:rsidRPr="00A014B4" w:rsidRDefault="006B72A2" w:rsidP="00B427D9">
      <w:pPr>
        <w:spacing w:line="480" w:lineRule="auto"/>
        <w:jc w:val="both"/>
      </w:pPr>
      <w:r>
        <w:tab/>
      </w:r>
      <w:r w:rsidR="00D01191">
        <w:t>Forty-nine of the total ninety-</w:t>
      </w:r>
      <w:r w:rsidR="005355A0">
        <w:t>one</w:t>
      </w:r>
      <w:r w:rsidR="00D01191">
        <w:t xml:space="preserve"> manuscripts begin with the </w:t>
      </w:r>
      <w:proofErr w:type="spellStart"/>
      <w:r w:rsidR="00D01191">
        <w:rPr>
          <w:i/>
        </w:rPr>
        <w:t>Isagoge</w:t>
      </w:r>
      <w:proofErr w:type="spellEnd"/>
      <w:r w:rsidR="00D01191">
        <w:t>, and all but one of these</w:t>
      </w:r>
      <w:r w:rsidR="00D01191">
        <w:rPr>
          <w:rStyle w:val="FootnoteReference"/>
        </w:rPr>
        <w:footnoteReference w:id="20"/>
      </w:r>
      <w:r w:rsidR="00D01191">
        <w:t xml:space="preserve"> are immediately followed by the </w:t>
      </w:r>
      <w:r w:rsidR="00D01191">
        <w:rPr>
          <w:i/>
        </w:rPr>
        <w:t>Categories</w:t>
      </w:r>
      <w:r w:rsidR="00D01191">
        <w:t>. Of these, one</w:t>
      </w:r>
      <w:r w:rsidR="00D01191">
        <w:rPr>
          <w:rStyle w:val="FootnoteReference"/>
        </w:rPr>
        <w:footnoteReference w:id="21"/>
      </w:r>
      <w:r w:rsidR="00D01191">
        <w:t xml:space="preserve"> is followed by the Pseudo-Augustinian </w:t>
      </w:r>
      <w:proofErr w:type="spellStart"/>
      <w:r w:rsidR="00D01191">
        <w:rPr>
          <w:i/>
        </w:rPr>
        <w:t>Categoriae</w:t>
      </w:r>
      <w:proofErr w:type="spellEnd"/>
      <w:r w:rsidR="00D01191">
        <w:rPr>
          <w:i/>
        </w:rPr>
        <w:t xml:space="preserve"> </w:t>
      </w:r>
      <w:proofErr w:type="spellStart"/>
      <w:r w:rsidR="00D01191">
        <w:rPr>
          <w:i/>
        </w:rPr>
        <w:t>Decem</w:t>
      </w:r>
      <w:proofErr w:type="spellEnd"/>
      <w:r w:rsidR="00D01191">
        <w:rPr>
          <w:i/>
        </w:rPr>
        <w:t xml:space="preserve">, </w:t>
      </w:r>
      <w:r w:rsidR="00D01191">
        <w:t xml:space="preserve">six are followed by the </w:t>
      </w:r>
      <w:r w:rsidR="00D01191">
        <w:rPr>
          <w:i/>
        </w:rPr>
        <w:t xml:space="preserve">Liber Sex </w:t>
      </w:r>
      <w:proofErr w:type="spellStart"/>
      <w:r w:rsidR="00D01191">
        <w:rPr>
          <w:i/>
        </w:rPr>
        <w:t>Principiorum</w:t>
      </w:r>
      <w:proofErr w:type="spellEnd"/>
      <w:r w:rsidR="00D01191">
        <w:rPr>
          <w:i/>
        </w:rPr>
        <w:t xml:space="preserve">, </w:t>
      </w:r>
      <w:r w:rsidR="00D01191">
        <w:t xml:space="preserve">and the remainder are followed by the </w:t>
      </w:r>
      <w:proofErr w:type="spellStart"/>
      <w:r w:rsidR="00D01191">
        <w:rPr>
          <w:i/>
        </w:rPr>
        <w:t>Periermenias</w:t>
      </w:r>
      <w:proofErr w:type="spellEnd"/>
      <w:r w:rsidR="00D01191">
        <w:t>.</w:t>
      </w:r>
      <w:r w:rsidR="00D01191">
        <w:rPr>
          <w:rStyle w:val="FootnoteReference"/>
        </w:rPr>
        <w:footnoteReference w:id="22"/>
      </w:r>
    </w:p>
    <w:p w:rsidR="00D01191" w:rsidRPr="003828EE" w:rsidRDefault="006B72A2" w:rsidP="00B427D9">
      <w:pPr>
        <w:spacing w:line="480" w:lineRule="auto"/>
        <w:jc w:val="both"/>
      </w:pPr>
      <w:r>
        <w:tab/>
      </w:r>
      <w:r w:rsidR="00D01191">
        <w:t xml:space="preserve">Of those that have the </w:t>
      </w:r>
      <w:r w:rsidR="00D01191">
        <w:rPr>
          <w:i/>
        </w:rPr>
        <w:t xml:space="preserve">Liber </w:t>
      </w:r>
      <w:r w:rsidR="00D01191">
        <w:t xml:space="preserve">following the </w:t>
      </w:r>
      <w:r w:rsidR="00D01191">
        <w:rPr>
          <w:i/>
        </w:rPr>
        <w:t>Categories</w:t>
      </w:r>
      <w:r w:rsidR="00D01191">
        <w:t>, one is in a 15</w:t>
      </w:r>
      <w:r w:rsidR="00D01191" w:rsidRPr="004E1F4A">
        <w:rPr>
          <w:vertAlign w:val="superscript"/>
        </w:rPr>
        <w:t>th</w:t>
      </w:r>
      <w:r w:rsidR="00D01191">
        <w:t xml:space="preserve"> century humanist hand,</w:t>
      </w:r>
      <w:r w:rsidR="00D01191">
        <w:rPr>
          <w:rStyle w:val="FootnoteReference"/>
        </w:rPr>
        <w:footnoteReference w:id="23"/>
      </w:r>
      <w:r w:rsidR="00D01191">
        <w:t xml:space="preserve"> one is from Saint-Omer</w:t>
      </w:r>
      <w:r w:rsidR="008070EA">
        <w:t xml:space="preserve"> in the north</w:t>
      </w:r>
      <w:r w:rsidR="00D01191">
        <w:t>,</w:t>
      </w:r>
      <w:r w:rsidR="00D01191">
        <w:rPr>
          <w:rStyle w:val="FootnoteReference"/>
        </w:rPr>
        <w:footnoteReference w:id="24"/>
      </w:r>
      <w:r w:rsidR="00D01191">
        <w:t xml:space="preserve"> one is an earlier 13</w:t>
      </w:r>
      <w:r w:rsidR="00D01191" w:rsidRPr="00A90703">
        <w:rPr>
          <w:vertAlign w:val="superscript"/>
        </w:rPr>
        <w:t>th</w:t>
      </w:r>
      <w:r w:rsidR="00D01191">
        <w:t xml:space="preserve"> century </w:t>
      </w:r>
      <w:proofErr w:type="spellStart"/>
      <w:r w:rsidR="00D01191">
        <w:t>Victorine</w:t>
      </w:r>
      <w:proofErr w:type="spellEnd"/>
      <w:r w:rsidR="00D01191">
        <w:t xml:space="preserve"> codex, and the remaining three can be traced to </w:t>
      </w:r>
      <w:r w:rsidR="008070EA">
        <w:t xml:space="preserve">Italy or </w:t>
      </w:r>
      <w:r w:rsidR="00D01191">
        <w:t>southern France.</w:t>
      </w:r>
      <w:r w:rsidR="00D01191">
        <w:rPr>
          <w:rStyle w:val="FootnoteReference"/>
        </w:rPr>
        <w:footnoteReference w:id="25"/>
      </w:r>
      <w:r w:rsidR="00D01191">
        <w:t xml:space="preserve"> All but one of these codices has the </w:t>
      </w:r>
      <w:proofErr w:type="spellStart"/>
      <w:r w:rsidR="00D01191">
        <w:rPr>
          <w:i/>
        </w:rPr>
        <w:t>Periermenias</w:t>
      </w:r>
      <w:proofErr w:type="spellEnd"/>
      <w:r w:rsidR="00D01191">
        <w:t xml:space="preserve"> following the </w:t>
      </w:r>
      <w:r w:rsidR="00D01191">
        <w:rPr>
          <w:i/>
        </w:rPr>
        <w:t>Liber</w:t>
      </w:r>
      <w:r w:rsidR="00D01191">
        <w:t>.</w:t>
      </w:r>
      <w:r w:rsidR="00D01191">
        <w:rPr>
          <w:rStyle w:val="FootnoteReference"/>
        </w:rPr>
        <w:footnoteReference w:id="26"/>
      </w:r>
    </w:p>
    <w:p w:rsidR="00A27431" w:rsidRDefault="006B72A2" w:rsidP="00B427D9">
      <w:pPr>
        <w:spacing w:line="480" w:lineRule="auto"/>
        <w:jc w:val="both"/>
      </w:pPr>
      <w:r>
        <w:tab/>
      </w:r>
      <w:r w:rsidR="00D01191">
        <w:t xml:space="preserve">The most widely followed ordering of texts among the manuscripts, followed by twenty-one of them, is as follows: 1) Porphyry’s </w:t>
      </w:r>
      <w:proofErr w:type="spellStart"/>
      <w:r w:rsidR="00D01191">
        <w:t>Isagoge</w:t>
      </w:r>
      <w:proofErr w:type="spellEnd"/>
      <w:r w:rsidR="00D01191">
        <w:t xml:space="preserve">; 2) Aristotle’s </w:t>
      </w:r>
      <w:r w:rsidR="00D01191" w:rsidRPr="0061315B">
        <w:rPr>
          <w:i/>
        </w:rPr>
        <w:t>Categories</w:t>
      </w:r>
      <w:r w:rsidR="00D01191">
        <w:t xml:space="preserve">; 3) Aristotle’s </w:t>
      </w:r>
      <w:proofErr w:type="spellStart"/>
      <w:r w:rsidR="00D01191">
        <w:rPr>
          <w:i/>
        </w:rPr>
        <w:t>Periermenias</w:t>
      </w:r>
      <w:proofErr w:type="spellEnd"/>
      <w:r w:rsidR="00D01191">
        <w:t xml:space="preserve">; 4) the </w:t>
      </w:r>
      <w:r w:rsidR="00D01191">
        <w:rPr>
          <w:i/>
        </w:rPr>
        <w:t xml:space="preserve">Liber Sex </w:t>
      </w:r>
      <w:proofErr w:type="spellStart"/>
      <w:r w:rsidR="00D01191">
        <w:rPr>
          <w:i/>
        </w:rPr>
        <w:t>Principiorum</w:t>
      </w:r>
      <w:proofErr w:type="spellEnd"/>
      <w:r w:rsidR="00D01191">
        <w:t xml:space="preserve">; 5) Boethius’ </w:t>
      </w:r>
      <w:r w:rsidR="00D01191">
        <w:rPr>
          <w:i/>
        </w:rPr>
        <w:t xml:space="preserve">De </w:t>
      </w:r>
      <w:proofErr w:type="spellStart"/>
      <w:r w:rsidR="00D01191">
        <w:rPr>
          <w:i/>
        </w:rPr>
        <w:t>Divisione</w:t>
      </w:r>
      <w:proofErr w:type="spellEnd"/>
      <w:r w:rsidR="00D01191">
        <w:t xml:space="preserve">, 6) Boethius’ </w:t>
      </w:r>
      <w:r w:rsidR="00D01191">
        <w:rPr>
          <w:i/>
        </w:rPr>
        <w:t xml:space="preserve">De </w:t>
      </w:r>
      <w:proofErr w:type="spellStart"/>
      <w:r w:rsidR="00D01191">
        <w:rPr>
          <w:i/>
        </w:rPr>
        <w:t>Topicis</w:t>
      </w:r>
      <w:proofErr w:type="spellEnd"/>
      <w:r w:rsidR="00D01191">
        <w:rPr>
          <w:i/>
        </w:rPr>
        <w:t xml:space="preserve"> </w:t>
      </w:r>
      <w:proofErr w:type="spellStart"/>
      <w:r w:rsidR="00D01191">
        <w:rPr>
          <w:i/>
        </w:rPr>
        <w:t>Differentiis</w:t>
      </w:r>
      <w:proofErr w:type="spellEnd"/>
      <w:r w:rsidR="00D01191">
        <w:t>. All but two</w:t>
      </w:r>
      <w:r w:rsidR="00D01191">
        <w:rPr>
          <w:rStyle w:val="FootnoteReference"/>
        </w:rPr>
        <w:footnoteReference w:id="27"/>
      </w:r>
      <w:r w:rsidR="00D01191">
        <w:t xml:space="preserve"> of those that follow the pattern this far split into </w:t>
      </w:r>
      <w:r w:rsidR="008070EA">
        <w:t xml:space="preserve">three </w:t>
      </w:r>
      <w:r w:rsidR="00D01191">
        <w:t xml:space="preserve">groups from here: the greater part transition to </w:t>
      </w:r>
      <w:proofErr w:type="spellStart"/>
      <w:proofErr w:type="gramStart"/>
      <w:r w:rsidR="008070EA">
        <w:t>Ia</w:t>
      </w:r>
      <w:proofErr w:type="spellEnd"/>
      <w:proofErr w:type="gramEnd"/>
      <w:r w:rsidR="008070EA">
        <w:t xml:space="preserve">) </w:t>
      </w:r>
      <w:r w:rsidR="00D01191">
        <w:t xml:space="preserve">Aristotle’s </w:t>
      </w:r>
      <w:r w:rsidR="00D01191">
        <w:rPr>
          <w:i/>
        </w:rPr>
        <w:t xml:space="preserve">Topics </w:t>
      </w:r>
      <w:r w:rsidR="00D01191">
        <w:t xml:space="preserve">and </w:t>
      </w:r>
      <w:r w:rsidR="00D01191">
        <w:rPr>
          <w:i/>
        </w:rPr>
        <w:t>On Sophistical Refutations</w:t>
      </w:r>
      <w:r w:rsidR="00D01191">
        <w:t xml:space="preserve">, </w:t>
      </w:r>
      <w:proofErr w:type="spellStart"/>
      <w:r w:rsidR="008070EA">
        <w:t>Ib</w:t>
      </w:r>
      <w:proofErr w:type="spellEnd"/>
      <w:r w:rsidR="008070EA">
        <w:t xml:space="preserve">) </w:t>
      </w:r>
      <w:r w:rsidR="00D01191">
        <w:t xml:space="preserve">sometimes in reversed order, before moving on to the </w:t>
      </w:r>
      <w:r w:rsidR="00D01191">
        <w:rPr>
          <w:i/>
        </w:rPr>
        <w:t>Analytics</w:t>
      </w:r>
      <w:r w:rsidR="00D01191">
        <w:t xml:space="preserve">; </w:t>
      </w:r>
      <w:r w:rsidR="008070EA">
        <w:t xml:space="preserve">II) </w:t>
      </w:r>
      <w:r w:rsidR="00D01191">
        <w:t xml:space="preserve">while the minority report treats the </w:t>
      </w:r>
      <w:r w:rsidR="00D01191">
        <w:rPr>
          <w:i/>
        </w:rPr>
        <w:t>Analytics</w:t>
      </w:r>
      <w:r w:rsidR="00D01191">
        <w:t xml:space="preserve"> first, and then moves on to Aristotle’s </w:t>
      </w:r>
      <w:proofErr w:type="spellStart"/>
      <w:r w:rsidR="00D01191">
        <w:rPr>
          <w:i/>
        </w:rPr>
        <w:t>Topica</w:t>
      </w:r>
      <w:proofErr w:type="spellEnd"/>
      <w:r w:rsidR="00D01191">
        <w:rPr>
          <w:i/>
        </w:rPr>
        <w:t xml:space="preserve"> </w:t>
      </w:r>
      <w:r w:rsidR="00D01191">
        <w:t xml:space="preserve">and </w:t>
      </w:r>
      <w:proofErr w:type="spellStart"/>
      <w:r w:rsidR="00D01191" w:rsidRPr="00A2094D">
        <w:rPr>
          <w:i/>
        </w:rPr>
        <w:lastRenderedPageBreak/>
        <w:t>Elenchi</w:t>
      </w:r>
      <w:proofErr w:type="spellEnd"/>
      <w:r w:rsidR="00D01191">
        <w:t>.</w:t>
      </w:r>
      <w:r w:rsidR="00D3223D">
        <w:rPr>
          <w:rStyle w:val="FootnoteReference"/>
        </w:rPr>
        <w:footnoteReference w:id="28"/>
      </w:r>
      <w:r w:rsidR="008A163A">
        <w:t xml:space="preserve"> There are no obvious geographic patterns </w:t>
      </w:r>
      <w:r w:rsidR="00FB4C92">
        <w:t xml:space="preserve">correlating to the different orderings of </w:t>
      </w:r>
      <w:r w:rsidR="008A163A">
        <w:t xml:space="preserve">the </w:t>
      </w:r>
      <w:r w:rsidR="00FB4C92">
        <w:t xml:space="preserve">works of </w:t>
      </w:r>
      <w:proofErr w:type="spellStart"/>
      <w:r w:rsidR="008A163A">
        <w:rPr>
          <w:i/>
        </w:rPr>
        <w:t>Logica</w:t>
      </w:r>
      <w:proofErr w:type="spellEnd"/>
      <w:r w:rsidR="008A163A">
        <w:rPr>
          <w:i/>
        </w:rPr>
        <w:t xml:space="preserve"> Nova</w:t>
      </w:r>
      <w:r w:rsidR="008A163A">
        <w:t>.</w:t>
      </w:r>
    </w:p>
    <w:p w:rsidR="00C148AC" w:rsidRDefault="002E435C" w:rsidP="00B427D9">
      <w:pPr>
        <w:pStyle w:val="Heading1"/>
        <w:jc w:val="both"/>
      </w:pPr>
      <w:r>
        <w:t>Import</w:t>
      </w:r>
      <w:r w:rsidR="00A27431">
        <w:t xml:space="preserve"> of the </w:t>
      </w:r>
      <w:r w:rsidR="00C148AC">
        <w:t>Varia</w:t>
      </w:r>
      <w:r>
        <w:t>nts</w:t>
      </w:r>
    </w:p>
    <w:p w:rsidR="00A27431" w:rsidRDefault="006B72A2" w:rsidP="00B427D9">
      <w:pPr>
        <w:spacing w:line="480" w:lineRule="auto"/>
        <w:jc w:val="both"/>
      </w:pPr>
      <w:r>
        <w:tab/>
      </w:r>
      <w:r w:rsidR="002E435C">
        <w:t>T</w:t>
      </w:r>
      <w:r w:rsidR="00A27431">
        <w:t xml:space="preserve">he six manuscripts with the </w:t>
      </w:r>
      <w:r w:rsidR="00A27431" w:rsidRPr="00A9262D">
        <w:rPr>
          <w:i/>
        </w:rPr>
        <w:t>Liber</w:t>
      </w:r>
      <w:r w:rsidR="00A27431">
        <w:t xml:space="preserve"> following the</w:t>
      </w:r>
      <w:r w:rsidR="00A27431">
        <w:rPr>
          <w:i/>
        </w:rPr>
        <w:t xml:space="preserve"> Categories</w:t>
      </w:r>
      <w:r w:rsidR="00A27431">
        <w:t xml:space="preserve"> deserve to be singled out.  The </w:t>
      </w:r>
      <w:r w:rsidR="00A27431">
        <w:rPr>
          <w:i/>
        </w:rPr>
        <w:t xml:space="preserve">Liber Sex </w:t>
      </w:r>
      <w:proofErr w:type="spellStart"/>
      <w:r w:rsidR="00A27431">
        <w:rPr>
          <w:i/>
        </w:rPr>
        <w:t>Principiorum</w:t>
      </w:r>
      <w:proofErr w:type="spellEnd"/>
      <w:r w:rsidR="00A27431">
        <w:t xml:space="preserve">, being a treatise meant to supplement the </w:t>
      </w:r>
      <w:r w:rsidR="00A27431" w:rsidRPr="00A9262D">
        <w:rPr>
          <w:i/>
        </w:rPr>
        <w:t>Categories</w:t>
      </w:r>
      <w:r w:rsidR="00A27431">
        <w:t xml:space="preserve">, most naturally would come after it if the basic principle of the organization of the codex </w:t>
      </w:r>
      <w:r w:rsidR="0035270B">
        <w:t xml:space="preserve">were </w:t>
      </w:r>
      <w:r w:rsidR="00A27431">
        <w:t>the subject matter treated in the works themselves.</w:t>
      </w:r>
      <w:r w:rsidR="00A27431">
        <w:rPr>
          <w:i/>
        </w:rPr>
        <w:t xml:space="preserve"> </w:t>
      </w:r>
      <w:r w:rsidR="00A27431">
        <w:t xml:space="preserve">What we find instead </w:t>
      </w:r>
      <w:r w:rsidR="00A27431">
        <w:rPr>
          <w:i/>
        </w:rPr>
        <w:t xml:space="preserve">in all remaining manuscripts containing works of both the logical </w:t>
      </w:r>
      <w:proofErr w:type="spellStart"/>
      <w:r w:rsidR="00A27431">
        <w:rPr>
          <w:i/>
        </w:rPr>
        <w:t>vetus</w:t>
      </w:r>
      <w:proofErr w:type="spellEnd"/>
      <w:r w:rsidR="00A27431">
        <w:rPr>
          <w:i/>
        </w:rPr>
        <w:t xml:space="preserve"> and the </w:t>
      </w:r>
      <w:proofErr w:type="spellStart"/>
      <w:r w:rsidR="00A27431">
        <w:rPr>
          <w:i/>
        </w:rPr>
        <w:t>logica</w:t>
      </w:r>
      <w:proofErr w:type="spellEnd"/>
      <w:r w:rsidR="00A27431">
        <w:rPr>
          <w:i/>
        </w:rPr>
        <w:t xml:space="preserve"> nova</w:t>
      </w:r>
      <w:r w:rsidR="00A27431">
        <w:t xml:space="preserve">, is that the texts are ordered according to an extrinsic principle: the assumed nationality of its author. This may even be the case with some, though not all, of the texts placing the </w:t>
      </w:r>
      <w:r w:rsidR="00A27431">
        <w:rPr>
          <w:i/>
        </w:rPr>
        <w:t xml:space="preserve">Liber </w:t>
      </w:r>
      <w:r w:rsidR="00A27431">
        <w:t xml:space="preserve">prior to the </w:t>
      </w:r>
      <w:proofErr w:type="spellStart"/>
      <w:r w:rsidR="00A27431">
        <w:rPr>
          <w:i/>
        </w:rPr>
        <w:t>Periermenias</w:t>
      </w:r>
      <w:proofErr w:type="spellEnd"/>
      <w:r w:rsidR="00A27431">
        <w:t xml:space="preserve">, insofar as the </w:t>
      </w:r>
      <w:r w:rsidR="00A27431">
        <w:rPr>
          <w:i/>
        </w:rPr>
        <w:t xml:space="preserve">Liber </w:t>
      </w:r>
      <w:r w:rsidR="00A27431">
        <w:t>was sometimes taken to be a genuine work of Aristotle’s. But the spuriousness of this work seems to have been widely-known even by the mid-13</w:t>
      </w:r>
      <w:r w:rsidR="00A27431" w:rsidRPr="007075AD">
        <w:rPr>
          <w:vertAlign w:val="superscript"/>
        </w:rPr>
        <w:t>th</w:t>
      </w:r>
      <w:r w:rsidR="00A27431">
        <w:t xml:space="preserve"> century. Hence, Dodd writes that the </w:t>
      </w:r>
      <w:r w:rsidR="00A27431">
        <w:rPr>
          <w:i/>
          <w:iCs/>
        </w:rPr>
        <w:t xml:space="preserve">liber </w:t>
      </w:r>
      <w:r w:rsidR="00A27431">
        <w:t>“became a regular part of the logical corpus, and it was often commented on and accepted as containing genuine Aristotelian doctrine, although most medieval authors recognized that it was not by Aristotle;”</w:t>
      </w:r>
      <w:r w:rsidR="00A27431" w:rsidRPr="00944075">
        <w:rPr>
          <w:rStyle w:val="FootnoteReference"/>
        </w:rPr>
        <w:footnoteReference w:id="29"/>
      </w:r>
      <w:r w:rsidR="00A27431">
        <w:t xml:space="preserve"> and, as </w:t>
      </w:r>
      <w:proofErr w:type="spellStart"/>
      <w:r w:rsidR="00A27431">
        <w:t>Minio-Paluello</w:t>
      </w:r>
      <w:proofErr w:type="spellEnd"/>
      <w:r w:rsidR="00A27431">
        <w:t xml:space="preserve"> tells us</w:t>
      </w:r>
      <w:r w:rsidR="00A27431" w:rsidRPr="00944075">
        <w:rPr>
          <w:rStyle w:val="FootnoteReference"/>
        </w:rPr>
        <w:footnoteReference w:id="30"/>
      </w:r>
      <w:r w:rsidR="00A27431">
        <w:t xml:space="preserve">, </w:t>
      </w:r>
      <w:proofErr w:type="spellStart"/>
      <w:r w:rsidR="00A27431">
        <w:t>Iohannes</w:t>
      </w:r>
      <w:proofErr w:type="spellEnd"/>
      <w:r w:rsidR="00A27431">
        <w:t xml:space="preserve"> </w:t>
      </w:r>
      <w:proofErr w:type="spellStart"/>
      <w:r w:rsidR="00A27431">
        <w:t>Blundus</w:t>
      </w:r>
      <w:proofErr w:type="spellEnd"/>
      <w:r w:rsidR="00A27431">
        <w:t xml:space="preserve">, Nicolas of Paris, Roland of Cremona, Albert the Great, Roger Bacon, Bonaventure, Alexander of Hales, Thomas Aquinas, Lambert of </w:t>
      </w:r>
      <w:proofErr w:type="spellStart"/>
      <w:r w:rsidR="00A27431">
        <w:t>Auxerre</w:t>
      </w:r>
      <w:proofErr w:type="spellEnd"/>
      <w:r w:rsidR="00A27431">
        <w:t xml:space="preserve">, </w:t>
      </w:r>
      <w:proofErr w:type="spellStart"/>
      <w:r w:rsidR="00A27431">
        <w:t>Aegidius</w:t>
      </w:r>
      <w:proofErr w:type="spellEnd"/>
      <w:r w:rsidR="00A27431">
        <w:t xml:space="preserve"> of </w:t>
      </w:r>
      <w:proofErr w:type="spellStart"/>
      <w:r w:rsidR="00A27431">
        <w:t>Lessines</w:t>
      </w:r>
      <w:proofErr w:type="spellEnd"/>
      <w:r w:rsidR="00A27431">
        <w:t xml:space="preserve">, and </w:t>
      </w:r>
      <w:proofErr w:type="spellStart"/>
      <w:r w:rsidR="00A27431">
        <w:t>Siger</w:t>
      </w:r>
      <w:proofErr w:type="spellEnd"/>
      <w:r w:rsidR="00A27431">
        <w:t xml:space="preserve"> of Brabant all either explicitly or implicitly</w:t>
      </w:r>
      <w:r w:rsidR="00A27431" w:rsidRPr="007721A2">
        <w:rPr>
          <w:rStyle w:val="FootnoteReference"/>
        </w:rPr>
        <w:footnoteReference w:id="31"/>
      </w:r>
      <w:r w:rsidR="00A27431">
        <w:t xml:space="preserve"> acknowledge that the work was not written by Aristotle. The consideration of mistaken authenticity, then, would seem only at best applicable to the </w:t>
      </w:r>
      <w:proofErr w:type="spellStart"/>
      <w:r w:rsidR="00A27431">
        <w:t>Auch</w:t>
      </w:r>
      <w:proofErr w:type="spellEnd"/>
      <w:r w:rsidR="00A27431">
        <w:t xml:space="preserve">, Bib. </w:t>
      </w:r>
      <w:proofErr w:type="spellStart"/>
      <w:r w:rsidR="00A27431">
        <w:t>Mun</w:t>
      </w:r>
      <w:proofErr w:type="spellEnd"/>
      <w:r w:rsidR="00A27431">
        <w:t xml:space="preserve">. 11 and Paris, Bib. Nat. Lat. 15088 </w:t>
      </w:r>
      <w:proofErr w:type="spellStart"/>
      <w:r w:rsidR="00A27431">
        <w:t>Victorine</w:t>
      </w:r>
      <w:proofErr w:type="spellEnd"/>
      <w:r w:rsidR="00A27431">
        <w:t xml:space="preserve"> manuscripts.</w:t>
      </w:r>
    </w:p>
    <w:p w:rsidR="00A27431" w:rsidRPr="001F49C7" w:rsidRDefault="006B72A2" w:rsidP="00B427D9">
      <w:pPr>
        <w:spacing w:line="480" w:lineRule="auto"/>
        <w:jc w:val="both"/>
      </w:pPr>
      <w:r>
        <w:lastRenderedPageBreak/>
        <w:tab/>
      </w:r>
      <w:r w:rsidR="00A27431">
        <w:t xml:space="preserve">Roughly, then, possibly excepting those texts that place the </w:t>
      </w:r>
      <w:r w:rsidR="00A27431">
        <w:rPr>
          <w:i/>
        </w:rPr>
        <w:t xml:space="preserve">Liber </w:t>
      </w:r>
      <w:r w:rsidR="00A27431">
        <w:t xml:space="preserve">prior to the </w:t>
      </w:r>
      <w:proofErr w:type="spellStart"/>
      <w:r w:rsidR="00A27431">
        <w:rPr>
          <w:i/>
        </w:rPr>
        <w:t>Periermenias</w:t>
      </w:r>
      <w:proofErr w:type="spellEnd"/>
      <w:r w:rsidR="00A27431">
        <w:rPr>
          <w:i/>
        </w:rPr>
        <w:t xml:space="preserve">, </w:t>
      </w:r>
      <w:r w:rsidR="00A27431">
        <w:t xml:space="preserve">every branch of the above tree exhibits the following pattern: </w:t>
      </w:r>
    </w:p>
    <w:tbl>
      <w:tblPr>
        <w:tblStyle w:val="TableGrid"/>
        <w:tblW w:w="0" w:type="auto"/>
        <w:tblLook w:val="04A0" w:firstRow="1" w:lastRow="0" w:firstColumn="1" w:lastColumn="0" w:noHBand="0" w:noVBand="1"/>
      </w:tblPr>
      <w:tblGrid>
        <w:gridCol w:w="3116"/>
        <w:gridCol w:w="3117"/>
        <w:gridCol w:w="3117"/>
      </w:tblGrid>
      <w:tr w:rsidR="00A27431" w:rsidTr="00861648">
        <w:tc>
          <w:tcPr>
            <w:tcW w:w="4316" w:type="dxa"/>
          </w:tcPr>
          <w:p w:rsidR="00A27431" w:rsidRDefault="00A27431" w:rsidP="00B427D9">
            <w:pPr>
              <w:jc w:val="both"/>
            </w:pPr>
            <w:r>
              <w:t xml:space="preserve">1) Greek works of the </w:t>
            </w:r>
            <w:proofErr w:type="spellStart"/>
            <w:r>
              <w:rPr>
                <w:i/>
              </w:rPr>
              <w:t>Logica</w:t>
            </w:r>
            <w:proofErr w:type="spellEnd"/>
            <w:r>
              <w:rPr>
                <w:i/>
              </w:rPr>
              <w:t xml:space="preserve"> </w:t>
            </w:r>
            <w:proofErr w:type="spellStart"/>
            <w:r>
              <w:rPr>
                <w:i/>
              </w:rPr>
              <w:t>Vetus</w:t>
            </w:r>
            <w:proofErr w:type="spellEnd"/>
            <w:r>
              <w:t xml:space="preserve"> </w:t>
            </w:r>
          </w:p>
        </w:tc>
        <w:tc>
          <w:tcPr>
            <w:tcW w:w="4317" w:type="dxa"/>
          </w:tcPr>
          <w:p w:rsidR="00A27431" w:rsidRDefault="00A27431" w:rsidP="00B427D9">
            <w:pPr>
              <w:jc w:val="both"/>
            </w:pPr>
            <w:r>
              <w:t xml:space="preserve">2) Latin works of the </w:t>
            </w:r>
            <w:proofErr w:type="spellStart"/>
            <w:r>
              <w:rPr>
                <w:i/>
              </w:rPr>
              <w:t>Logica</w:t>
            </w:r>
            <w:proofErr w:type="spellEnd"/>
            <w:r>
              <w:rPr>
                <w:i/>
              </w:rPr>
              <w:t xml:space="preserve"> </w:t>
            </w:r>
            <w:proofErr w:type="spellStart"/>
            <w:r>
              <w:rPr>
                <w:i/>
              </w:rPr>
              <w:t>Vetus</w:t>
            </w:r>
            <w:proofErr w:type="spellEnd"/>
          </w:p>
        </w:tc>
        <w:tc>
          <w:tcPr>
            <w:tcW w:w="4317" w:type="dxa"/>
          </w:tcPr>
          <w:p w:rsidR="00A27431" w:rsidRDefault="00A27431" w:rsidP="00B427D9">
            <w:pPr>
              <w:jc w:val="both"/>
            </w:pPr>
            <w:r>
              <w:t xml:space="preserve">3) </w:t>
            </w:r>
            <w:proofErr w:type="spellStart"/>
            <w:r>
              <w:rPr>
                <w:i/>
              </w:rPr>
              <w:t>Logica</w:t>
            </w:r>
            <w:proofErr w:type="spellEnd"/>
            <w:r>
              <w:rPr>
                <w:i/>
              </w:rPr>
              <w:t xml:space="preserve"> Nova</w:t>
            </w:r>
          </w:p>
        </w:tc>
      </w:tr>
    </w:tbl>
    <w:p w:rsidR="00A27431" w:rsidRDefault="00A27431" w:rsidP="00B427D9">
      <w:pPr>
        <w:spacing w:line="480" w:lineRule="auto"/>
        <w:jc w:val="both"/>
      </w:pPr>
      <w:r>
        <w:t xml:space="preserve">This is surprising in part because there are at least two places where the theoretical unity of the codex would be </w:t>
      </w:r>
      <w:r>
        <w:rPr>
          <w:i/>
        </w:rPr>
        <w:t xml:space="preserve">better </w:t>
      </w:r>
      <w:r>
        <w:t xml:space="preserve">served by violating this linguistic partitioning. The first, already mentioned, involves placing the </w:t>
      </w:r>
      <w:r>
        <w:rPr>
          <w:i/>
        </w:rPr>
        <w:t xml:space="preserve">Liber Sex </w:t>
      </w:r>
      <w:proofErr w:type="spellStart"/>
      <w:r>
        <w:rPr>
          <w:i/>
        </w:rPr>
        <w:t>Principiorum</w:t>
      </w:r>
      <w:proofErr w:type="spellEnd"/>
      <w:r>
        <w:rPr>
          <w:i/>
        </w:rPr>
        <w:t xml:space="preserve"> </w:t>
      </w:r>
      <w:r>
        <w:t xml:space="preserve">immediately after the </w:t>
      </w:r>
      <w:r>
        <w:rPr>
          <w:i/>
        </w:rPr>
        <w:t>Categories</w:t>
      </w:r>
      <w:r>
        <w:t xml:space="preserve">. The second involves grouping the Aristotelian and </w:t>
      </w:r>
      <w:proofErr w:type="spellStart"/>
      <w:r>
        <w:t>Boethian</w:t>
      </w:r>
      <w:proofErr w:type="spellEnd"/>
      <w:r>
        <w:t xml:space="preserve"> works on topical arguments together. This is done in one of the above branches – the third from the left – but not at the expense of violating the linguistic criterion of ordering: Aristotle’s </w:t>
      </w:r>
      <w:r>
        <w:rPr>
          <w:i/>
        </w:rPr>
        <w:t xml:space="preserve">Topics </w:t>
      </w:r>
      <w:r>
        <w:t>is placed immediately after Boethius</w:t>
      </w:r>
      <w:r w:rsidR="00A80572">
        <w:t>’</w:t>
      </w:r>
      <w:r>
        <w:t xml:space="preserve">, but </w:t>
      </w:r>
      <w:r w:rsidR="00A80572">
        <w:t xml:space="preserve">in accordance with </w:t>
      </w:r>
      <w:r>
        <w:t xml:space="preserve">a shift from </w:t>
      </w:r>
      <w:r w:rsidR="00A80572">
        <w:t xml:space="preserve">Latin </w:t>
      </w:r>
      <w:r>
        <w:t xml:space="preserve">back to </w:t>
      </w:r>
      <w:r w:rsidR="00A80572">
        <w:t>Greek authors</w:t>
      </w:r>
      <w:r>
        <w:t xml:space="preserve">. </w:t>
      </w:r>
      <w:r w:rsidR="002E435C">
        <w:t>And e</w:t>
      </w:r>
      <w:r>
        <w:t xml:space="preserve">ven so, this pattern is followed by fewer </w:t>
      </w:r>
      <w:r w:rsidR="002E435C">
        <w:t xml:space="preserve">codices </w:t>
      </w:r>
      <w:r>
        <w:t xml:space="preserve">than those that begin the </w:t>
      </w:r>
      <w:proofErr w:type="spellStart"/>
      <w:r>
        <w:rPr>
          <w:i/>
        </w:rPr>
        <w:t>Logica</w:t>
      </w:r>
      <w:proofErr w:type="spellEnd"/>
      <w:r>
        <w:rPr>
          <w:i/>
        </w:rPr>
        <w:t xml:space="preserve"> Nova </w:t>
      </w:r>
      <w:r>
        <w:t xml:space="preserve">with either the </w:t>
      </w:r>
      <w:proofErr w:type="spellStart"/>
      <w:r>
        <w:rPr>
          <w:i/>
        </w:rPr>
        <w:t>Sophistici</w:t>
      </w:r>
      <w:proofErr w:type="spellEnd"/>
      <w:r>
        <w:rPr>
          <w:i/>
        </w:rPr>
        <w:t xml:space="preserve"> </w:t>
      </w:r>
      <w:proofErr w:type="spellStart"/>
      <w:r>
        <w:rPr>
          <w:i/>
        </w:rPr>
        <w:t>Elenchi</w:t>
      </w:r>
      <w:proofErr w:type="spellEnd"/>
      <w:r>
        <w:rPr>
          <w:i/>
        </w:rPr>
        <w:t xml:space="preserve"> </w:t>
      </w:r>
      <w:r>
        <w:t>or the</w:t>
      </w:r>
      <w:r>
        <w:rPr>
          <w:i/>
        </w:rPr>
        <w:t xml:space="preserve"> Analytics</w:t>
      </w:r>
      <w:r>
        <w:t>.</w:t>
      </w:r>
    </w:p>
    <w:p w:rsidR="00C148AC" w:rsidRPr="006B72A2" w:rsidRDefault="00C148AC" w:rsidP="00B427D9">
      <w:pPr>
        <w:pStyle w:val="Heading1"/>
        <w:jc w:val="both"/>
      </w:pPr>
      <w:r>
        <w:t xml:space="preserve">The </w:t>
      </w:r>
      <w:r w:rsidR="00166A2F">
        <w:t xml:space="preserve">Fate of the </w:t>
      </w:r>
      <w:r w:rsidR="006B72A2">
        <w:t>Latin W</w:t>
      </w:r>
      <w:r>
        <w:t xml:space="preserve">orks </w:t>
      </w:r>
      <w:r w:rsidR="00440049">
        <w:t xml:space="preserve">of the </w:t>
      </w:r>
      <w:proofErr w:type="spellStart"/>
      <w:r w:rsidR="00440049">
        <w:rPr>
          <w:i/>
        </w:rPr>
        <w:t>Logica</w:t>
      </w:r>
      <w:proofErr w:type="spellEnd"/>
      <w:r w:rsidR="00440049">
        <w:rPr>
          <w:i/>
        </w:rPr>
        <w:t xml:space="preserve"> </w:t>
      </w:r>
      <w:proofErr w:type="spellStart"/>
      <w:r w:rsidR="00440049">
        <w:rPr>
          <w:i/>
        </w:rPr>
        <w:t>Vetus</w:t>
      </w:r>
      <w:proofErr w:type="spellEnd"/>
      <w:r w:rsidR="00440049">
        <w:rPr>
          <w:i/>
        </w:rPr>
        <w:t xml:space="preserve"> </w:t>
      </w:r>
      <w:r w:rsidR="006B72A2">
        <w:t>in the 14</w:t>
      </w:r>
      <w:r w:rsidR="006B72A2" w:rsidRPr="006B72A2">
        <w:rPr>
          <w:vertAlign w:val="superscript"/>
        </w:rPr>
        <w:t>th</w:t>
      </w:r>
      <w:r w:rsidR="006B72A2">
        <w:t xml:space="preserve"> Century</w:t>
      </w:r>
    </w:p>
    <w:p w:rsidR="00A27431" w:rsidRDefault="006B72A2" w:rsidP="00B427D9">
      <w:pPr>
        <w:spacing w:line="480" w:lineRule="auto"/>
        <w:jc w:val="both"/>
      </w:pPr>
      <w:r>
        <w:tab/>
      </w:r>
      <w:r w:rsidR="00A27431">
        <w:t xml:space="preserve">Instead, to the degree that there are variations in this </w:t>
      </w:r>
      <w:r w:rsidR="00A80572">
        <w:t xml:space="preserve">general </w:t>
      </w:r>
      <w:r w:rsidR="00A27431">
        <w:t>pattern after the 13</w:t>
      </w:r>
      <w:r w:rsidR="00A27431" w:rsidRPr="00832801">
        <w:rPr>
          <w:vertAlign w:val="superscript"/>
        </w:rPr>
        <w:t>th</w:t>
      </w:r>
      <w:r w:rsidR="00A27431">
        <w:t xml:space="preserve"> century, they mostly concern </w:t>
      </w:r>
      <w:r w:rsidR="00A27431">
        <w:rPr>
          <w:i/>
        </w:rPr>
        <w:t xml:space="preserve">whether </w:t>
      </w:r>
      <w:r w:rsidR="00A27431">
        <w:t>certain Latin works should make it into the Codex. Of our original ninety-</w:t>
      </w:r>
      <w:r w:rsidR="005355A0">
        <w:t>one</w:t>
      </w:r>
      <w:r w:rsidR="00A27431">
        <w:t xml:space="preserve"> </w:t>
      </w:r>
      <w:proofErr w:type="spellStart"/>
      <w:r w:rsidR="00A27431">
        <w:rPr>
          <w:i/>
        </w:rPr>
        <w:t>logica</w:t>
      </w:r>
      <w:proofErr w:type="spellEnd"/>
      <w:r w:rsidR="00A27431">
        <w:rPr>
          <w:i/>
        </w:rPr>
        <w:t xml:space="preserve"> </w:t>
      </w:r>
      <w:proofErr w:type="spellStart"/>
      <w:r w:rsidR="00A27431">
        <w:rPr>
          <w:i/>
        </w:rPr>
        <w:t>vetus</w:t>
      </w:r>
      <w:proofErr w:type="spellEnd"/>
      <w:r w:rsidR="00A27431">
        <w:rPr>
          <w:i/>
        </w:rPr>
        <w:t xml:space="preserve"> </w:t>
      </w:r>
      <w:r w:rsidR="00A27431">
        <w:t xml:space="preserve">manuscripts, only eight contain either of the </w:t>
      </w:r>
      <w:proofErr w:type="spellStart"/>
      <w:r w:rsidR="00A27431">
        <w:t>Boethian</w:t>
      </w:r>
      <w:proofErr w:type="spellEnd"/>
      <w:r w:rsidR="00A27431">
        <w:t xml:space="preserve"> works on syllogisms mentioned by Abelard, the latest of which date to the early 13</w:t>
      </w:r>
      <w:r w:rsidR="00A27431" w:rsidRPr="00A27431">
        <w:rPr>
          <w:vertAlign w:val="superscript"/>
        </w:rPr>
        <w:t>th</w:t>
      </w:r>
      <w:r w:rsidR="00A27431">
        <w:t xml:space="preserve"> century, and only one of which contains any works of the </w:t>
      </w:r>
      <w:proofErr w:type="spellStart"/>
      <w:r w:rsidR="00A27431">
        <w:rPr>
          <w:i/>
        </w:rPr>
        <w:t>logica</w:t>
      </w:r>
      <w:proofErr w:type="spellEnd"/>
      <w:r w:rsidR="00A27431">
        <w:rPr>
          <w:i/>
        </w:rPr>
        <w:t xml:space="preserve"> nova</w:t>
      </w:r>
      <w:r w:rsidR="00A27431">
        <w:t>.</w:t>
      </w:r>
      <w:r w:rsidR="00A27431">
        <w:rPr>
          <w:rStyle w:val="FootnoteReference"/>
        </w:rPr>
        <w:footnoteReference w:id="32"/>
      </w:r>
      <w:r w:rsidR="002E435C">
        <w:t xml:space="preserve"> While a</w:t>
      </w:r>
      <w:r w:rsidR="00A27431">
        <w:t xml:space="preserve">n analysis of the fate of the remaining Latin works </w:t>
      </w:r>
      <w:r w:rsidR="00A03FE0">
        <w:t xml:space="preserve">is </w:t>
      </w:r>
      <w:r w:rsidR="00A27431">
        <w:t xml:space="preserve">best served by </w:t>
      </w:r>
      <w:r w:rsidR="00A03FE0">
        <w:t xml:space="preserve">the </w:t>
      </w:r>
      <w:r w:rsidR="00A27431">
        <w:t>chronological breakdown given in the following table</w:t>
      </w:r>
      <w:r w:rsidR="002E435C">
        <w:t>:</w:t>
      </w:r>
    </w:p>
    <w:tbl>
      <w:tblPr>
        <w:tblStyle w:val="TableGrid"/>
        <w:tblW w:w="0" w:type="auto"/>
        <w:tblLook w:val="04A0" w:firstRow="1" w:lastRow="0" w:firstColumn="1" w:lastColumn="0" w:noHBand="0" w:noVBand="1"/>
      </w:tblPr>
      <w:tblGrid>
        <w:gridCol w:w="3257"/>
        <w:gridCol w:w="1055"/>
        <w:gridCol w:w="1055"/>
        <w:gridCol w:w="1055"/>
        <w:gridCol w:w="1000"/>
        <w:gridCol w:w="936"/>
        <w:gridCol w:w="992"/>
      </w:tblGrid>
      <w:tr w:rsidR="005355A0" w:rsidTr="005355A0">
        <w:tc>
          <w:tcPr>
            <w:tcW w:w="0" w:type="auto"/>
          </w:tcPr>
          <w:p w:rsidR="005355A0" w:rsidRPr="00A27431" w:rsidRDefault="005355A0" w:rsidP="00B427D9">
            <w:pPr>
              <w:jc w:val="both"/>
              <w:rPr>
                <w:b/>
              </w:rPr>
            </w:pPr>
            <w:r>
              <w:rPr>
                <w:b/>
              </w:rPr>
              <w:t xml:space="preserve">Work/Ratio of Codices containing it to total </w:t>
            </w:r>
            <w:proofErr w:type="spellStart"/>
            <w:r>
              <w:rPr>
                <w:b/>
                <w:i/>
              </w:rPr>
              <w:t>Logica</w:t>
            </w:r>
            <w:proofErr w:type="spellEnd"/>
            <w:r>
              <w:rPr>
                <w:b/>
                <w:i/>
              </w:rPr>
              <w:t xml:space="preserve"> </w:t>
            </w:r>
            <w:proofErr w:type="spellStart"/>
            <w:r>
              <w:rPr>
                <w:b/>
                <w:i/>
              </w:rPr>
              <w:t>Vetus</w:t>
            </w:r>
            <w:proofErr w:type="spellEnd"/>
            <w:r>
              <w:rPr>
                <w:b/>
                <w:i/>
              </w:rPr>
              <w:t xml:space="preserve"> </w:t>
            </w:r>
            <w:r>
              <w:rPr>
                <w:b/>
              </w:rPr>
              <w:t>codices from a given period</w:t>
            </w:r>
          </w:p>
        </w:tc>
        <w:tc>
          <w:tcPr>
            <w:tcW w:w="0" w:type="auto"/>
          </w:tcPr>
          <w:p w:rsidR="005355A0" w:rsidRPr="00CA3B66" w:rsidRDefault="005355A0" w:rsidP="00B427D9">
            <w:pPr>
              <w:jc w:val="both"/>
            </w:pPr>
            <w:r>
              <w:rPr>
                <w:u w:val="single"/>
              </w:rPr>
              <w:t>&lt;</w:t>
            </w:r>
            <w:r>
              <w:t xml:space="preserve"> s. 13</w:t>
            </w:r>
            <w:r>
              <w:rPr>
                <w:vertAlign w:val="superscript"/>
              </w:rPr>
              <w:t>in</w:t>
            </w:r>
          </w:p>
        </w:tc>
        <w:tc>
          <w:tcPr>
            <w:tcW w:w="0" w:type="auto"/>
          </w:tcPr>
          <w:p w:rsidR="005355A0" w:rsidRDefault="005355A0" w:rsidP="00B427D9">
            <w:pPr>
              <w:jc w:val="both"/>
            </w:pPr>
            <w:r>
              <w:t xml:space="preserve">s. 13 </w:t>
            </w:r>
          </w:p>
        </w:tc>
        <w:tc>
          <w:tcPr>
            <w:tcW w:w="0" w:type="auto"/>
          </w:tcPr>
          <w:p w:rsidR="005355A0" w:rsidRPr="0060418F" w:rsidRDefault="005355A0" w:rsidP="00B427D9">
            <w:pPr>
              <w:jc w:val="both"/>
            </w:pPr>
            <w:r>
              <w:t>s. 13</w:t>
            </w:r>
            <w:r>
              <w:rPr>
                <w:vertAlign w:val="superscript"/>
              </w:rPr>
              <w:t>ex</w:t>
            </w:r>
          </w:p>
        </w:tc>
        <w:tc>
          <w:tcPr>
            <w:tcW w:w="0" w:type="auto"/>
          </w:tcPr>
          <w:p w:rsidR="005355A0" w:rsidRDefault="005355A0" w:rsidP="00B427D9">
            <w:pPr>
              <w:jc w:val="both"/>
            </w:pPr>
            <w:r>
              <w:t>s. 13-14</w:t>
            </w:r>
          </w:p>
        </w:tc>
        <w:tc>
          <w:tcPr>
            <w:tcW w:w="0" w:type="auto"/>
          </w:tcPr>
          <w:p w:rsidR="005355A0" w:rsidRPr="0060418F" w:rsidRDefault="005355A0" w:rsidP="00B427D9">
            <w:pPr>
              <w:jc w:val="both"/>
            </w:pPr>
            <w:r>
              <w:t>s. 14</w:t>
            </w:r>
            <w:r>
              <w:rPr>
                <w:vertAlign w:val="superscript"/>
              </w:rPr>
              <w:t>in</w:t>
            </w:r>
          </w:p>
        </w:tc>
        <w:tc>
          <w:tcPr>
            <w:tcW w:w="0" w:type="auto"/>
          </w:tcPr>
          <w:p w:rsidR="005355A0" w:rsidRDefault="005355A0" w:rsidP="00B427D9">
            <w:pPr>
              <w:jc w:val="both"/>
            </w:pPr>
            <w:r>
              <w:t>s. 14</w:t>
            </w:r>
          </w:p>
        </w:tc>
      </w:tr>
      <w:tr w:rsidR="005355A0" w:rsidTr="005355A0">
        <w:tc>
          <w:tcPr>
            <w:tcW w:w="0" w:type="auto"/>
          </w:tcPr>
          <w:p w:rsidR="005355A0" w:rsidRPr="00CA3B66" w:rsidRDefault="005355A0" w:rsidP="00B427D9">
            <w:pPr>
              <w:jc w:val="both"/>
              <w:rPr>
                <w:i/>
              </w:rPr>
            </w:pPr>
            <w:proofErr w:type="spellStart"/>
            <w:r w:rsidRPr="00CA3B66">
              <w:rPr>
                <w:i/>
              </w:rPr>
              <w:t>Isagoge</w:t>
            </w:r>
            <w:proofErr w:type="spellEnd"/>
          </w:p>
        </w:tc>
        <w:tc>
          <w:tcPr>
            <w:tcW w:w="0" w:type="auto"/>
          </w:tcPr>
          <w:p w:rsidR="005355A0" w:rsidRDefault="005355A0" w:rsidP="00B427D9">
            <w:pPr>
              <w:jc w:val="both"/>
            </w:pPr>
            <w:r>
              <w:t>12:35 (34%)</w:t>
            </w:r>
          </w:p>
        </w:tc>
        <w:tc>
          <w:tcPr>
            <w:tcW w:w="0" w:type="auto"/>
          </w:tcPr>
          <w:p w:rsidR="005355A0" w:rsidRDefault="005355A0" w:rsidP="00B427D9">
            <w:pPr>
              <w:jc w:val="both"/>
            </w:pPr>
            <w:r>
              <w:t>16:19 (84%)</w:t>
            </w:r>
          </w:p>
        </w:tc>
        <w:tc>
          <w:tcPr>
            <w:tcW w:w="0" w:type="auto"/>
          </w:tcPr>
          <w:p w:rsidR="005355A0" w:rsidRDefault="005355A0" w:rsidP="00B427D9">
            <w:pPr>
              <w:jc w:val="both"/>
            </w:pPr>
            <w:r>
              <w:t>12:13 (92%)</w:t>
            </w:r>
          </w:p>
        </w:tc>
        <w:tc>
          <w:tcPr>
            <w:tcW w:w="0" w:type="auto"/>
          </w:tcPr>
          <w:p w:rsidR="005355A0" w:rsidRDefault="005355A0" w:rsidP="00B427D9">
            <w:pPr>
              <w:jc w:val="both"/>
            </w:pPr>
            <w:r>
              <w:t>9:10 (90%)</w:t>
            </w:r>
          </w:p>
        </w:tc>
        <w:tc>
          <w:tcPr>
            <w:tcW w:w="0" w:type="auto"/>
          </w:tcPr>
          <w:p w:rsidR="005355A0" w:rsidRDefault="005355A0" w:rsidP="00B427D9">
            <w:pPr>
              <w:jc w:val="both"/>
            </w:pPr>
            <w:r>
              <w:t>4:4 (100%)</w:t>
            </w:r>
          </w:p>
        </w:tc>
        <w:tc>
          <w:tcPr>
            <w:tcW w:w="0" w:type="auto"/>
          </w:tcPr>
          <w:p w:rsidR="005355A0" w:rsidRDefault="005355A0" w:rsidP="00B427D9">
            <w:pPr>
              <w:jc w:val="both"/>
            </w:pPr>
            <w:r>
              <w:t>7:7 (100%)</w:t>
            </w:r>
          </w:p>
        </w:tc>
      </w:tr>
      <w:tr w:rsidR="005355A0" w:rsidTr="005355A0">
        <w:tc>
          <w:tcPr>
            <w:tcW w:w="0" w:type="auto"/>
          </w:tcPr>
          <w:p w:rsidR="005355A0" w:rsidRPr="00CA3B66" w:rsidRDefault="005355A0" w:rsidP="00B427D9">
            <w:pPr>
              <w:jc w:val="both"/>
            </w:pPr>
            <w:r>
              <w:rPr>
                <w:i/>
              </w:rPr>
              <w:t>Categories</w:t>
            </w:r>
          </w:p>
        </w:tc>
        <w:tc>
          <w:tcPr>
            <w:tcW w:w="0" w:type="auto"/>
          </w:tcPr>
          <w:p w:rsidR="005355A0" w:rsidRDefault="005355A0" w:rsidP="00B427D9">
            <w:pPr>
              <w:jc w:val="both"/>
            </w:pPr>
            <w:r>
              <w:t>10:35 (28.5%)</w:t>
            </w:r>
          </w:p>
        </w:tc>
        <w:tc>
          <w:tcPr>
            <w:tcW w:w="0" w:type="auto"/>
          </w:tcPr>
          <w:p w:rsidR="005355A0" w:rsidRDefault="005355A0" w:rsidP="00B427D9">
            <w:pPr>
              <w:jc w:val="both"/>
            </w:pPr>
            <w:r>
              <w:t>18:19 (94.7%)</w:t>
            </w:r>
          </w:p>
        </w:tc>
        <w:tc>
          <w:tcPr>
            <w:tcW w:w="0" w:type="auto"/>
          </w:tcPr>
          <w:p w:rsidR="005355A0" w:rsidRDefault="005355A0" w:rsidP="00B427D9">
            <w:pPr>
              <w:jc w:val="both"/>
            </w:pPr>
            <w:r>
              <w:t>13:13 (100%)</w:t>
            </w:r>
          </w:p>
        </w:tc>
        <w:tc>
          <w:tcPr>
            <w:tcW w:w="0" w:type="auto"/>
          </w:tcPr>
          <w:p w:rsidR="005355A0" w:rsidRDefault="005355A0" w:rsidP="00B427D9">
            <w:pPr>
              <w:jc w:val="both"/>
            </w:pPr>
            <w:r>
              <w:t>10:10 (100%)</w:t>
            </w:r>
          </w:p>
        </w:tc>
        <w:tc>
          <w:tcPr>
            <w:tcW w:w="0" w:type="auto"/>
          </w:tcPr>
          <w:p w:rsidR="005355A0" w:rsidRDefault="005355A0" w:rsidP="00B427D9">
            <w:pPr>
              <w:jc w:val="both"/>
            </w:pPr>
            <w:r>
              <w:t>4:4 (100%)</w:t>
            </w:r>
          </w:p>
        </w:tc>
        <w:tc>
          <w:tcPr>
            <w:tcW w:w="0" w:type="auto"/>
          </w:tcPr>
          <w:p w:rsidR="005355A0" w:rsidRDefault="005355A0" w:rsidP="00B427D9">
            <w:pPr>
              <w:jc w:val="both"/>
            </w:pPr>
            <w:r>
              <w:t>7:7 (100%)</w:t>
            </w:r>
          </w:p>
        </w:tc>
      </w:tr>
      <w:tr w:rsidR="005355A0" w:rsidTr="005355A0">
        <w:tc>
          <w:tcPr>
            <w:tcW w:w="0" w:type="auto"/>
          </w:tcPr>
          <w:p w:rsidR="005355A0" w:rsidRPr="00CA3B66" w:rsidRDefault="005355A0" w:rsidP="00B427D9">
            <w:pPr>
              <w:jc w:val="both"/>
              <w:rPr>
                <w:i/>
              </w:rPr>
            </w:pPr>
            <w:proofErr w:type="spellStart"/>
            <w:r>
              <w:rPr>
                <w:i/>
              </w:rPr>
              <w:lastRenderedPageBreak/>
              <w:t>Periermenias</w:t>
            </w:r>
            <w:proofErr w:type="spellEnd"/>
          </w:p>
        </w:tc>
        <w:tc>
          <w:tcPr>
            <w:tcW w:w="0" w:type="auto"/>
          </w:tcPr>
          <w:p w:rsidR="005355A0" w:rsidRDefault="005355A0" w:rsidP="00B427D9">
            <w:pPr>
              <w:jc w:val="both"/>
            </w:pPr>
            <w:r>
              <w:t>27:35 (77%)</w:t>
            </w:r>
          </w:p>
        </w:tc>
        <w:tc>
          <w:tcPr>
            <w:tcW w:w="0" w:type="auto"/>
          </w:tcPr>
          <w:p w:rsidR="005355A0" w:rsidRDefault="005355A0" w:rsidP="00B427D9">
            <w:pPr>
              <w:jc w:val="both"/>
            </w:pPr>
            <w:r>
              <w:t>17:19 (89.4%)</w:t>
            </w:r>
          </w:p>
        </w:tc>
        <w:tc>
          <w:tcPr>
            <w:tcW w:w="0" w:type="auto"/>
          </w:tcPr>
          <w:p w:rsidR="005355A0" w:rsidRDefault="005355A0" w:rsidP="00B427D9">
            <w:pPr>
              <w:jc w:val="both"/>
            </w:pPr>
            <w:r>
              <w:t>13:13 (100%)</w:t>
            </w:r>
          </w:p>
        </w:tc>
        <w:tc>
          <w:tcPr>
            <w:tcW w:w="0" w:type="auto"/>
          </w:tcPr>
          <w:p w:rsidR="005355A0" w:rsidRDefault="005355A0" w:rsidP="00B427D9">
            <w:pPr>
              <w:jc w:val="both"/>
            </w:pPr>
            <w:r>
              <w:t>10:10 (100%)</w:t>
            </w:r>
          </w:p>
        </w:tc>
        <w:tc>
          <w:tcPr>
            <w:tcW w:w="0" w:type="auto"/>
          </w:tcPr>
          <w:p w:rsidR="005355A0" w:rsidRDefault="005355A0" w:rsidP="00B427D9">
            <w:pPr>
              <w:jc w:val="both"/>
            </w:pPr>
            <w:r>
              <w:t>4:4 (100%)</w:t>
            </w:r>
          </w:p>
        </w:tc>
        <w:tc>
          <w:tcPr>
            <w:tcW w:w="0" w:type="auto"/>
          </w:tcPr>
          <w:p w:rsidR="005355A0" w:rsidRDefault="005355A0" w:rsidP="00B427D9">
            <w:pPr>
              <w:jc w:val="both"/>
            </w:pPr>
            <w:r>
              <w:t>7:7 (100%)</w:t>
            </w:r>
          </w:p>
        </w:tc>
      </w:tr>
      <w:tr w:rsidR="005355A0" w:rsidTr="005355A0">
        <w:tc>
          <w:tcPr>
            <w:tcW w:w="0" w:type="auto"/>
          </w:tcPr>
          <w:p w:rsidR="005355A0" w:rsidRPr="00CA3B66" w:rsidRDefault="005355A0" w:rsidP="00B427D9">
            <w:pPr>
              <w:jc w:val="both"/>
              <w:rPr>
                <w:i/>
              </w:rPr>
            </w:pPr>
            <w:r>
              <w:rPr>
                <w:i/>
              </w:rPr>
              <w:t xml:space="preserve">Liber Sex </w:t>
            </w:r>
            <w:proofErr w:type="spellStart"/>
            <w:r>
              <w:rPr>
                <w:i/>
              </w:rPr>
              <w:t>Principiorum</w:t>
            </w:r>
            <w:proofErr w:type="spellEnd"/>
          </w:p>
        </w:tc>
        <w:tc>
          <w:tcPr>
            <w:tcW w:w="0" w:type="auto"/>
          </w:tcPr>
          <w:p w:rsidR="005355A0" w:rsidRDefault="005355A0" w:rsidP="00B427D9">
            <w:pPr>
              <w:jc w:val="both"/>
            </w:pPr>
            <w:r>
              <w:t>1:35 (2.8%)</w:t>
            </w:r>
          </w:p>
        </w:tc>
        <w:tc>
          <w:tcPr>
            <w:tcW w:w="0" w:type="auto"/>
          </w:tcPr>
          <w:p w:rsidR="005355A0" w:rsidRDefault="005355A0" w:rsidP="00B427D9">
            <w:pPr>
              <w:jc w:val="both"/>
            </w:pPr>
            <w:r>
              <w:t>14:19 (73.7%)</w:t>
            </w:r>
          </w:p>
        </w:tc>
        <w:tc>
          <w:tcPr>
            <w:tcW w:w="0" w:type="auto"/>
          </w:tcPr>
          <w:p w:rsidR="005355A0" w:rsidRDefault="005355A0" w:rsidP="00B427D9">
            <w:pPr>
              <w:jc w:val="both"/>
            </w:pPr>
            <w:r>
              <w:t>13:13 (100%)</w:t>
            </w:r>
          </w:p>
        </w:tc>
        <w:tc>
          <w:tcPr>
            <w:tcW w:w="0" w:type="auto"/>
          </w:tcPr>
          <w:p w:rsidR="005355A0" w:rsidRDefault="005355A0" w:rsidP="00B427D9">
            <w:pPr>
              <w:jc w:val="both"/>
            </w:pPr>
            <w:r>
              <w:t>7:10 (70%)</w:t>
            </w:r>
          </w:p>
        </w:tc>
        <w:tc>
          <w:tcPr>
            <w:tcW w:w="0" w:type="auto"/>
          </w:tcPr>
          <w:p w:rsidR="005355A0" w:rsidRDefault="005355A0" w:rsidP="00B427D9">
            <w:pPr>
              <w:jc w:val="both"/>
            </w:pPr>
            <w:r>
              <w:t>3:4 (75%)</w:t>
            </w:r>
          </w:p>
        </w:tc>
        <w:tc>
          <w:tcPr>
            <w:tcW w:w="0" w:type="auto"/>
          </w:tcPr>
          <w:p w:rsidR="005355A0" w:rsidRDefault="005355A0" w:rsidP="00B427D9">
            <w:pPr>
              <w:jc w:val="both"/>
            </w:pPr>
            <w:r>
              <w:t>6:7 (85.7%)</w:t>
            </w:r>
          </w:p>
        </w:tc>
      </w:tr>
      <w:tr w:rsidR="005355A0" w:rsidTr="005355A0">
        <w:tc>
          <w:tcPr>
            <w:tcW w:w="0" w:type="auto"/>
          </w:tcPr>
          <w:p w:rsidR="005355A0" w:rsidRPr="00CA3B66" w:rsidRDefault="005355A0" w:rsidP="00B427D9">
            <w:pPr>
              <w:jc w:val="both"/>
              <w:rPr>
                <w:i/>
              </w:rPr>
            </w:pPr>
            <w:r>
              <w:rPr>
                <w:i/>
              </w:rPr>
              <w:t xml:space="preserve">De </w:t>
            </w:r>
            <w:proofErr w:type="spellStart"/>
            <w:r>
              <w:rPr>
                <w:i/>
              </w:rPr>
              <w:t>Divisione</w:t>
            </w:r>
            <w:proofErr w:type="spellEnd"/>
          </w:p>
        </w:tc>
        <w:tc>
          <w:tcPr>
            <w:tcW w:w="0" w:type="auto"/>
          </w:tcPr>
          <w:p w:rsidR="005355A0" w:rsidRDefault="005355A0" w:rsidP="00B427D9">
            <w:pPr>
              <w:jc w:val="both"/>
            </w:pPr>
            <w:r>
              <w:t>5:35 (14%)</w:t>
            </w:r>
          </w:p>
        </w:tc>
        <w:tc>
          <w:tcPr>
            <w:tcW w:w="0" w:type="auto"/>
          </w:tcPr>
          <w:p w:rsidR="005355A0" w:rsidRDefault="005355A0" w:rsidP="00B427D9">
            <w:pPr>
              <w:jc w:val="both"/>
            </w:pPr>
            <w:r>
              <w:t>13:19 (68.4%)</w:t>
            </w:r>
          </w:p>
        </w:tc>
        <w:tc>
          <w:tcPr>
            <w:tcW w:w="0" w:type="auto"/>
          </w:tcPr>
          <w:p w:rsidR="005355A0" w:rsidRDefault="005355A0" w:rsidP="00B427D9">
            <w:pPr>
              <w:jc w:val="both"/>
            </w:pPr>
            <w:r>
              <w:t>12:13 (92%)</w:t>
            </w:r>
          </w:p>
        </w:tc>
        <w:tc>
          <w:tcPr>
            <w:tcW w:w="0" w:type="auto"/>
          </w:tcPr>
          <w:p w:rsidR="005355A0" w:rsidRDefault="005355A0" w:rsidP="00B427D9">
            <w:pPr>
              <w:jc w:val="both"/>
            </w:pPr>
            <w:r>
              <w:t>7:10 (70%)</w:t>
            </w:r>
          </w:p>
        </w:tc>
        <w:tc>
          <w:tcPr>
            <w:tcW w:w="0" w:type="auto"/>
          </w:tcPr>
          <w:p w:rsidR="005355A0" w:rsidRDefault="005355A0" w:rsidP="00B427D9">
            <w:pPr>
              <w:jc w:val="both"/>
            </w:pPr>
            <w:r>
              <w:t>3:4 (75%)</w:t>
            </w:r>
          </w:p>
        </w:tc>
        <w:tc>
          <w:tcPr>
            <w:tcW w:w="0" w:type="auto"/>
          </w:tcPr>
          <w:p w:rsidR="005355A0" w:rsidRDefault="005355A0" w:rsidP="00B427D9">
            <w:pPr>
              <w:jc w:val="both"/>
            </w:pPr>
            <w:r>
              <w:t>4:7 (57%)</w:t>
            </w:r>
          </w:p>
        </w:tc>
      </w:tr>
      <w:tr w:rsidR="005355A0" w:rsidTr="005355A0">
        <w:tc>
          <w:tcPr>
            <w:tcW w:w="0" w:type="auto"/>
          </w:tcPr>
          <w:p w:rsidR="005355A0" w:rsidRPr="00CA3B66" w:rsidRDefault="005355A0" w:rsidP="00B427D9">
            <w:pPr>
              <w:jc w:val="both"/>
              <w:rPr>
                <w:i/>
              </w:rPr>
            </w:pPr>
            <w:r>
              <w:rPr>
                <w:i/>
              </w:rPr>
              <w:t xml:space="preserve">De </w:t>
            </w:r>
            <w:proofErr w:type="spellStart"/>
            <w:r>
              <w:rPr>
                <w:i/>
              </w:rPr>
              <w:t>Topicis</w:t>
            </w:r>
            <w:proofErr w:type="spellEnd"/>
            <w:r>
              <w:rPr>
                <w:i/>
              </w:rPr>
              <w:t xml:space="preserve"> </w:t>
            </w:r>
            <w:proofErr w:type="spellStart"/>
            <w:r>
              <w:rPr>
                <w:i/>
              </w:rPr>
              <w:t>Differentiis</w:t>
            </w:r>
            <w:proofErr w:type="spellEnd"/>
          </w:p>
        </w:tc>
        <w:tc>
          <w:tcPr>
            <w:tcW w:w="0" w:type="auto"/>
          </w:tcPr>
          <w:p w:rsidR="005355A0" w:rsidRDefault="005355A0" w:rsidP="00B427D9">
            <w:pPr>
              <w:jc w:val="both"/>
            </w:pPr>
            <w:r>
              <w:t>4:35 (11.4%)</w:t>
            </w:r>
          </w:p>
        </w:tc>
        <w:tc>
          <w:tcPr>
            <w:tcW w:w="0" w:type="auto"/>
          </w:tcPr>
          <w:p w:rsidR="005355A0" w:rsidRDefault="005355A0" w:rsidP="00B427D9">
            <w:pPr>
              <w:jc w:val="both"/>
            </w:pPr>
            <w:r>
              <w:t>13:19 (68.4%)</w:t>
            </w:r>
          </w:p>
        </w:tc>
        <w:tc>
          <w:tcPr>
            <w:tcW w:w="0" w:type="auto"/>
          </w:tcPr>
          <w:p w:rsidR="005355A0" w:rsidRDefault="005355A0" w:rsidP="00B427D9">
            <w:pPr>
              <w:jc w:val="both"/>
            </w:pPr>
            <w:r>
              <w:t>11:13 (84.6%)</w:t>
            </w:r>
          </w:p>
        </w:tc>
        <w:tc>
          <w:tcPr>
            <w:tcW w:w="0" w:type="auto"/>
          </w:tcPr>
          <w:p w:rsidR="005355A0" w:rsidRDefault="005355A0" w:rsidP="00B427D9">
            <w:pPr>
              <w:jc w:val="both"/>
            </w:pPr>
            <w:r>
              <w:t>7:10 (70%)</w:t>
            </w:r>
          </w:p>
        </w:tc>
        <w:tc>
          <w:tcPr>
            <w:tcW w:w="0" w:type="auto"/>
          </w:tcPr>
          <w:p w:rsidR="005355A0" w:rsidRDefault="005355A0" w:rsidP="00B427D9">
            <w:pPr>
              <w:jc w:val="both"/>
            </w:pPr>
            <w:r>
              <w:t>2:4 (50%)</w:t>
            </w:r>
          </w:p>
        </w:tc>
        <w:tc>
          <w:tcPr>
            <w:tcW w:w="0" w:type="auto"/>
          </w:tcPr>
          <w:p w:rsidR="005355A0" w:rsidRDefault="005355A0" w:rsidP="00B427D9">
            <w:pPr>
              <w:jc w:val="both"/>
            </w:pPr>
            <w:r>
              <w:t>3:7 (42.9%)</w:t>
            </w:r>
          </w:p>
        </w:tc>
      </w:tr>
      <w:tr w:rsidR="005355A0" w:rsidTr="005355A0">
        <w:tc>
          <w:tcPr>
            <w:tcW w:w="0" w:type="auto"/>
          </w:tcPr>
          <w:p w:rsidR="005355A0" w:rsidRPr="00CA3B66" w:rsidRDefault="005355A0" w:rsidP="00B427D9">
            <w:pPr>
              <w:jc w:val="both"/>
              <w:rPr>
                <w:i/>
              </w:rPr>
            </w:pPr>
            <w:r>
              <w:rPr>
                <w:i/>
              </w:rPr>
              <w:t>Topics</w:t>
            </w:r>
          </w:p>
        </w:tc>
        <w:tc>
          <w:tcPr>
            <w:tcW w:w="0" w:type="auto"/>
          </w:tcPr>
          <w:p w:rsidR="005355A0" w:rsidRDefault="005355A0" w:rsidP="00B427D9">
            <w:pPr>
              <w:jc w:val="both"/>
            </w:pPr>
            <w:r>
              <w:t>1:35 (2.8%)</w:t>
            </w:r>
          </w:p>
        </w:tc>
        <w:tc>
          <w:tcPr>
            <w:tcW w:w="0" w:type="auto"/>
          </w:tcPr>
          <w:p w:rsidR="005355A0" w:rsidRDefault="005355A0" w:rsidP="00B427D9">
            <w:pPr>
              <w:jc w:val="both"/>
            </w:pPr>
            <w:r>
              <w:t>12:19 (63%)</w:t>
            </w:r>
          </w:p>
        </w:tc>
        <w:tc>
          <w:tcPr>
            <w:tcW w:w="0" w:type="auto"/>
          </w:tcPr>
          <w:p w:rsidR="005355A0" w:rsidRDefault="005355A0" w:rsidP="00B427D9">
            <w:pPr>
              <w:jc w:val="both"/>
            </w:pPr>
            <w:r>
              <w:t>10:13 (77%)</w:t>
            </w:r>
          </w:p>
        </w:tc>
        <w:tc>
          <w:tcPr>
            <w:tcW w:w="0" w:type="auto"/>
          </w:tcPr>
          <w:p w:rsidR="005355A0" w:rsidRDefault="005355A0" w:rsidP="00B427D9">
            <w:pPr>
              <w:jc w:val="both"/>
            </w:pPr>
            <w:r>
              <w:t>6:10 (60%)</w:t>
            </w:r>
          </w:p>
        </w:tc>
        <w:tc>
          <w:tcPr>
            <w:tcW w:w="0" w:type="auto"/>
          </w:tcPr>
          <w:p w:rsidR="005355A0" w:rsidRDefault="005355A0" w:rsidP="00B427D9">
            <w:pPr>
              <w:jc w:val="both"/>
            </w:pPr>
            <w:r>
              <w:t>2:4 (50%)</w:t>
            </w:r>
          </w:p>
        </w:tc>
        <w:tc>
          <w:tcPr>
            <w:tcW w:w="0" w:type="auto"/>
          </w:tcPr>
          <w:p w:rsidR="005355A0" w:rsidRDefault="005355A0" w:rsidP="00B427D9">
            <w:pPr>
              <w:jc w:val="both"/>
            </w:pPr>
            <w:r>
              <w:t>3:7 (42.9%)</w:t>
            </w:r>
          </w:p>
        </w:tc>
      </w:tr>
      <w:tr w:rsidR="005355A0" w:rsidTr="005355A0">
        <w:tc>
          <w:tcPr>
            <w:tcW w:w="0" w:type="auto"/>
          </w:tcPr>
          <w:p w:rsidR="005355A0" w:rsidRDefault="00A80572" w:rsidP="00B427D9">
            <w:pPr>
              <w:jc w:val="both"/>
              <w:rPr>
                <w:i/>
              </w:rPr>
            </w:pPr>
            <w:proofErr w:type="spellStart"/>
            <w:r>
              <w:rPr>
                <w:i/>
              </w:rPr>
              <w:t>Sophistici</w:t>
            </w:r>
            <w:proofErr w:type="spellEnd"/>
            <w:r>
              <w:rPr>
                <w:i/>
              </w:rPr>
              <w:t xml:space="preserve"> </w:t>
            </w:r>
            <w:proofErr w:type="spellStart"/>
            <w:r w:rsidR="005355A0">
              <w:rPr>
                <w:i/>
              </w:rPr>
              <w:t>Elenchi</w:t>
            </w:r>
            <w:proofErr w:type="spellEnd"/>
          </w:p>
        </w:tc>
        <w:tc>
          <w:tcPr>
            <w:tcW w:w="0" w:type="auto"/>
          </w:tcPr>
          <w:p w:rsidR="005355A0" w:rsidRDefault="005355A0" w:rsidP="00B427D9">
            <w:pPr>
              <w:jc w:val="both"/>
            </w:pPr>
            <w:r>
              <w:t>1:35 (2.8%)</w:t>
            </w:r>
          </w:p>
        </w:tc>
        <w:tc>
          <w:tcPr>
            <w:tcW w:w="0" w:type="auto"/>
          </w:tcPr>
          <w:p w:rsidR="005355A0" w:rsidRDefault="005355A0" w:rsidP="00B427D9">
            <w:pPr>
              <w:jc w:val="both"/>
            </w:pPr>
            <w:r>
              <w:t>14:19 (73.7%)</w:t>
            </w:r>
          </w:p>
        </w:tc>
        <w:tc>
          <w:tcPr>
            <w:tcW w:w="0" w:type="auto"/>
          </w:tcPr>
          <w:p w:rsidR="005355A0" w:rsidRDefault="005355A0" w:rsidP="00B427D9">
            <w:pPr>
              <w:jc w:val="both"/>
            </w:pPr>
            <w:r>
              <w:t>10:13 (77%)</w:t>
            </w:r>
          </w:p>
        </w:tc>
        <w:tc>
          <w:tcPr>
            <w:tcW w:w="0" w:type="auto"/>
          </w:tcPr>
          <w:p w:rsidR="005355A0" w:rsidRDefault="005355A0" w:rsidP="00B427D9">
            <w:pPr>
              <w:jc w:val="both"/>
            </w:pPr>
            <w:r>
              <w:t>6:10 (60%)</w:t>
            </w:r>
          </w:p>
        </w:tc>
        <w:tc>
          <w:tcPr>
            <w:tcW w:w="0" w:type="auto"/>
          </w:tcPr>
          <w:p w:rsidR="005355A0" w:rsidRDefault="005355A0" w:rsidP="00B427D9">
            <w:pPr>
              <w:jc w:val="both"/>
            </w:pPr>
            <w:r>
              <w:t>2:4 (50%)</w:t>
            </w:r>
          </w:p>
        </w:tc>
        <w:tc>
          <w:tcPr>
            <w:tcW w:w="0" w:type="auto"/>
          </w:tcPr>
          <w:p w:rsidR="005355A0" w:rsidRDefault="005355A0" w:rsidP="00B427D9">
            <w:pPr>
              <w:jc w:val="both"/>
            </w:pPr>
            <w:r>
              <w:t>3:7 (42.9%)</w:t>
            </w:r>
          </w:p>
        </w:tc>
      </w:tr>
      <w:tr w:rsidR="005355A0" w:rsidTr="005355A0">
        <w:tc>
          <w:tcPr>
            <w:tcW w:w="0" w:type="auto"/>
          </w:tcPr>
          <w:p w:rsidR="005355A0" w:rsidRDefault="005355A0" w:rsidP="00B427D9">
            <w:pPr>
              <w:jc w:val="both"/>
              <w:rPr>
                <w:i/>
              </w:rPr>
            </w:pPr>
            <w:r>
              <w:rPr>
                <w:i/>
              </w:rPr>
              <w:t>Prior Analytics</w:t>
            </w:r>
          </w:p>
        </w:tc>
        <w:tc>
          <w:tcPr>
            <w:tcW w:w="0" w:type="auto"/>
          </w:tcPr>
          <w:p w:rsidR="005355A0" w:rsidRDefault="005355A0" w:rsidP="00B427D9">
            <w:pPr>
              <w:jc w:val="both"/>
            </w:pPr>
            <w:r>
              <w:t>1:35 (2.8%)</w:t>
            </w:r>
          </w:p>
        </w:tc>
        <w:tc>
          <w:tcPr>
            <w:tcW w:w="0" w:type="auto"/>
          </w:tcPr>
          <w:p w:rsidR="005355A0" w:rsidRDefault="005355A0" w:rsidP="00B427D9">
            <w:pPr>
              <w:jc w:val="both"/>
            </w:pPr>
            <w:r>
              <w:t>13:19 (68.4%)</w:t>
            </w:r>
          </w:p>
        </w:tc>
        <w:tc>
          <w:tcPr>
            <w:tcW w:w="0" w:type="auto"/>
          </w:tcPr>
          <w:p w:rsidR="005355A0" w:rsidRDefault="005355A0" w:rsidP="00B427D9">
            <w:pPr>
              <w:jc w:val="both"/>
            </w:pPr>
            <w:r>
              <w:t>10:13 (77%)</w:t>
            </w:r>
          </w:p>
        </w:tc>
        <w:tc>
          <w:tcPr>
            <w:tcW w:w="0" w:type="auto"/>
          </w:tcPr>
          <w:p w:rsidR="005355A0" w:rsidRDefault="005355A0" w:rsidP="00B427D9">
            <w:pPr>
              <w:jc w:val="both"/>
            </w:pPr>
            <w:r>
              <w:t>6:10 (60%)</w:t>
            </w:r>
          </w:p>
        </w:tc>
        <w:tc>
          <w:tcPr>
            <w:tcW w:w="0" w:type="auto"/>
          </w:tcPr>
          <w:p w:rsidR="005355A0" w:rsidRDefault="005355A0" w:rsidP="00B427D9">
            <w:pPr>
              <w:jc w:val="both"/>
            </w:pPr>
            <w:r>
              <w:t>2:4 (50%)</w:t>
            </w:r>
          </w:p>
        </w:tc>
        <w:tc>
          <w:tcPr>
            <w:tcW w:w="0" w:type="auto"/>
          </w:tcPr>
          <w:p w:rsidR="005355A0" w:rsidRDefault="005355A0" w:rsidP="00B427D9">
            <w:pPr>
              <w:jc w:val="both"/>
            </w:pPr>
            <w:r>
              <w:t>3:7 (42.9%)</w:t>
            </w:r>
          </w:p>
        </w:tc>
      </w:tr>
      <w:tr w:rsidR="005355A0" w:rsidTr="005355A0">
        <w:tc>
          <w:tcPr>
            <w:tcW w:w="0" w:type="auto"/>
          </w:tcPr>
          <w:p w:rsidR="005355A0" w:rsidRDefault="005355A0" w:rsidP="00B427D9">
            <w:pPr>
              <w:jc w:val="both"/>
              <w:rPr>
                <w:i/>
              </w:rPr>
            </w:pPr>
            <w:r>
              <w:rPr>
                <w:i/>
              </w:rPr>
              <w:t>Posterior Analytics</w:t>
            </w:r>
          </w:p>
        </w:tc>
        <w:tc>
          <w:tcPr>
            <w:tcW w:w="0" w:type="auto"/>
          </w:tcPr>
          <w:p w:rsidR="005355A0" w:rsidRDefault="005355A0" w:rsidP="00B427D9">
            <w:pPr>
              <w:jc w:val="both"/>
            </w:pPr>
            <w:r>
              <w:t>0:35 (0%)</w:t>
            </w:r>
          </w:p>
        </w:tc>
        <w:tc>
          <w:tcPr>
            <w:tcW w:w="0" w:type="auto"/>
          </w:tcPr>
          <w:p w:rsidR="005355A0" w:rsidRDefault="005355A0" w:rsidP="00B427D9">
            <w:pPr>
              <w:jc w:val="both"/>
            </w:pPr>
            <w:r>
              <w:t>13:19 (68.4%)</w:t>
            </w:r>
          </w:p>
        </w:tc>
        <w:tc>
          <w:tcPr>
            <w:tcW w:w="0" w:type="auto"/>
          </w:tcPr>
          <w:p w:rsidR="005355A0" w:rsidRDefault="005355A0" w:rsidP="00B427D9">
            <w:pPr>
              <w:jc w:val="both"/>
            </w:pPr>
            <w:r>
              <w:t>10:13 (77%)</w:t>
            </w:r>
          </w:p>
        </w:tc>
        <w:tc>
          <w:tcPr>
            <w:tcW w:w="0" w:type="auto"/>
          </w:tcPr>
          <w:p w:rsidR="005355A0" w:rsidRDefault="005355A0" w:rsidP="00B427D9">
            <w:pPr>
              <w:jc w:val="both"/>
            </w:pPr>
            <w:r>
              <w:t>6:10 (60%)</w:t>
            </w:r>
          </w:p>
        </w:tc>
        <w:tc>
          <w:tcPr>
            <w:tcW w:w="0" w:type="auto"/>
          </w:tcPr>
          <w:p w:rsidR="005355A0" w:rsidRDefault="005355A0" w:rsidP="00B427D9">
            <w:pPr>
              <w:jc w:val="both"/>
            </w:pPr>
            <w:r>
              <w:t>2:4 (50%)</w:t>
            </w:r>
          </w:p>
        </w:tc>
        <w:tc>
          <w:tcPr>
            <w:tcW w:w="0" w:type="auto"/>
          </w:tcPr>
          <w:p w:rsidR="005355A0" w:rsidRDefault="005355A0" w:rsidP="00B427D9">
            <w:pPr>
              <w:jc w:val="both"/>
            </w:pPr>
            <w:r>
              <w:t>3:7 (42.9%)</w:t>
            </w:r>
          </w:p>
        </w:tc>
      </w:tr>
    </w:tbl>
    <w:p w:rsidR="002E435C" w:rsidRPr="00B43562" w:rsidRDefault="006B72A2" w:rsidP="00B427D9">
      <w:pPr>
        <w:spacing w:line="480" w:lineRule="auto"/>
        <w:jc w:val="both"/>
      </w:pPr>
      <w:r>
        <w:tab/>
      </w:r>
      <w:r w:rsidR="002E435C">
        <w:t xml:space="preserve">What the data here suggests is the </w:t>
      </w:r>
      <w:r w:rsidR="00CB67DD">
        <w:t>following. Over the course of the 13</w:t>
      </w:r>
      <w:r w:rsidR="00CB67DD" w:rsidRPr="00CB67DD">
        <w:rPr>
          <w:vertAlign w:val="superscript"/>
        </w:rPr>
        <w:t>th</w:t>
      </w:r>
      <w:r w:rsidR="00CB67DD">
        <w:t xml:space="preserve"> century, the </w:t>
      </w:r>
      <w:proofErr w:type="spellStart"/>
      <w:r w:rsidR="00CB67DD" w:rsidRPr="00CB67DD">
        <w:rPr>
          <w:i/>
        </w:rPr>
        <w:t>Isagoge</w:t>
      </w:r>
      <w:proofErr w:type="spellEnd"/>
      <w:r w:rsidR="00CB67DD">
        <w:t xml:space="preserve">, </w:t>
      </w:r>
      <w:r w:rsidR="00CB67DD" w:rsidRPr="00CB67DD">
        <w:rPr>
          <w:i/>
        </w:rPr>
        <w:t>Categories</w:t>
      </w:r>
      <w:r w:rsidR="00CB67DD">
        <w:t xml:space="preserve">, and </w:t>
      </w:r>
      <w:proofErr w:type="spellStart"/>
      <w:r w:rsidR="00CB67DD">
        <w:rPr>
          <w:i/>
        </w:rPr>
        <w:t>Periermenias</w:t>
      </w:r>
      <w:proofErr w:type="spellEnd"/>
      <w:r w:rsidR="00CB67DD">
        <w:t xml:space="preserve"> become firmly established as the core materials for studying the old logic. This is partly because more codices contain the works when compared to prior centuries, but partially also because these works are now almost always gathered together in the same codex, whereas in prior centuries the works tended to circulate separately: sometimes with their commentaries, sometimes in codices with miscellaneous contents. The </w:t>
      </w:r>
      <w:r w:rsidR="00CB67DD">
        <w:rPr>
          <w:i/>
        </w:rPr>
        <w:t xml:space="preserve">Liber Sex </w:t>
      </w:r>
      <w:proofErr w:type="spellStart"/>
      <w:r w:rsidR="00CB67DD">
        <w:rPr>
          <w:i/>
        </w:rPr>
        <w:t>Principiorum</w:t>
      </w:r>
      <w:proofErr w:type="spellEnd"/>
      <w:r w:rsidR="00CB67DD">
        <w:t xml:space="preserve"> reaches the height of its popularity in the late 13</w:t>
      </w:r>
      <w:r w:rsidR="00CB67DD" w:rsidRPr="00CB67DD">
        <w:rPr>
          <w:vertAlign w:val="superscript"/>
        </w:rPr>
        <w:t>th</w:t>
      </w:r>
      <w:r w:rsidR="00CB67DD">
        <w:t xml:space="preserve"> century, after which point it circulates somewhat less widely. After peaking at about the same time as the </w:t>
      </w:r>
      <w:r w:rsidR="00CB67DD">
        <w:rPr>
          <w:i/>
        </w:rPr>
        <w:t xml:space="preserve">Liber, </w:t>
      </w:r>
      <w:r w:rsidR="00CB67DD">
        <w:t xml:space="preserve">the </w:t>
      </w:r>
      <w:proofErr w:type="spellStart"/>
      <w:r w:rsidR="00CB67DD">
        <w:t>Boethian</w:t>
      </w:r>
      <w:proofErr w:type="spellEnd"/>
      <w:r w:rsidR="00CB67DD">
        <w:t xml:space="preserve"> logical textbooks experience a strong</w:t>
      </w:r>
      <w:r w:rsidR="00E52887">
        <w:t>er</w:t>
      </w:r>
      <w:r w:rsidR="00CB67DD">
        <w:t xml:space="preserve"> decline. Aristotle’s </w:t>
      </w:r>
      <w:r w:rsidR="00CB67DD">
        <w:rPr>
          <w:i/>
        </w:rPr>
        <w:t xml:space="preserve">Topics </w:t>
      </w:r>
      <w:r w:rsidR="00CB67DD">
        <w:t xml:space="preserve">and </w:t>
      </w:r>
      <w:proofErr w:type="spellStart"/>
      <w:r w:rsidR="00CB67DD">
        <w:rPr>
          <w:i/>
        </w:rPr>
        <w:t>Elenchi</w:t>
      </w:r>
      <w:proofErr w:type="spellEnd"/>
      <w:r w:rsidR="00E52887">
        <w:t>, part of the new logic,</w:t>
      </w:r>
      <w:r w:rsidR="00CB67DD">
        <w:t xml:space="preserve"> </w:t>
      </w:r>
      <w:r w:rsidR="00E52887">
        <w:t>are less likely to circulate in codices with the old after the 13</w:t>
      </w:r>
      <w:r w:rsidR="00E52887" w:rsidRPr="00E52887">
        <w:rPr>
          <w:vertAlign w:val="superscript"/>
        </w:rPr>
        <w:t>th</w:t>
      </w:r>
      <w:r w:rsidR="00E52887">
        <w:t xml:space="preserve"> century, but this is not, as it is with the </w:t>
      </w:r>
      <w:proofErr w:type="spellStart"/>
      <w:r w:rsidR="00E52887">
        <w:t>Boethian</w:t>
      </w:r>
      <w:proofErr w:type="spellEnd"/>
      <w:r w:rsidR="00E52887">
        <w:t xml:space="preserve"> works, </w:t>
      </w:r>
      <w:r w:rsidR="00E84D21">
        <w:t>mainly because of decreased interest:</w:t>
      </w:r>
      <w:r w:rsidR="00E84D21">
        <w:rPr>
          <w:rStyle w:val="FootnoteReference"/>
        </w:rPr>
        <w:footnoteReference w:id="33"/>
      </w:r>
      <w:r w:rsidR="00E84D21">
        <w:t xml:space="preserve"> rather, these works become more likely to circulate separately </w:t>
      </w:r>
      <w:r w:rsidR="00B43562">
        <w:t xml:space="preserve">throughout </w:t>
      </w:r>
      <w:r w:rsidR="00E84D21">
        <w:t>the 14</w:t>
      </w:r>
      <w:r w:rsidR="00E84D21" w:rsidRPr="00E84D21">
        <w:rPr>
          <w:vertAlign w:val="superscript"/>
        </w:rPr>
        <w:t>th</w:t>
      </w:r>
      <w:r w:rsidR="00E84D21">
        <w:t xml:space="preserve"> </w:t>
      </w:r>
      <w:r w:rsidR="00B43562">
        <w:t>century</w:t>
      </w:r>
      <w:r w:rsidR="00E84D21">
        <w:t xml:space="preserve">. </w:t>
      </w:r>
      <w:r w:rsidR="00B43562">
        <w:t xml:space="preserve">This is even more often the case with the </w:t>
      </w:r>
      <w:r w:rsidR="00B43562">
        <w:rPr>
          <w:i/>
        </w:rPr>
        <w:t>Analytics</w:t>
      </w:r>
      <w:r w:rsidR="00B43562">
        <w:t xml:space="preserve">, though it is not the place of this essay to address the history of these works in their own right. </w:t>
      </w:r>
    </w:p>
    <w:p w:rsidR="002E435C" w:rsidRDefault="002E435C" w:rsidP="00B427D9">
      <w:pPr>
        <w:pStyle w:val="Heading1"/>
        <w:jc w:val="both"/>
      </w:pPr>
      <w:r>
        <w:lastRenderedPageBreak/>
        <w:t>Conclusion</w:t>
      </w:r>
    </w:p>
    <w:p w:rsidR="00F641EE" w:rsidRDefault="006B72A2" w:rsidP="00B427D9">
      <w:pPr>
        <w:spacing w:line="480" w:lineRule="auto"/>
        <w:jc w:val="both"/>
      </w:pPr>
      <w:r>
        <w:tab/>
      </w:r>
      <w:r w:rsidR="00A03FE0">
        <w:t xml:space="preserve">What I have attempted to show in the preceding pages is that the development of the study of the texts of the </w:t>
      </w:r>
      <w:proofErr w:type="spellStart"/>
      <w:r w:rsidR="00A03FE0">
        <w:rPr>
          <w:i/>
        </w:rPr>
        <w:t>logica</w:t>
      </w:r>
      <w:proofErr w:type="spellEnd"/>
      <w:r w:rsidR="00A03FE0">
        <w:rPr>
          <w:i/>
        </w:rPr>
        <w:t xml:space="preserve"> </w:t>
      </w:r>
      <w:proofErr w:type="spellStart"/>
      <w:r w:rsidR="00A03FE0">
        <w:rPr>
          <w:i/>
        </w:rPr>
        <w:t>vetus</w:t>
      </w:r>
      <w:proofErr w:type="spellEnd"/>
      <w:r w:rsidR="00A03FE0">
        <w:rPr>
          <w:i/>
        </w:rPr>
        <w:t xml:space="preserve"> </w:t>
      </w:r>
      <w:r w:rsidR="00A03FE0">
        <w:t xml:space="preserve">occurs in two stages. In the first, we find the first signs of a </w:t>
      </w:r>
      <w:r w:rsidR="00A03FE0">
        <w:rPr>
          <w:i/>
        </w:rPr>
        <w:t>progressivist</w:t>
      </w:r>
      <w:r w:rsidR="00A03FE0">
        <w:t xml:space="preserve"> notion of education, marked most basically by the development of the very idea of a </w:t>
      </w:r>
      <w:r w:rsidR="00A03FE0">
        <w:rPr>
          <w:i/>
        </w:rPr>
        <w:t xml:space="preserve">cursus </w:t>
      </w:r>
      <w:proofErr w:type="spellStart"/>
      <w:r w:rsidR="00A03FE0">
        <w:rPr>
          <w:i/>
        </w:rPr>
        <w:t>studii</w:t>
      </w:r>
      <w:proofErr w:type="spellEnd"/>
      <w:r w:rsidR="00A03FE0">
        <w:t xml:space="preserve">. In the second, we witness the gradual </w:t>
      </w:r>
      <w:r w:rsidR="00A03FE0">
        <w:rPr>
          <w:i/>
        </w:rPr>
        <w:t xml:space="preserve">Hellenization </w:t>
      </w:r>
      <w:r w:rsidR="00A03FE0">
        <w:t xml:space="preserve">of that </w:t>
      </w:r>
      <w:r w:rsidR="00A80572">
        <w:t>notion</w:t>
      </w:r>
      <w:r w:rsidR="00A03FE0">
        <w:t>. The first of these shifts occurs at the beginning of the 13</w:t>
      </w:r>
      <w:r w:rsidR="00A03FE0" w:rsidRPr="00A03FE0">
        <w:rPr>
          <w:vertAlign w:val="superscript"/>
        </w:rPr>
        <w:t>th</w:t>
      </w:r>
      <w:r w:rsidR="00A03FE0">
        <w:t xml:space="preserve"> century, while the second </w:t>
      </w:r>
      <w:r w:rsidR="00A80572">
        <w:t xml:space="preserve">is ascendant at the </w:t>
      </w:r>
      <w:r w:rsidR="00A03FE0">
        <w:t>turn of the 14</w:t>
      </w:r>
      <w:r w:rsidR="00A03FE0" w:rsidRPr="00A03FE0">
        <w:rPr>
          <w:vertAlign w:val="superscript"/>
        </w:rPr>
        <w:t>th</w:t>
      </w:r>
      <w:r w:rsidR="00A03FE0">
        <w:t xml:space="preserve">. </w:t>
      </w:r>
    </w:p>
    <w:p w:rsidR="00887DFE" w:rsidRPr="00887DFE" w:rsidRDefault="006B72A2" w:rsidP="00B427D9">
      <w:pPr>
        <w:spacing w:line="480" w:lineRule="auto"/>
        <w:jc w:val="both"/>
      </w:pPr>
      <w:r>
        <w:tab/>
      </w:r>
      <w:r w:rsidR="00F641EE">
        <w:t>I</w:t>
      </w:r>
      <w:r w:rsidR="00123A38">
        <w:t xml:space="preserve">n contradistinction to more typical </w:t>
      </w:r>
      <w:r w:rsidR="00F641EE">
        <w:t>historiographies of the Medieval period generally, what this means is that 1) in logic, t</w:t>
      </w:r>
      <w:r w:rsidR="00123A38">
        <w:t>he question of the authority of an author</w:t>
      </w:r>
      <w:r w:rsidR="00F641EE">
        <w:t xml:space="preserve"> of a text</w:t>
      </w:r>
      <w:r w:rsidR="00123A38">
        <w:t xml:space="preserve"> becomes </w:t>
      </w:r>
      <w:r w:rsidR="00123A38">
        <w:rPr>
          <w:i/>
          <w:iCs/>
        </w:rPr>
        <w:t xml:space="preserve">more </w:t>
      </w:r>
      <w:r w:rsidR="00123A38">
        <w:t>important, not less, as we move from the 13</w:t>
      </w:r>
      <w:r w:rsidR="00123A38">
        <w:rPr>
          <w:vertAlign w:val="superscript"/>
        </w:rPr>
        <w:t>th</w:t>
      </w:r>
      <w:r w:rsidR="00123A38">
        <w:t xml:space="preserve"> to the 14</w:t>
      </w:r>
      <w:r w:rsidR="00123A38">
        <w:rPr>
          <w:vertAlign w:val="superscript"/>
        </w:rPr>
        <w:t>th</w:t>
      </w:r>
      <w:r w:rsidR="00123A38">
        <w:t xml:space="preserve"> century</w:t>
      </w:r>
      <w:r w:rsidR="00F641EE">
        <w:t xml:space="preserve">; 2) the authority of the author is determined not wholly by their individual reputation, but partly on account of their ability to be grouped into a larger collective – in this case, “the Greeks”; and 3) that the authority attached to this collective was attributed to it </w:t>
      </w:r>
      <w:r w:rsidR="000A1A2D">
        <w:t xml:space="preserve">in accordance with an easily distinguishable sign of the heteronomy of that same group </w:t>
      </w:r>
      <w:r w:rsidR="002E0096">
        <w:t xml:space="preserve">(i.e. its language) </w:t>
      </w:r>
      <w:r w:rsidR="000A1A2D">
        <w:t xml:space="preserve">vis-à-vis </w:t>
      </w:r>
      <w:r w:rsidR="002E0096">
        <w:t>the collective</w:t>
      </w:r>
      <w:r w:rsidR="000A1A2D">
        <w:t xml:space="preserve"> that the reader of the text would identify him/herself with, i.e. the </w:t>
      </w:r>
      <w:proofErr w:type="spellStart"/>
      <w:r w:rsidR="000A1A2D">
        <w:rPr>
          <w:i/>
        </w:rPr>
        <w:t>Orbis</w:t>
      </w:r>
      <w:proofErr w:type="spellEnd"/>
      <w:r w:rsidR="000A1A2D">
        <w:rPr>
          <w:i/>
        </w:rPr>
        <w:t xml:space="preserve"> Latina</w:t>
      </w:r>
      <w:r w:rsidR="000A1A2D">
        <w:t xml:space="preserve">. </w:t>
      </w:r>
      <w:r w:rsidR="00887DFE">
        <w:t xml:space="preserve">Rather than reason being established </w:t>
      </w:r>
      <w:r w:rsidR="00887DFE">
        <w:rPr>
          <w:i/>
        </w:rPr>
        <w:t xml:space="preserve">against </w:t>
      </w:r>
      <w:r w:rsidR="00887DFE">
        <w:t xml:space="preserve">authority, </w:t>
      </w:r>
      <w:r w:rsidR="000A1A2D">
        <w:t xml:space="preserve">here we see </w:t>
      </w:r>
      <w:r w:rsidR="00887DFE">
        <w:t xml:space="preserve">the value of authority </w:t>
      </w:r>
      <w:r w:rsidR="000A1A2D">
        <w:t xml:space="preserve">firmly </w:t>
      </w:r>
      <w:r w:rsidR="00887DFE">
        <w:t>established</w:t>
      </w:r>
      <w:r w:rsidR="000A1A2D">
        <w:t xml:space="preserve"> in logic, in the domain of reason itself – and even by an extrinsic sign rather than an internal criterion – precisely at that point where logic is thought to have made the most significant advances in the medieval period. </w:t>
      </w:r>
      <w:r w:rsidR="002E0096">
        <w:t xml:space="preserve">Though the eclipse of earlier Latin logical texts after the recovery of Greek sources is well-known, the event itself has not been the subject of critical reflection. Hopefully, the more detailed analysis given in this study can be the ground for that, doubtless to be fruitful, encounter. </w:t>
      </w:r>
    </w:p>
    <w:p w:rsidR="00166A2F" w:rsidRDefault="00657B0C" w:rsidP="00584C66">
      <w:pPr>
        <w:jc w:val="center"/>
      </w:pPr>
      <w:r>
        <w:rPr>
          <w:b/>
        </w:rPr>
        <w:t>References</w:t>
      </w:r>
    </w:p>
    <w:p w:rsidR="005A4540" w:rsidRPr="005A4540" w:rsidRDefault="005A4540" w:rsidP="00B427D9">
      <w:pPr>
        <w:pStyle w:val="ListParagraph"/>
        <w:spacing w:line="480" w:lineRule="auto"/>
        <w:ind w:hanging="720"/>
        <w:jc w:val="both"/>
      </w:pPr>
      <w:r>
        <w:t>[</w:t>
      </w:r>
      <w:r w:rsidR="007E7A1F">
        <w:t xml:space="preserve">Aristoteles </w:t>
      </w:r>
      <w:proofErr w:type="spellStart"/>
      <w:r w:rsidR="007E7A1F">
        <w:t>Latinus</w:t>
      </w:r>
      <w:proofErr w:type="spellEnd"/>
      <w:r>
        <w:t xml:space="preserve">] (1939). </w:t>
      </w:r>
      <w:r>
        <w:rPr>
          <w:i/>
        </w:rPr>
        <w:t>Codices: Pars Prior</w:t>
      </w:r>
      <w:r>
        <w:t xml:space="preserve">, ed. G. Lacombe </w:t>
      </w:r>
      <w:r>
        <w:rPr>
          <w:i/>
        </w:rPr>
        <w:t xml:space="preserve">et al., </w:t>
      </w:r>
      <w:r>
        <w:t xml:space="preserve">(Rome: La </w:t>
      </w:r>
      <w:proofErr w:type="spellStart"/>
      <w:r>
        <w:t>Libreria</w:t>
      </w:r>
      <w:proofErr w:type="spellEnd"/>
      <w:r>
        <w:t xml:space="preserve"> </w:t>
      </w:r>
      <w:proofErr w:type="spellStart"/>
      <w:r>
        <w:t>dello</w:t>
      </w:r>
      <w:proofErr w:type="spellEnd"/>
      <w:r>
        <w:t xml:space="preserve"> </w:t>
      </w:r>
      <w:proofErr w:type="spellStart"/>
      <w:r>
        <w:t>Stato</w:t>
      </w:r>
      <w:proofErr w:type="spellEnd"/>
      <w:r>
        <w:t>).</w:t>
      </w:r>
    </w:p>
    <w:p w:rsidR="00AA7A94" w:rsidRDefault="00AA7A94" w:rsidP="00B427D9">
      <w:pPr>
        <w:pStyle w:val="ListParagraph"/>
        <w:spacing w:line="480" w:lineRule="auto"/>
        <w:ind w:hanging="720"/>
        <w:jc w:val="both"/>
        <w:rPr>
          <w:b/>
          <w:bCs/>
          <w:u w:val="single"/>
        </w:rPr>
      </w:pPr>
      <w:r>
        <w:rPr>
          <w:u w:val="single"/>
        </w:rPr>
        <w:tab/>
      </w:r>
      <w:r>
        <w:t xml:space="preserve">(1966). </w:t>
      </w:r>
      <w:r>
        <w:rPr>
          <w:i/>
          <w:iCs/>
        </w:rPr>
        <w:t xml:space="preserve">I: 6-7: </w:t>
      </w:r>
      <w:proofErr w:type="spellStart"/>
      <w:r>
        <w:rPr>
          <w:i/>
          <w:iCs/>
        </w:rPr>
        <w:t>Categoriarum</w:t>
      </w:r>
      <w:proofErr w:type="spellEnd"/>
      <w:r>
        <w:rPr>
          <w:i/>
          <w:iCs/>
        </w:rPr>
        <w:t xml:space="preserve"> </w:t>
      </w:r>
      <w:proofErr w:type="spellStart"/>
      <w:r>
        <w:rPr>
          <w:i/>
          <w:iCs/>
        </w:rPr>
        <w:t>Supplementa</w:t>
      </w:r>
      <w:proofErr w:type="spellEnd"/>
      <w:r>
        <w:t xml:space="preserve">: </w:t>
      </w:r>
      <w:proofErr w:type="spellStart"/>
      <w:r>
        <w:rPr>
          <w:i/>
          <w:iCs/>
        </w:rPr>
        <w:t>Porphyrii</w:t>
      </w:r>
      <w:proofErr w:type="spellEnd"/>
      <w:r>
        <w:rPr>
          <w:i/>
          <w:iCs/>
        </w:rPr>
        <w:t xml:space="preserve"> </w:t>
      </w:r>
      <w:proofErr w:type="spellStart"/>
      <w:r>
        <w:rPr>
          <w:i/>
          <w:iCs/>
        </w:rPr>
        <w:t>Isagoge</w:t>
      </w:r>
      <w:proofErr w:type="spellEnd"/>
      <w:r>
        <w:rPr>
          <w:i/>
          <w:iCs/>
        </w:rPr>
        <w:t xml:space="preserve"> </w:t>
      </w:r>
      <w:proofErr w:type="gramStart"/>
      <w:r>
        <w:rPr>
          <w:i/>
          <w:iCs/>
        </w:rPr>
        <w:t>et</w:t>
      </w:r>
      <w:proofErr w:type="gramEnd"/>
      <w:r>
        <w:rPr>
          <w:i/>
          <w:iCs/>
        </w:rPr>
        <w:t xml:space="preserve"> Liber Sex </w:t>
      </w:r>
      <w:proofErr w:type="spellStart"/>
      <w:r>
        <w:rPr>
          <w:i/>
          <w:iCs/>
        </w:rPr>
        <w:t>Principiorum</w:t>
      </w:r>
      <w:proofErr w:type="spellEnd"/>
      <w:r>
        <w:rPr>
          <w:i/>
          <w:iCs/>
        </w:rPr>
        <w:t>.</w:t>
      </w:r>
      <w:r>
        <w:t xml:space="preserve"> </w:t>
      </w:r>
      <w:proofErr w:type="gramStart"/>
      <w:r w:rsidR="00466761">
        <w:t>ed</w:t>
      </w:r>
      <w:proofErr w:type="gramEnd"/>
      <w:r w:rsidR="005A4540">
        <w:t xml:space="preserve">. L. </w:t>
      </w:r>
      <w:proofErr w:type="spellStart"/>
      <w:r w:rsidR="005A4540">
        <w:t>Minio-Paluello</w:t>
      </w:r>
      <w:proofErr w:type="spellEnd"/>
      <w:r w:rsidR="005A4540">
        <w:t xml:space="preserve"> (</w:t>
      </w:r>
      <w:r w:rsidR="00466761">
        <w:t xml:space="preserve">Bruges-Paris: </w:t>
      </w:r>
      <w:proofErr w:type="spellStart"/>
      <w:r w:rsidR="00466761">
        <w:t>Desclé</w:t>
      </w:r>
      <w:r>
        <w:t>e</w:t>
      </w:r>
      <w:proofErr w:type="spellEnd"/>
      <w:r>
        <w:t xml:space="preserve"> de </w:t>
      </w:r>
      <w:proofErr w:type="spellStart"/>
      <w:r>
        <w:t>Brouwer</w:t>
      </w:r>
      <w:proofErr w:type="spellEnd"/>
      <w:r w:rsidR="005A4540">
        <w:t>)</w:t>
      </w:r>
      <w:r>
        <w:t>.</w:t>
      </w:r>
    </w:p>
    <w:p w:rsidR="00865B99" w:rsidRDefault="00657B0C" w:rsidP="00B427D9">
      <w:pPr>
        <w:spacing w:line="480" w:lineRule="auto"/>
        <w:ind w:left="720" w:hanging="720"/>
        <w:jc w:val="both"/>
      </w:pPr>
      <w:proofErr w:type="spellStart"/>
      <w:r>
        <w:lastRenderedPageBreak/>
        <w:t>Copleston</w:t>
      </w:r>
      <w:proofErr w:type="spellEnd"/>
      <w:r>
        <w:t xml:space="preserve">, Frederick (1962). </w:t>
      </w:r>
      <w:r>
        <w:rPr>
          <w:i/>
        </w:rPr>
        <w:t>A History of Philosophy Volume 2: Medieval Philosophy</w:t>
      </w:r>
      <w:r>
        <w:t xml:space="preserve"> (New York: Doubleday).</w:t>
      </w:r>
    </w:p>
    <w:p w:rsidR="002F3CE0" w:rsidRDefault="002F3CE0" w:rsidP="00B427D9">
      <w:pPr>
        <w:spacing w:line="480" w:lineRule="auto"/>
        <w:ind w:left="720" w:hanging="720"/>
        <w:jc w:val="both"/>
      </w:pPr>
      <w:r>
        <w:t xml:space="preserve">Dodd, Bernard G (1982). “Aristoteles </w:t>
      </w:r>
      <w:proofErr w:type="spellStart"/>
      <w:r>
        <w:t>Latinus</w:t>
      </w:r>
      <w:proofErr w:type="spellEnd"/>
      <w:r>
        <w:t>,</w:t>
      </w:r>
      <w:r w:rsidR="003037A2">
        <w:t xml:space="preserve">” in </w:t>
      </w:r>
      <w:proofErr w:type="spellStart"/>
      <w:r w:rsidR="003037A2">
        <w:t>Kretzmann</w:t>
      </w:r>
      <w:proofErr w:type="spellEnd"/>
      <w:r w:rsidR="003037A2">
        <w:t xml:space="preserve"> et al., 1982,</w:t>
      </w:r>
      <w:r>
        <w:t xml:space="preserve"> 45-79.</w:t>
      </w:r>
    </w:p>
    <w:p w:rsidR="003037A2" w:rsidRPr="003037A2" w:rsidRDefault="003037A2" w:rsidP="00B427D9">
      <w:pPr>
        <w:spacing w:line="480" w:lineRule="auto"/>
        <w:ind w:left="720" w:hanging="720"/>
        <w:jc w:val="both"/>
      </w:pPr>
      <w:proofErr w:type="spellStart"/>
      <w:r>
        <w:t>Gabbay</w:t>
      </w:r>
      <w:proofErr w:type="spellEnd"/>
      <w:r>
        <w:t xml:space="preserve">, D. And J. Woods (2008). </w:t>
      </w:r>
      <w:r>
        <w:rPr>
          <w:i/>
        </w:rPr>
        <w:t>Handbook of the History of Logic Volume Two: Medieval and Renaissance Logic</w:t>
      </w:r>
      <w:r>
        <w:t xml:space="preserve"> (Amsterdam: Elsevier). </w:t>
      </w:r>
    </w:p>
    <w:p w:rsidR="00865B99" w:rsidRDefault="00865B99" w:rsidP="00B427D9">
      <w:pPr>
        <w:spacing w:line="480" w:lineRule="auto"/>
        <w:ind w:left="720" w:hanging="720"/>
        <w:jc w:val="both"/>
      </w:pPr>
      <w:proofErr w:type="spellStart"/>
      <w:r>
        <w:t>Kretzmann</w:t>
      </w:r>
      <w:proofErr w:type="spellEnd"/>
      <w:r w:rsidR="009C3D1A">
        <w:t xml:space="preserve">, Norman, Anthony Kenny, Jan </w:t>
      </w:r>
      <w:proofErr w:type="spellStart"/>
      <w:r w:rsidR="009C3D1A">
        <w:t>Pinborg</w:t>
      </w:r>
      <w:proofErr w:type="spellEnd"/>
      <w:r w:rsidR="009C3D1A">
        <w:t xml:space="preserve"> and </w:t>
      </w:r>
      <w:proofErr w:type="spellStart"/>
      <w:r w:rsidR="009C3D1A">
        <w:t>Eleonore</w:t>
      </w:r>
      <w:proofErr w:type="spellEnd"/>
      <w:r w:rsidR="009C3D1A">
        <w:t xml:space="preserve"> Stump, </w:t>
      </w:r>
      <w:proofErr w:type="gramStart"/>
      <w:r w:rsidR="009C3D1A">
        <w:t>eds</w:t>
      </w:r>
      <w:proofErr w:type="gramEnd"/>
      <w:r w:rsidR="009C3D1A">
        <w:t xml:space="preserve">. </w:t>
      </w:r>
      <w:r>
        <w:t xml:space="preserve"> </w:t>
      </w:r>
      <w:r w:rsidR="009C3D1A">
        <w:t xml:space="preserve">(1982). </w:t>
      </w:r>
      <w:proofErr w:type="gramStart"/>
      <w:r w:rsidR="009C3D1A">
        <w:rPr>
          <w:i/>
        </w:rPr>
        <w:t>The</w:t>
      </w:r>
      <w:proofErr w:type="gramEnd"/>
      <w:r w:rsidR="009C3D1A">
        <w:rPr>
          <w:i/>
        </w:rPr>
        <w:t xml:space="preserve"> Cambridge Companion to Later Medieval Philosophy</w:t>
      </w:r>
      <w:r w:rsidR="009C3D1A">
        <w:t>. (</w:t>
      </w:r>
      <w:r w:rsidR="001303F9">
        <w:t xml:space="preserve">Cambridge: Cambridge University Press). </w:t>
      </w:r>
    </w:p>
    <w:p w:rsidR="00861648" w:rsidRDefault="00871B10" w:rsidP="00B427D9">
      <w:pPr>
        <w:spacing w:line="480" w:lineRule="auto"/>
        <w:ind w:left="720" w:hanging="720"/>
        <w:jc w:val="both"/>
      </w:pPr>
      <w:proofErr w:type="spellStart"/>
      <w:r>
        <w:t>Marenbon</w:t>
      </w:r>
      <w:proofErr w:type="spellEnd"/>
      <w:r>
        <w:t>, John (2008</w:t>
      </w:r>
      <w:r w:rsidR="00EE1EE0" w:rsidRPr="00871B10">
        <w:t xml:space="preserve">). “Logic at </w:t>
      </w:r>
      <w:r w:rsidRPr="00871B10">
        <w:t>the Turn of the Twelfth Century</w:t>
      </w:r>
      <w:r w:rsidR="003037A2">
        <w:t>,</w:t>
      </w:r>
      <w:r w:rsidRPr="00871B10">
        <w:t>”</w:t>
      </w:r>
      <w:r w:rsidR="003037A2">
        <w:t xml:space="preserve"> in </w:t>
      </w:r>
      <w:proofErr w:type="spellStart"/>
      <w:r w:rsidR="003037A2">
        <w:t>Gabbay</w:t>
      </w:r>
      <w:proofErr w:type="spellEnd"/>
      <w:r w:rsidR="003037A2">
        <w:t xml:space="preserve"> and Woods 2008, 65-81.</w:t>
      </w:r>
    </w:p>
    <w:p w:rsidR="00861648" w:rsidRDefault="009C3D1A" w:rsidP="00B427D9">
      <w:pPr>
        <w:spacing w:line="480" w:lineRule="auto"/>
        <w:ind w:left="720" w:hanging="720"/>
        <w:jc w:val="both"/>
      </w:pPr>
      <w:r w:rsidRPr="00AA7A94">
        <w:t xml:space="preserve">Henry, D. P. </w:t>
      </w:r>
      <w:r w:rsidR="001303F9" w:rsidRPr="00AA7A94">
        <w:t xml:space="preserve">(1974). </w:t>
      </w:r>
      <w:r w:rsidR="001303F9" w:rsidRPr="00AA7A94">
        <w:rPr>
          <w:i/>
        </w:rPr>
        <w:t xml:space="preserve">Commentary on </w:t>
      </w:r>
      <w:r w:rsidR="001303F9" w:rsidRPr="00AA7A94">
        <w:t xml:space="preserve">De </w:t>
      </w:r>
      <w:proofErr w:type="spellStart"/>
      <w:r w:rsidR="001303F9" w:rsidRPr="00AA7A94">
        <w:t>Grammatico</w:t>
      </w:r>
      <w:proofErr w:type="spellEnd"/>
      <w:r w:rsidR="001303F9" w:rsidRPr="00AA7A94">
        <w:rPr>
          <w:i/>
        </w:rPr>
        <w:t>: The Historical-Logical Dimensions of a Dialogue of St. Anselm’s</w:t>
      </w:r>
      <w:r w:rsidR="001303F9" w:rsidRPr="00AA7A94">
        <w:t xml:space="preserve"> (Dordrecht, H</w:t>
      </w:r>
      <w:r w:rsidR="00861648">
        <w:t xml:space="preserve">olland: D. </w:t>
      </w:r>
      <w:proofErr w:type="spellStart"/>
      <w:r w:rsidR="00861648">
        <w:t>Reidel</w:t>
      </w:r>
      <w:proofErr w:type="spellEnd"/>
      <w:r w:rsidR="00861648">
        <w:t>).</w:t>
      </w:r>
    </w:p>
    <w:p w:rsidR="00861648" w:rsidRDefault="00E860C0" w:rsidP="00B427D9">
      <w:pPr>
        <w:spacing w:line="480" w:lineRule="auto"/>
        <w:ind w:left="720" w:hanging="720"/>
        <w:jc w:val="both"/>
      </w:pPr>
      <w:r w:rsidRPr="00AA7A94">
        <w:t xml:space="preserve">Peter Abelard (1970). </w:t>
      </w:r>
      <w:proofErr w:type="spellStart"/>
      <w:r w:rsidRPr="00AA7A94">
        <w:rPr>
          <w:i/>
        </w:rPr>
        <w:t>Dialectica</w:t>
      </w:r>
      <w:proofErr w:type="spellEnd"/>
      <w:r w:rsidRPr="00AA7A94">
        <w:t xml:space="preserve">, ed. L. M. de </w:t>
      </w:r>
      <w:proofErr w:type="spellStart"/>
      <w:r w:rsidRPr="00AA7A94">
        <w:t>Rijk</w:t>
      </w:r>
      <w:proofErr w:type="spellEnd"/>
      <w:r w:rsidRPr="00AA7A94">
        <w:t xml:space="preserve"> (</w:t>
      </w:r>
      <w:proofErr w:type="spellStart"/>
      <w:r w:rsidRPr="00AA7A94">
        <w:t>Assen</w:t>
      </w:r>
      <w:proofErr w:type="spellEnd"/>
      <w:r w:rsidRPr="00AA7A94">
        <w:t xml:space="preserve">: Van </w:t>
      </w:r>
      <w:proofErr w:type="spellStart"/>
      <w:r w:rsidRPr="00AA7A94">
        <w:t>Gorcum</w:t>
      </w:r>
      <w:proofErr w:type="spellEnd"/>
      <w:r w:rsidRPr="00AA7A94">
        <w:t xml:space="preserve">). </w:t>
      </w:r>
    </w:p>
    <w:p w:rsidR="00861648" w:rsidRDefault="001924CC" w:rsidP="00B427D9">
      <w:pPr>
        <w:spacing w:line="480" w:lineRule="auto"/>
        <w:ind w:left="720" w:hanging="720"/>
        <w:jc w:val="both"/>
      </w:pPr>
      <w:r w:rsidRPr="00AA7A94">
        <w:t xml:space="preserve">Smith, Lesley (2010). “Hugh of St. Cher and Medieval Collaboration,” in </w:t>
      </w:r>
      <w:r w:rsidRPr="00AA7A94">
        <w:rPr>
          <w:i/>
          <w:iCs/>
        </w:rPr>
        <w:t>Transforming Relations: Essays on Jews and Christians throughout history in honor of Michael A. Signer</w:t>
      </w:r>
      <w:r w:rsidRPr="00AA7A94">
        <w:rPr>
          <w:iCs/>
        </w:rPr>
        <w:t>, ed. Franklin T. Harkins (Notre Dame, IN: University of Notre Dame Press)</w:t>
      </w:r>
      <w:r w:rsidRPr="00AA7A94">
        <w:t>, pp. 241-64.</w:t>
      </w:r>
    </w:p>
    <w:p w:rsidR="00861648" w:rsidRDefault="00865B99" w:rsidP="00B427D9">
      <w:pPr>
        <w:spacing w:line="480" w:lineRule="auto"/>
        <w:ind w:left="720" w:hanging="720"/>
        <w:jc w:val="both"/>
      </w:pPr>
      <w:proofErr w:type="spellStart"/>
      <w:r w:rsidRPr="00AA7A94">
        <w:t>Shiel</w:t>
      </w:r>
      <w:proofErr w:type="spellEnd"/>
      <w:r w:rsidRPr="00AA7A94">
        <w:t xml:space="preserve">, J. </w:t>
      </w:r>
      <w:r w:rsidR="00D035E3" w:rsidRPr="00AA7A94">
        <w:t xml:space="preserve">(1990). </w:t>
      </w:r>
      <w:r w:rsidRPr="00AA7A94">
        <w:t xml:space="preserve">“Boethius’ Commentaries on Aristotle” in R. </w:t>
      </w:r>
      <w:proofErr w:type="spellStart"/>
      <w:r w:rsidRPr="00AA7A94">
        <w:t>Sorabji</w:t>
      </w:r>
      <w:proofErr w:type="spellEnd"/>
      <w:r w:rsidRPr="00AA7A94">
        <w:t xml:space="preserve">, ed. </w:t>
      </w:r>
      <w:r w:rsidRPr="00AA7A94">
        <w:rPr>
          <w:i/>
        </w:rPr>
        <w:t>Aristotle Transformed</w:t>
      </w:r>
      <w:r w:rsidR="00D035E3" w:rsidRPr="00AA7A94">
        <w:rPr>
          <w:i/>
        </w:rPr>
        <w:t>: The Ancient Commentators and their Influence</w:t>
      </w:r>
      <w:r w:rsidR="00D035E3" w:rsidRPr="00AA7A94">
        <w:t xml:space="preserve"> (London: Duckworth), 349-72.</w:t>
      </w:r>
    </w:p>
    <w:p w:rsidR="001924CC" w:rsidRDefault="00B43562" w:rsidP="00B427D9">
      <w:pPr>
        <w:spacing w:line="480" w:lineRule="auto"/>
        <w:ind w:left="720" w:hanging="720"/>
        <w:jc w:val="both"/>
      </w:pPr>
      <w:r>
        <w:t xml:space="preserve">Stump, </w:t>
      </w:r>
      <w:proofErr w:type="spellStart"/>
      <w:r>
        <w:t>Eleonore</w:t>
      </w:r>
      <w:proofErr w:type="spellEnd"/>
      <w:r>
        <w:t xml:space="preserve"> (1989). </w:t>
      </w:r>
      <w:r>
        <w:rPr>
          <w:i/>
        </w:rPr>
        <w:t>Dialectic and its Place in the Development of Medieval Logic</w:t>
      </w:r>
      <w:r>
        <w:t xml:space="preserve"> (Ithaca: Cornell University Press). </w:t>
      </w:r>
    </w:p>
    <w:p w:rsidR="00D3223D" w:rsidRPr="00D3223D" w:rsidRDefault="00D3223D" w:rsidP="00B427D9">
      <w:pPr>
        <w:spacing w:line="480" w:lineRule="auto"/>
        <w:ind w:left="720" w:hanging="720"/>
        <w:jc w:val="both"/>
      </w:pPr>
      <w:r>
        <w:t xml:space="preserve">Thomas Aquinas (1955). </w:t>
      </w:r>
      <w:r>
        <w:rPr>
          <w:i/>
        </w:rPr>
        <w:t xml:space="preserve">In </w:t>
      </w:r>
      <w:proofErr w:type="spellStart"/>
      <w:r>
        <w:rPr>
          <w:i/>
        </w:rPr>
        <w:t>Aristotelis</w:t>
      </w:r>
      <w:proofErr w:type="spellEnd"/>
      <w:r>
        <w:rPr>
          <w:i/>
        </w:rPr>
        <w:t xml:space="preserve"> </w:t>
      </w:r>
      <w:proofErr w:type="spellStart"/>
      <w:r>
        <w:rPr>
          <w:i/>
        </w:rPr>
        <w:t>libros</w:t>
      </w:r>
      <w:proofErr w:type="spellEnd"/>
      <w:r>
        <w:rPr>
          <w:i/>
        </w:rPr>
        <w:t xml:space="preserve"> </w:t>
      </w:r>
      <w:proofErr w:type="spellStart"/>
      <w:r>
        <w:rPr>
          <w:i/>
        </w:rPr>
        <w:t>Posteriorum</w:t>
      </w:r>
      <w:proofErr w:type="spellEnd"/>
      <w:r>
        <w:rPr>
          <w:i/>
        </w:rPr>
        <w:t xml:space="preserve"> </w:t>
      </w:r>
      <w:proofErr w:type="spellStart"/>
      <w:r>
        <w:rPr>
          <w:i/>
        </w:rPr>
        <w:t>Analyticorum</w:t>
      </w:r>
      <w:proofErr w:type="spellEnd"/>
      <w:r>
        <w:rPr>
          <w:i/>
        </w:rPr>
        <w:t xml:space="preserve"> </w:t>
      </w:r>
      <w:proofErr w:type="spellStart"/>
      <w:r>
        <w:rPr>
          <w:i/>
        </w:rPr>
        <w:t>Expositio</w:t>
      </w:r>
      <w:proofErr w:type="spellEnd"/>
      <w:r>
        <w:t>. (</w:t>
      </w:r>
      <w:proofErr w:type="spellStart"/>
      <w:r>
        <w:t>Marietti</w:t>
      </w:r>
      <w:proofErr w:type="spellEnd"/>
      <w:r>
        <w:t>) [</w:t>
      </w:r>
      <w:r w:rsidRPr="00D3223D">
        <w:rPr>
          <w:i/>
        </w:rPr>
        <w:t>PA</w:t>
      </w:r>
      <w:r>
        <w:t>]</w:t>
      </w:r>
    </w:p>
    <w:sectPr w:rsidR="00D3223D" w:rsidRPr="00D3223D" w:rsidSect="00776E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60A" w:rsidRDefault="0096060A" w:rsidP="00657B0C">
      <w:pPr>
        <w:spacing w:after="0" w:line="240" w:lineRule="auto"/>
      </w:pPr>
      <w:r>
        <w:separator/>
      </w:r>
    </w:p>
  </w:endnote>
  <w:endnote w:type="continuationSeparator" w:id="0">
    <w:p w:rsidR="0096060A" w:rsidRDefault="0096060A" w:rsidP="00657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60A" w:rsidRDefault="0096060A" w:rsidP="00657B0C">
      <w:pPr>
        <w:spacing w:after="0" w:line="240" w:lineRule="auto"/>
      </w:pPr>
      <w:r>
        <w:separator/>
      </w:r>
    </w:p>
  </w:footnote>
  <w:footnote w:type="continuationSeparator" w:id="0">
    <w:p w:rsidR="0096060A" w:rsidRDefault="0096060A" w:rsidP="00657B0C">
      <w:pPr>
        <w:spacing w:after="0" w:line="240" w:lineRule="auto"/>
      </w:pPr>
      <w:r>
        <w:continuationSeparator/>
      </w:r>
    </w:p>
  </w:footnote>
  <w:footnote w:id="1">
    <w:p w:rsidR="00861648" w:rsidRPr="00D3223D" w:rsidRDefault="00861648" w:rsidP="00D3223D">
      <w:pPr>
        <w:pStyle w:val="FootnoteText"/>
      </w:pPr>
      <w:r w:rsidRPr="00D3223D">
        <w:rPr>
          <w:rStyle w:val="FootnoteReference"/>
        </w:rPr>
        <w:footnoteRef/>
      </w:r>
      <w:r w:rsidRPr="00D3223D">
        <w:t xml:space="preserve"> See, for instance, </w:t>
      </w:r>
      <w:proofErr w:type="spellStart"/>
      <w:r w:rsidRPr="00D3223D">
        <w:t>Copleston</w:t>
      </w:r>
      <w:proofErr w:type="spellEnd"/>
      <w:r w:rsidRPr="00D3223D">
        <w:t xml:space="preserve"> 1962. </w:t>
      </w:r>
    </w:p>
  </w:footnote>
  <w:footnote w:id="2">
    <w:p w:rsidR="00861648" w:rsidRPr="00D3223D" w:rsidRDefault="00861648" w:rsidP="00D3223D">
      <w:pPr>
        <w:pStyle w:val="FootnoteText"/>
      </w:pPr>
      <w:r w:rsidRPr="00D3223D">
        <w:rPr>
          <w:rStyle w:val="FootnoteReference"/>
        </w:rPr>
        <w:footnoteRef/>
      </w:r>
      <w:r w:rsidRPr="00D3223D">
        <w:t xml:space="preserve"> For an interesting treatment of this problem in the historiography of the Dominican Hugh of St. Cher, See Smith 2010</w:t>
      </w:r>
    </w:p>
  </w:footnote>
  <w:footnote w:id="3">
    <w:p w:rsidR="00861648" w:rsidRPr="00D3223D" w:rsidRDefault="00861648" w:rsidP="00D3223D">
      <w:pPr>
        <w:pStyle w:val="FootnoteText"/>
      </w:pPr>
      <w:r w:rsidRPr="00D3223D">
        <w:rPr>
          <w:rStyle w:val="FootnoteReference"/>
        </w:rPr>
        <w:footnoteRef/>
      </w:r>
      <w:r w:rsidRPr="00D3223D">
        <w:t xml:space="preserve"> For all the virtues of its entries, </w:t>
      </w:r>
      <w:r w:rsidRPr="00D3223D">
        <w:rPr>
          <w:i/>
        </w:rPr>
        <w:t>The Cambridge History of Later Medieval Philosophy</w:t>
      </w:r>
      <w:r w:rsidRPr="00D3223D">
        <w:t xml:space="preserve"> provides a fairly blatant example of this. In its introduction, it states: </w:t>
      </w:r>
    </w:p>
    <w:p w:rsidR="00861648" w:rsidRPr="00D3223D" w:rsidRDefault="00861648" w:rsidP="00D3223D">
      <w:pPr>
        <w:pStyle w:val="FootnoteText"/>
        <w:ind w:left="900"/>
      </w:pPr>
      <w:r w:rsidRPr="00D3223D">
        <w:t xml:space="preserve">Because the areas of concentration in contemporary philosophical scholarship on medieval thought naturally reflect the emphases in contemporary philosophy, our editorial strategy has led to a concentration on those parts of later medieval philosophy that are most readily recognizable as philosophical to a student of twentieth-century philosophy. </w:t>
      </w:r>
    </w:p>
    <w:p w:rsidR="00861648" w:rsidRPr="00D3223D" w:rsidRDefault="00861648" w:rsidP="00D3223D">
      <w:pPr>
        <w:pStyle w:val="FootnoteText"/>
      </w:pPr>
      <w:proofErr w:type="spellStart"/>
      <w:r w:rsidRPr="00D3223D">
        <w:t>Kretzmann</w:t>
      </w:r>
      <w:proofErr w:type="spellEnd"/>
      <w:r w:rsidRPr="00D3223D">
        <w:t xml:space="preserve"> </w:t>
      </w:r>
      <w:proofErr w:type="gramStart"/>
      <w:r w:rsidRPr="00D3223D">
        <w:t>et</w:t>
      </w:r>
      <w:proofErr w:type="gramEnd"/>
      <w:r w:rsidRPr="00D3223D">
        <w:t>. al., 1982, 3.</w:t>
      </w:r>
    </w:p>
  </w:footnote>
  <w:footnote w:id="4">
    <w:p w:rsidR="00861648" w:rsidRPr="00D3223D" w:rsidRDefault="00861648" w:rsidP="00D3223D">
      <w:pPr>
        <w:pStyle w:val="FootnoteText"/>
      </w:pPr>
      <w:r w:rsidRPr="00D3223D">
        <w:rPr>
          <w:rStyle w:val="FootnoteReference"/>
        </w:rPr>
        <w:footnoteRef/>
      </w:r>
      <w:r w:rsidRPr="00D3223D">
        <w:t xml:space="preserve"> Cf. Henry 1974, 7: </w:t>
      </w:r>
    </w:p>
    <w:p w:rsidR="00861648" w:rsidRPr="00D3223D" w:rsidRDefault="00861648" w:rsidP="00D3223D">
      <w:pPr>
        <w:pStyle w:val="FootnoteText"/>
        <w:ind w:left="900"/>
      </w:pPr>
      <w:r w:rsidRPr="00D3223D">
        <w:t>There are indications in recent works on medieval logic that there still exists a lack of familiarity with what are, after all, the roots of the terminological and conceptual nerve-</w:t>
      </w:r>
      <w:proofErr w:type="spellStart"/>
      <w:r w:rsidRPr="00D3223D">
        <w:t>fibres</w:t>
      </w:r>
      <w:proofErr w:type="spellEnd"/>
      <w:r w:rsidRPr="00D3223D">
        <w:t xml:space="preserve"> which animate medieval logic throughout its existence, and which issue to a large extent from the logical output of Boethius. </w:t>
      </w:r>
    </w:p>
  </w:footnote>
  <w:footnote w:id="5">
    <w:p w:rsidR="00861648" w:rsidRPr="00D3223D" w:rsidRDefault="00861648" w:rsidP="00D3223D">
      <w:pPr>
        <w:pStyle w:val="FootnoteText"/>
      </w:pPr>
      <w:r w:rsidRPr="00D3223D">
        <w:rPr>
          <w:rStyle w:val="FootnoteReference"/>
        </w:rPr>
        <w:footnoteRef/>
      </w:r>
      <w:r w:rsidRPr="00D3223D">
        <w:t xml:space="preserve"> Peter Abelard 1970, 146; quoted in </w:t>
      </w:r>
      <w:proofErr w:type="spellStart"/>
      <w:r w:rsidRPr="00D3223D">
        <w:t>Marenbon</w:t>
      </w:r>
      <w:proofErr w:type="spellEnd"/>
      <w:r w:rsidRPr="00D3223D">
        <w:t xml:space="preserve"> 2008, 65</w:t>
      </w:r>
    </w:p>
  </w:footnote>
  <w:footnote w:id="6">
    <w:p w:rsidR="00861648" w:rsidRPr="00D3223D" w:rsidRDefault="00861648" w:rsidP="00D3223D">
      <w:pPr>
        <w:pStyle w:val="FootnoteText"/>
      </w:pPr>
      <w:r w:rsidRPr="00D3223D">
        <w:rPr>
          <w:rStyle w:val="FootnoteReference"/>
        </w:rPr>
        <w:footnoteRef/>
      </w:r>
      <w:r w:rsidRPr="00D3223D">
        <w:t xml:space="preserve"> E.g. Chartres, Bib. </w:t>
      </w:r>
      <w:proofErr w:type="spellStart"/>
      <w:r w:rsidRPr="00D3223D">
        <w:t>Mun</w:t>
      </w:r>
      <w:proofErr w:type="spellEnd"/>
      <w:r w:rsidRPr="00D3223D">
        <w:t xml:space="preserve">. 100. </w:t>
      </w:r>
    </w:p>
  </w:footnote>
  <w:footnote w:id="7">
    <w:p w:rsidR="00861648" w:rsidRPr="00D3223D" w:rsidRDefault="00861648" w:rsidP="00D3223D">
      <w:pPr>
        <w:pStyle w:val="FootnoteText"/>
      </w:pPr>
      <w:r w:rsidRPr="00D3223D">
        <w:rPr>
          <w:rStyle w:val="FootnoteReference"/>
        </w:rPr>
        <w:footnoteRef/>
      </w:r>
      <w:r w:rsidRPr="00D3223D">
        <w:t xml:space="preserve"> E.g. Paris, Bib. Nat. Lat. 1954; Paris, Bib. Nat. Lat. 2858.</w:t>
      </w:r>
    </w:p>
  </w:footnote>
  <w:footnote w:id="8">
    <w:p w:rsidR="00861648" w:rsidRPr="00D3223D" w:rsidRDefault="00861648" w:rsidP="00D3223D">
      <w:pPr>
        <w:pStyle w:val="FootnoteText"/>
      </w:pPr>
      <w:r w:rsidRPr="00D3223D">
        <w:rPr>
          <w:rStyle w:val="FootnoteReference"/>
        </w:rPr>
        <w:footnoteRef/>
      </w:r>
      <w:r w:rsidRPr="00D3223D">
        <w:t xml:space="preserve"> E.g. Paris, Bib. Nat. Lat. 7545; Rouen, Bib. </w:t>
      </w:r>
      <w:proofErr w:type="spellStart"/>
      <w:r w:rsidRPr="00D3223D">
        <w:t>Mun</w:t>
      </w:r>
      <w:proofErr w:type="spellEnd"/>
      <w:r w:rsidRPr="00D3223D">
        <w:t>. 932.</w:t>
      </w:r>
    </w:p>
  </w:footnote>
  <w:footnote w:id="9">
    <w:p w:rsidR="00861648" w:rsidRPr="00D3223D" w:rsidRDefault="00861648" w:rsidP="00D3223D">
      <w:pPr>
        <w:pStyle w:val="FootnoteText"/>
      </w:pPr>
      <w:r w:rsidRPr="00D3223D">
        <w:rPr>
          <w:rStyle w:val="FootnoteReference"/>
        </w:rPr>
        <w:footnoteRef/>
      </w:r>
      <w:r w:rsidRPr="00D3223D">
        <w:t xml:space="preserve"> See Chartres, Bib. </w:t>
      </w:r>
      <w:proofErr w:type="spellStart"/>
      <w:r w:rsidRPr="00D3223D">
        <w:t>Mun</w:t>
      </w:r>
      <w:proofErr w:type="spellEnd"/>
      <w:r w:rsidRPr="00D3223D">
        <w:t xml:space="preserve">. 71, 72, 100, 497, and 498. </w:t>
      </w:r>
    </w:p>
  </w:footnote>
  <w:footnote w:id="10">
    <w:p w:rsidR="00861648" w:rsidRPr="00D3223D" w:rsidRDefault="00861648" w:rsidP="00D3223D">
      <w:pPr>
        <w:pStyle w:val="FootnoteText"/>
      </w:pPr>
      <w:r w:rsidRPr="00D3223D">
        <w:rPr>
          <w:rStyle w:val="FootnoteReference"/>
        </w:rPr>
        <w:footnoteRef/>
      </w:r>
      <w:r w:rsidRPr="00D3223D">
        <w:t xml:space="preserve"> Chartres, Bib. </w:t>
      </w:r>
      <w:proofErr w:type="spellStart"/>
      <w:r w:rsidRPr="00D3223D">
        <w:t>Mun</w:t>
      </w:r>
      <w:proofErr w:type="spellEnd"/>
      <w:r w:rsidRPr="00D3223D">
        <w:t>. 100.</w:t>
      </w:r>
    </w:p>
  </w:footnote>
  <w:footnote w:id="11">
    <w:p w:rsidR="00861648" w:rsidRPr="00D3223D" w:rsidRDefault="00861648" w:rsidP="00D3223D">
      <w:pPr>
        <w:pStyle w:val="FootnoteText"/>
      </w:pPr>
      <w:r w:rsidRPr="00D3223D">
        <w:rPr>
          <w:rStyle w:val="FootnoteReference"/>
        </w:rPr>
        <w:footnoteRef/>
      </w:r>
      <w:r w:rsidRPr="00D3223D">
        <w:t xml:space="preserve"> See Orleans, Bib. </w:t>
      </w:r>
      <w:proofErr w:type="spellStart"/>
      <w:r w:rsidRPr="00D3223D">
        <w:t>Mun</w:t>
      </w:r>
      <w:proofErr w:type="spellEnd"/>
      <w:r w:rsidRPr="00D3223D">
        <w:t xml:space="preserve">. 80, 265, 269, 277; Paris, Bib. Nat. Lat. 2788, 6400B, and 7193. </w:t>
      </w:r>
    </w:p>
  </w:footnote>
  <w:footnote w:id="12">
    <w:p w:rsidR="00861648" w:rsidRPr="00D3223D" w:rsidRDefault="00861648" w:rsidP="00D3223D">
      <w:pPr>
        <w:pStyle w:val="FootnoteText"/>
      </w:pPr>
      <w:r w:rsidRPr="00D3223D">
        <w:rPr>
          <w:rStyle w:val="FootnoteReference"/>
        </w:rPr>
        <w:footnoteRef/>
      </w:r>
      <w:r w:rsidRPr="00D3223D">
        <w:t xml:space="preserve"> See, for instance, the treatment of the </w:t>
      </w:r>
      <w:r w:rsidRPr="00D3223D">
        <w:rPr>
          <w:i/>
        </w:rPr>
        <w:t xml:space="preserve">De </w:t>
      </w:r>
      <w:proofErr w:type="spellStart"/>
      <w:r w:rsidRPr="00D3223D">
        <w:rPr>
          <w:i/>
        </w:rPr>
        <w:t>differentiis</w:t>
      </w:r>
      <w:proofErr w:type="spellEnd"/>
      <w:r w:rsidRPr="00D3223D">
        <w:rPr>
          <w:i/>
        </w:rPr>
        <w:t xml:space="preserve"> </w:t>
      </w:r>
      <w:proofErr w:type="spellStart"/>
      <w:r w:rsidRPr="00D3223D">
        <w:rPr>
          <w:i/>
        </w:rPr>
        <w:t>topicis</w:t>
      </w:r>
      <w:proofErr w:type="spellEnd"/>
      <w:r w:rsidRPr="00D3223D">
        <w:t xml:space="preserve"> in Orleans, Bib. </w:t>
      </w:r>
      <w:proofErr w:type="spellStart"/>
      <w:r w:rsidRPr="00D3223D">
        <w:t>Mun</w:t>
      </w:r>
      <w:proofErr w:type="spellEnd"/>
      <w:r w:rsidRPr="00D3223D">
        <w:t xml:space="preserve">. 265.  </w:t>
      </w:r>
    </w:p>
  </w:footnote>
  <w:footnote w:id="13">
    <w:p w:rsidR="00861648" w:rsidRPr="00D3223D" w:rsidRDefault="00861648" w:rsidP="00D3223D">
      <w:pPr>
        <w:pStyle w:val="FootnoteText"/>
      </w:pPr>
      <w:r w:rsidRPr="00D3223D">
        <w:rPr>
          <w:rStyle w:val="FootnoteReference"/>
        </w:rPr>
        <w:footnoteRef/>
      </w:r>
      <w:r w:rsidRPr="00D3223D">
        <w:t xml:space="preserve"> Orleans, Bib. </w:t>
      </w:r>
      <w:proofErr w:type="spellStart"/>
      <w:r w:rsidRPr="00D3223D">
        <w:t>Mun</w:t>
      </w:r>
      <w:proofErr w:type="spellEnd"/>
      <w:r w:rsidRPr="00D3223D">
        <w:t>. 265 (S. 12</w:t>
      </w:r>
      <w:r w:rsidRPr="00D3223D">
        <w:rPr>
          <w:vertAlign w:val="superscript"/>
        </w:rPr>
        <w:t>ex</w:t>
      </w:r>
      <w:r w:rsidRPr="00D3223D">
        <w:t>-13</w:t>
      </w:r>
      <w:r w:rsidRPr="00D3223D">
        <w:rPr>
          <w:vertAlign w:val="superscript"/>
        </w:rPr>
        <w:t>in</w:t>
      </w:r>
      <w:r w:rsidRPr="00D3223D">
        <w:t>); Paris, Bib. Nat. Lat. 18423 (S. 13); Paris, Bib. Nat. Lat. 6291 (S. 13</w:t>
      </w:r>
      <w:r w:rsidRPr="00D3223D">
        <w:rPr>
          <w:vertAlign w:val="superscript"/>
        </w:rPr>
        <w:t>ex</w:t>
      </w:r>
      <w:r w:rsidRPr="00D3223D">
        <w:t xml:space="preserve">). The first splits Boethius’ </w:t>
      </w:r>
      <w:r w:rsidR="005C6C02" w:rsidRPr="00D3223D">
        <w:rPr>
          <w:i/>
        </w:rPr>
        <w:t>T</w:t>
      </w:r>
      <w:r w:rsidRPr="00D3223D">
        <w:rPr>
          <w:i/>
        </w:rPr>
        <w:t>opics</w:t>
      </w:r>
      <w:r w:rsidRPr="00D3223D">
        <w:t xml:space="preserve"> in two parts, with th</w:t>
      </w:r>
      <w:r w:rsidR="005C6C02" w:rsidRPr="00D3223D">
        <w:t>e</w:t>
      </w:r>
      <w:r w:rsidRPr="00D3223D">
        <w:t xml:space="preserve"> later coming first, followed by the </w:t>
      </w:r>
      <w:r w:rsidRPr="00D3223D">
        <w:rPr>
          <w:i/>
        </w:rPr>
        <w:t xml:space="preserve">de </w:t>
      </w:r>
      <w:proofErr w:type="spellStart"/>
      <w:r w:rsidRPr="00D3223D">
        <w:rPr>
          <w:i/>
        </w:rPr>
        <w:t>syllogismis</w:t>
      </w:r>
      <w:proofErr w:type="spellEnd"/>
      <w:r w:rsidRPr="00D3223D">
        <w:rPr>
          <w:i/>
        </w:rPr>
        <w:t xml:space="preserve"> </w:t>
      </w:r>
      <w:proofErr w:type="spellStart"/>
      <w:r w:rsidRPr="00D3223D">
        <w:rPr>
          <w:i/>
        </w:rPr>
        <w:t>categoricis</w:t>
      </w:r>
      <w:proofErr w:type="spellEnd"/>
      <w:r w:rsidRPr="00D3223D">
        <w:rPr>
          <w:i/>
        </w:rPr>
        <w:t xml:space="preserve">, </w:t>
      </w:r>
      <w:r w:rsidRPr="00D3223D">
        <w:t xml:space="preserve">then the </w:t>
      </w:r>
      <w:r w:rsidR="005C6C02" w:rsidRPr="00D3223D">
        <w:t xml:space="preserve">earlier part </w:t>
      </w:r>
      <w:r w:rsidRPr="00D3223D">
        <w:t xml:space="preserve">of Boethius’ </w:t>
      </w:r>
      <w:r w:rsidRPr="00D3223D">
        <w:rPr>
          <w:i/>
        </w:rPr>
        <w:t xml:space="preserve">Topics, </w:t>
      </w:r>
      <w:r w:rsidRPr="00D3223D">
        <w:t xml:space="preserve">followed by fragments from the </w:t>
      </w:r>
      <w:r w:rsidRPr="00D3223D">
        <w:rPr>
          <w:i/>
        </w:rPr>
        <w:t xml:space="preserve">de </w:t>
      </w:r>
      <w:proofErr w:type="spellStart"/>
      <w:r w:rsidRPr="00D3223D">
        <w:rPr>
          <w:i/>
        </w:rPr>
        <w:t>syllogismis</w:t>
      </w:r>
      <w:proofErr w:type="spellEnd"/>
      <w:r w:rsidRPr="00D3223D">
        <w:rPr>
          <w:i/>
        </w:rPr>
        <w:t xml:space="preserve"> </w:t>
      </w:r>
      <w:proofErr w:type="spellStart"/>
      <w:r w:rsidRPr="00D3223D">
        <w:rPr>
          <w:i/>
        </w:rPr>
        <w:t>hypotheticis</w:t>
      </w:r>
      <w:proofErr w:type="spellEnd"/>
      <w:r w:rsidRPr="00D3223D">
        <w:t xml:space="preserve">. The second follows Boethius’ topics with the </w:t>
      </w:r>
      <w:r w:rsidRPr="00D3223D">
        <w:rPr>
          <w:i/>
        </w:rPr>
        <w:t xml:space="preserve">de </w:t>
      </w:r>
      <w:proofErr w:type="spellStart"/>
      <w:r w:rsidRPr="00D3223D">
        <w:rPr>
          <w:i/>
        </w:rPr>
        <w:t>divisione</w:t>
      </w:r>
      <w:proofErr w:type="spellEnd"/>
      <w:r w:rsidRPr="00D3223D">
        <w:t>, which concludes the codex. The third follows the</w:t>
      </w:r>
      <w:r w:rsidRPr="00D3223D">
        <w:rPr>
          <w:i/>
        </w:rPr>
        <w:t xml:space="preserve"> De </w:t>
      </w:r>
      <w:proofErr w:type="spellStart"/>
      <w:r w:rsidRPr="00D3223D">
        <w:rPr>
          <w:i/>
        </w:rPr>
        <w:t>Topicis</w:t>
      </w:r>
      <w:proofErr w:type="spellEnd"/>
      <w:r w:rsidRPr="00D3223D">
        <w:t xml:space="preserve"> with the </w:t>
      </w:r>
      <w:r w:rsidRPr="00D3223D">
        <w:rPr>
          <w:i/>
        </w:rPr>
        <w:t xml:space="preserve">Liber Sex </w:t>
      </w:r>
      <w:proofErr w:type="spellStart"/>
      <w:r w:rsidRPr="00D3223D">
        <w:rPr>
          <w:i/>
        </w:rPr>
        <w:t>Principiorum</w:t>
      </w:r>
      <w:proofErr w:type="spellEnd"/>
      <w:r w:rsidRPr="00D3223D">
        <w:t xml:space="preserve">, the </w:t>
      </w:r>
      <w:r w:rsidRPr="00D3223D">
        <w:rPr>
          <w:i/>
        </w:rPr>
        <w:t xml:space="preserve">de </w:t>
      </w:r>
      <w:proofErr w:type="spellStart"/>
      <w:r w:rsidRPr="00D3223D">
        <w:rPr>
          <w:i/>
        </w:rPr>
        <w:t>divisione</w:t>
      </w:r>
      <w:proofErr w:type="spellEnd"/>
      <w:r w:rsidRPr="00D3223D">
        <w:t xml:space="preserve">, both </w:t>
      </w:r>
      <w:r w:rsidRPr="00D3223D">
        <w:rPr>
          <w:i/>
        </w:rPr>
        <w:t>Analytics</w:t>
      </w:r>
      <w:r w:rsidRPr="00D3223D">
        <w:t xml:space="preserve">, and then the </w:t>
      </w:r>
      <w:r w:rsidRPr="00D3223D">
        <w:rPr>
          <w:i/>
        </w:rPr>
        <w:t xml:space="preserve">Topics </w:t>
      </w:r>
      <w:r w:rsidRPr="00D3223D">
        <w:t xml:space="preserve">and </w:t>
      </w:r>
      <w:r w:rsidRPr="00D3223D">
        <w:rPr>
          <w:i/>
        </w:rPr>
        <w:t>On Sophistical Refutations</w:t>
      </w:r>
      <w:r w:rsidRPr="00D3223D">
        <w:t xml:space="preserve">.  </w:t>
      </w:r>
    </w:p>
  </w:footnote>
  <w:footnote w:id="14">
    <w:p w:rsidR="00861648" w:rsidRPr="00D3223D" w:rsidRDefault="00861648" w:rsidP="00D3223D">
      <w:pPr>
        <w:pStyle w:val="FootnoteText"/>
      </w:pPr>
      <w:r w:rsidRPr="00D3223D">
        <w:rPr>
          <w:rStyle w:val="FootnoteReference"/>
        </w:rPr>
        <w:footnoteRef/>
      </w:r>
      <w:r w:rsidRPr="00D3223D">
        <w:t xml:space="preserve"> Paris, Bib. Nat. Lat. 16597 (S. 13-14); Rheims, Bib. </w:t>
      </w:r>
      <w:proofErr w:type="spellStart"/>
      <w:r w:rsidRPr="00D3223D">
        <w:t>Mun</w:t>
      </w:r>
      <w:proofErr w:type="spellEnd"/>
      <w:r w:rsidRPr="00D3223D">
        <w:t>. 870 (S. 13</w:t>
      </w:r>
      <w:r w:rsidRPr="00D3223D">
        <w:rPr>
          <w:vertAlign w:val="superscript"/>
        </w:rPr>
        <w:t>ex</w:t>
      </w:r>
      <w:r w:rsidRPr="00D3223D">
        <w:t xml:space="preserve">). The former is followed by the </w:t>
      </w:r>
      <w:r w:rsidRPr="00D3223D">
        <w:rPr>
          <w:i/>
        </w:rPr>
        <w:t>Topics</w:t>
      </w:r>
      <w:r w:rsidRPr="00D3223D">
        <w:t xml:space="preserve">, </w:t>
      </w:r>
      <w:r w:rsidRPr="00D3223D">
        <w:rPr>
          <w:i/>
        </w:rPr>
        <w:t>On Sophistical Refutations</w:t>
      </w:r>
      <w:r w:rsidRPr="00D3223D">
        <w:t xml:space="preserve">, </w:t>
      </w:r>
      <w:r w:rsidRPr="00D3223D">
        <w:rPr>
          <w:i/>
        </w:rPr>
        <w:t xml:space="preserve">Prior </w:t>
      </w:r>
      <w:r w:rsidRPr="00D3223D">
        <w:t xml:space="preserve">and </w:t>
      </w:r>
      <w:r w:rsidRPr="00D3223D">
        <w:rPr>
          <w:i/>
        </w:rPr>
        <w:t xml:space="preserve">Posterior </w:t>
      </w:r>
      <w:r w:rsidRPr="00D3223D">
        <w:t xml:space="preserve">analytics; the latter, </w:t>
      </w:r>
      <w:r w:rsidR="005C6C02" w:rsidRPr="00D3223D">
        <w:t>written in 1279</w:t>
      </w:r>
      <w:r w:rsidRPr="00D3223D">
        <w:t xml:space="preserve">, ends with the </w:t>
      </w:r>
      <w:r w:rsidRPr="00D3223D">
        <w:rPr>
          <w:i/>
        </w:rPr>
        <w:t xml:space="preserve">De </w:t>
      </w:r>
      <w:proofErr w:type="spellStart"/>
      <w:r w:rsidRPr="00D3223D">
        <w:rPr>
          <w:i/>
        </w:rPr>
        <w:t>Topicis</w:t>
      </w:r>
      <w:proofErr w:type="spellEnd"/>
      <w:r w:rsidRPr="00D3223D">
        <w:rPr>
          <w:i/>
        </w:rPr>
        <w:t xml:space="preserve"> </w:t>
      </w:r>
      <w:proofErr w:type="spellStart"/>
      <w:r w:rsidRPr="00D3223D">
        <w:rPr>
          <w:i/>
        </w:rPr>
        <w:t>differentiis</w:t>
      </w:r>
      <w:proofErr w:type="spellEnd"/>
      <w:r w:rsidRPr="00D3223D">
        <w:t xml:space="preserve">. </w:t>
      </w:r>
    </w:p>
  </w:footnote>
  <w:footnote w:id="15">
    <w:p w:rsidR="00861648" w:rsidRPr="00D3223D" w:rsidRDefault="00861648" w:rsidP="00D3223D">
      <w:pPr>
        <w:pStyle w:val="FootnoteText"/>
      </w:pPr>
      <w:r w:rsidRPr="00D3223D">
        <w:rPr>
          <w:rStyle w:val="FootnoteReference"/>
        </w:rPr>
        <w:footnoteRef/>
      </w:r>
      <w:r w:rsidRPr="00D3223D">
        <w:t xml:space="preserve"> Lyon, Bib. </w:t>
      </w:r>
      <w:proofErr w:type="spellStart"/>
      <w:r w:rsidRPr="00D3223D">
        <w:t>Mun</w:t>
      </w:r>
      <w:proofErr w:type="spellEnd"/>
      <w:r w:rsidRPr="00D3223D">
        <w:t xml:space="preserve">. 244 (176) (S. 13); Grenoble, Bib. </w:t>
      </w:r>
      <w:proofErr w:type="spellStart"/>
      <w:r w:rsidRPr="00D3223D">
        <w:t>Mun</w:t>
      </w:r>
      <w:proofErr w:type="spellEnd"/>
      <w:r w:rsidRPr="00D3223D">
        <w:t>. 707 (S. 14). The former, written in a French hand</w:t>
      </w:r>
      <w:r w:rsidR="005C6C02" w:rsidRPr="00D3223D">
        <w:t>,</w:t>
      </w:r>
      <w:r w:rsidRPr="00D3223D">
        <w:t xml:space="preserve"> follows the </w:t>
      </w:r>
      <w:r w:rsidRPr="00D3223D">
        <w:rPr>
          <w:i/>
        </w:rPr>
        <w:t>Prior Analytics</w:t>
      </w:r>
      <w:r w:rsidRPr="00D3223D">
        <w:t xml:space="preserve"> with the </w:t>
      </w:r>
      <w:r w:rsidRPr="00D3223D">
        <w:rPr>
          <w:i/>
        </w:rPr>
        <w:t>Posterior</w:t>
      </w:r>
      <w:r w:rsidRPr="00D3223D">
        <w:t xml:space="preserve">, </w:t>
      </w:r>
      <w:r w:rsidR="005C6C02" w:rsidRPr="00D3223D">
        <w:t xml:space="preserve">then </w:t>
      </w:r>
      <w:r w:rsidRPr="00D3223D">
        <w:t xml:space="preserve">the </w:t>
      </w:r>
      <w:r w:rsidRPr="00D3223D">
        <w:rPr>
          <w:i/>
        </w:rPr>
        <w:t xml:space="preserve">Topics </w:t>
      </w:r>
      <w:r w:rsidRPr="00D3223D">
        <w:t xml:space="preserve">and </w:t>
      </w:r>
      <w:r w:rsidRPr="00D3223D">
        <w:rPr>
          <w:i/>
        </w:rPr>
        <w:t>On Sophistical Refutations</w:t>
      </w:r>
      <w:r w:rsidRPr="00D3223D">
        <w:t>. The lat</w:t>
      </w:r>
      <w:r w:rsidR="005C6C02" w:rsidRPr="00D3223D">
        <w:t>t</w:t>
      </w:r>
      <w:r w:rsidRPr="00D3223D">
        <w:t xml:space="preserve">er, written in an English hand, follows the </w:t>
      </w:r>
      <w:r w:rsidRPr="00D3223D">
        <w:rPr>
          <w:i/>
        </w:rPr>
        <w:t xml:space="preserve">Prior Analytics </w:t>
      </w:r>
      <w:r w:rsidRPr="00D3223D">
        <w:t xml:space="preserve">with the </w:t>
      </w:r>
      <w:r w:rsidRPr="00D3223D">
        <w:rPr>
          <w:i/>
        </w:rPr>
        <w:t>Topics</w:t>
      </w:r>
      <w:r w:rsidRPr="00D3223D">
        <w:t xml:space="preserve"> and </w:t>
      </w:r>
      <w:r w:rsidRPr="00D3223D">
        <w:rPr>
          <w:i/>
        </w:rPr>
        <w:t>On Sophistical Refutations</w:t>
      </w:r>
      <w:r w:rsidRPr="00D3223D">
        <w:t xml:space="preserve"> before concluding with the </w:t>
      </w:r>
      <w:r w:rsidRPr="00D3223D">
        <w:rPr>
          <w:i/>
        </w:rPr>
        <w:t>Posterior Analytics</w:t>
      </w:r>
      <w:r w:rsidRPr="00D3223D">
        <w:t xml:space="preserve">. </w:t>
      </w:r>
    </w:p>
  </w:footnote>
  <w:footnote w:id="16">
    <w:p w:rsidR="00861648" w:rsidRPr="00D3223D" w:rsidRDefault="00861648" w:rsidP="00D3223D">
      <w:pPr>
        <w:pStyle w:val="FootnoteText"/>
      </w:pPr>
      <w:r w:rsidRPr="00D3223D">
        <w:rPr>
          <w:rStyle w:val="FootnoteReference"/>
        </w:rPr>
        <w:footnoteRef/>
      </w:r>
      <w:r w:rsidRPr="00D3223D">
        <w:t xml:space="preserve"> Arras, Bib. </w:t>
      </w:r>
      <w:proofErr w:type="spellStart"/>
      <w:r w:rsidRPr="00D3223D">
        <w:t>Mun</w:t>
      </w:r>
      <w:proofErr w:type="spellEnd"/>
      <w:r w:rsidRPr="00D3223D">
        <w:t xml:space="preserve">. 224 (S. 13-14); </w:t>
      </w:r>
      <w:proofErr w:type="spellStart"/>
      <w:r w:rsidRPr="00D3223D">
        <w:t>Avranches</w:t>
      </w:r>
      <w:proofErr w:type="spellEnd"/>
      <w:r w:rsidRPr="00D3223D">
        <w:t xml:space="preserve">, Bib. </w:t>
      </w:r>
      <w:proofErr w:type="spellStart"/>
      <w:r w:rsidRPr="00D3223D">
        <w:t>Mun</w:t>
      </w:r>
      <w:proofErr w:type="spellEnd"/>
      <w:r w:rsidRPr="00D3223D">
        <w:t>. 227 (S. 13</w:t>
      </w:r>
      <w:r w:rsidRPr="00D3223D">
        <w:rPr>
          <w:vertAlign w:val="superscript"/>
        </w:rPr>
        <w:t>ex</w:t>
      </w:r>
      <w:r w:rsidRPr="00D3223D">
        <w:t xml:space="preserve"> and 14). The latter has a folium of excerpts from Albert of Saxony’s </w:t>
      </w:r>
      <w:r w:rsidRPr="00D3223D">
        <w:rPr>
          <w:i/>
        </w:rPr>
        <w:t>questions on the</w:t>
      </w:r>
      <w:r w:rsidRPr="00D3223D">
        <w:t xml:space="preserve"> </w:t>
      </w:r>
      <w:r w:rsidRPr="00D3223D">
        <w:rPr>
          <w:i/>
        </w:rPr>
        <w:t>Posterior Analytics</w:t>
      </w:r>
      <w:r w:rsidRPr="00D3223D">
        <w:t xml:space="preserve"> between the </w:t>
      </w:r>
      <w:r w:rsidRPr="00D3223D">
        <w:rPr>
          <w:i/>
        </w:rPr>
        <w:t xml:space="preserve">Prior </w:t>
      </w:r>
      <w:r w:rsidRPr="00D3223D">
        <w:t xml:space="preserve">and </w:t>
      </w:r>
      <w:r w:rsidRPr="00D3223D">
        <w:rPr>
          <w:i/>
        </w:rPr>
        <w:t>Posterior Analytics</w:t>
      </w:r>
      <w:r w:rsidRPr="00D3223D">
        <w:t xml:space="preserve">.  </w:t>
      </w:r>
    </w:p>
  </w:footnote>
  <w:footnote w:id="17">
    <w:p w:rsidR="0035270B" w:rsidRPr="00D3223D" w:rsidRDefault="0035270B" w:rsidP="0035270B">
      <w:pPr>
        <w:pStyle w:val="FootnoteText"/>
      </w:pPr>
      <w:r w:rsidRPr="00D3223D">
        <w:rPr>
          <w:rStyle w:val="FootnoteReference"/>
        </w:rPr>
        <w:footnoteRef/>
      </w:r>
      <w:r w:rsidRPr="00D3223D">
        <w:t xml:space="preserve"> Paris, Bib. </w:t>
      </w:r>
      <w:proofErr w:type="spellStart"/>
      <w:r w:rsidRPr="00D3223D">
        <w:t>Maz</w:t>
      </w:r>
      <w:proofErr w:type="spellEnd"/>
      <w:r w:rsidRPr="00D3223D">
        <w:t xml:space="preserve">. 3470 (S. 13), Bib. </w:t>
      </w:r>
      <w:proofErr w:type="spellStart"/>
      <w:r w:rsidRPr="00D3223D">
        <w:t>Ars</w:t>
      </w:r>
      <w:proofErr w:type="spellEnd"/>
      <w:r w:rsidRPr="00D3223D">
        <w:t>. 727 (S. 13</w:t>
      </w:r>
      <w:r w:rsidRPr="00D3223D">
        <w:rPr>
          <w:vertAlign w:val="superscript"/>
        </w:rPr>
        <w:t>ex</w:t>
      </w:r>
      <w:r w:rsidRPr="00D3223D">
        <w:t xml:space="preserve">), Bib. 6289 (S. 13-14); Toulouse, Bib. </w:t>
      </w:r>
      <w:proofErr w:type="spellStart"/>
      <w:r w:rsidRPr="00D3223D">
        <w:t>Mun</w:t>
      </w:r>
      <w:proofErr w:type="spellEnd"/>
      <w:r w:rsidRPr="00D3223D">
        <w:t>. 735 (S. 13</w:t>
      </w:r>
      <w:r w:rsidRPr="00D3223D">
        <w:rPr>
          <w:vertAlign w:val="superscript"/>
        </w:rPr>
        <w:t>ex</w:t>
      </w:r>
      <w:r w:rsidRPr="00D3223D">
        <w:t xml:space="preserve">); Tours, Bib. </w:t>
      </w:r>
      <w:proofErr w:type="spellStart"/>
      <w:r w:rsidRPr="00D3223D">
        <w:t>Mun</w:t>
      </w:r>
      <w:proofErr w:type="spellEnd"/>
      <w:r w:rsidRPr="00D3223D">
        <w:t>. 677 (S. 14</w:t>
      </w:r>
      <w:r w:rsidRPr="00D3223D">
        <w:rPr>
          <w:vertAlign w:val="superscript"/>
        </w:rPr>
        <w:t>in</w:t>
      </w:r>
      <w:r w:rsidRPr="00D3223D">
        <w:t xml:space="preserve">). Bib. </w:t>
      </w:r>
      <w:proofErr w:type="spellStart"/>
      <w:r w:rsidRPr="00D3223D">
        <w:t>Maz</w:t>
      </w:r>
      <w:proofErr w:type="spellEnd"/>
      <w:r w:rsidRPr="00D3223D">
        <w:t xml:space="preserve">. 3470 </w:t>
      </w:r>
      <w:proofErr w:type="gramStart"/>
      <w:r w:rsidRPr="00D3223D">
        <w:t>adds</w:t>
      </w:r>
      <w:proofErr w:type="gramEnd"/>
      <w:r w:rsidRPr="00D3223D">
        <w:t xml:space="preserve"> parts of the </w:t>
      </w:r>
      <w:r w:rsidRPr="00D3223D">
        <w:rPr>
          <w:i/>
        </w:rPr>
        <w:t>Ethics</w:t>
      </w:r>
      <w:r w:rsidRPr="00D3223D">
        <w:t xml:space="preserve"> to the end of the codex, while Charleville, Bib. </w:t>
      </w:r>
      <w:proofErr w:type="spellStart"/>
      <w:r w:rsidRPr="00D3223D">
        <w:t>Mun</w:t>
      </w:r>
      <w:proofErr w:type="spellEnd"/>
      <w:r w:rsidRPr="00D3223D">
        <w:t xml:space="preserve">. 39 (S. 13) inserts the same between the </w:t>
      </w:r>
      <w:r w:rsidRPr="00D3223D">
        <w:rPr>
          <w:i/>
        </w:rPr>
        <w:t xml:space="preserve">Topics </w:t>
      </w:r>
      <w:r w:rsidRPr="00D3223D">
        <w:t xml:space="preserve">and the </w:t>
      </w:r>
      <w:r w:rsidRPr="00D3223D">
        <w:rPr>
          <w:i/>
        </w:rPr>
        <w:t>Analytics</w:t>
      </w:r>
      <w:r w:rsidRPr="00D3223D">
        <w:t xml:space="preserve">. For the remaining codices, the list of texts given on the branch is exhaustive. </w:t>
      </w:r>
    </w:p>
  </w:footnote>
  <w:footnote w:id="18">
    <w:p w:rsidR="0035270B" w:rsidRPr="00D3223D" w:rsidRDefault="0035270B" w:rsidP="0035270B">
      <w:pPr>
        <w:pStyle w:val="FootnoteText"/>
      </w:pPr>
      <w:r w:rsidRPr="00D3223D">
        <w:rPr>
          <w:rStyle w:val="FootnoteReference"/>
        </w:rPr>
        <w:footnoteRef/>
      </w:r>
      <w:r w:rsidRPr="00D3223D">
        <w:t xml:space="preserve"> </w:t>
      </w:r>
      <w:proofErr w:type="spellStart"/>
      <w:r w:rsidRPr="00D3223D">
        <w:t>Laon</w:t>
      </w:r>
      <w:proofErr w:type="spellEnd"/>
      <w:r w:rsidRPr="00D3223D">
        <w:t xml:space="preserve">, Bib. </w:t>
      </w:r>
      <w:proofErr w:type="spellStart"/>
      <w:r w:rsidRPr="00D3223D">
        <w:t>Mun</w:t>
      </w:r>
      <w:proofErr w:type="spellEnd"/>
      <w:r w:rsidRPr="00D3223D">
        <w:t>. 433 (S. 13); Paris, Bib. Nat. Lat. 16596 (S. 13), 16595 (S. 13</w:t>
      </w:r>
      <w:r w:rsidRPr="00D3223D">
        <w:rPr>
          <w:vertAlign w:val="superscript"/>
        </w:rPr>
        <w:t>ex</w:t>
      </w:r>
      <w:r w:rsidRPr="00D3223D">
        <w:t>) and 6291A (13</w:t>
      </w:r>
      <w:r w:rsidRPr="00D3223D">
        <w:rPr>
          <w:vertAlign w:val="superscript"/>
        </w:rPr>
        <w:t>ex</w:t>
      </w:r>
      <w:r w:rsidRPr="00D3223D">
        <w:t xml:space="preserve">); Charleville, Bib. </w:t>
      </w:r>
      <w:proofErr w:type="spellStart"/>
      <w:r w:rsidRPr="00D3223D">
        <w:t>Mun</w:t>
      </w:r>
      <w:proofErr w:type="spellEnd"/>
      <w:r w:rsidRPr="00D3223D">
        <w:t xml:space="preserve">. 250. The </w:t>
      </w:r>
      <w:proofErr w:type="spellStart"/>
      <w:r w:rsidRPr="00D3223D">
        <w:t>Laon</w:t>
      </w:r>
      <w:proofErr w:type="spellEnd"/>
      <w:r w:rsidRPr="00D3223D">
        <w:t xml:space="preserve"> manuscript originates from </w:t>
      </w:r>
      <w:proofErr w:type="spellStart"/>
      <w:r w:rsidRPr="00D3223D">
        <w:t>Laon</w:t>
      </w:r>
      <w:proofErr w:type="spellEnd"/>
      <w:r w:rsidRPr="00D3223D">
        <w:t xml:space="preserve">. This is also the only manuscript to add content after the </w:t>
      </w:r>
      <w:proofErr w:type="spellStart"/>
      <w:r w:rsidRPr="00D3223D">
        <w:rPr>
          <w:i/>
        </w:rPr>
        <w:t>Sophistici</w:t>
      </w:r>
      <w:proofErr w:type="spellEnd"/>
      <w:r w:rsidRPr="00D3223D">
        <w:rPr>
          <w:i/>
        </w:rPr>
        <w:t xml:space="preserve"> </w:t>
      </w:r>
      <w:proofErr w:type="spellStart"/>
      <w:r w:rsidRPr="00D3223D">
        <w:rPr>
          <w:i/>
        </w:rPr>
        <w:t>Elenchi</w:t>
      </w:r>
      <w:proofErr w:type="spellEnd"/>
      <w:r w:rsidRPr="00D3223D">
        <w:t xml:space="preserve">: it has parts of the </w:t>
      </w:r>
      <w:r w:rsidRPr="00D3223D">
        <w:rPr>
          <w:i/>
        </w:rPr>
        <w:t>Nicomachean Ethics</w:t>
      </w:r>
      <w:r w:rsidRPr="00D3223D">
        <w:t xml:space="preserve"> following it. Tours, Bib. </w:t>
      </w:r>
      <w:proofErr w:type="spellStart"/>
      <w:r w:rsidRPr="00D3223D">
        <w:t>Mun</w:t>
      </w:r>
      <w:proofErr w:type="spellEnd"/>
      <w:r w:rsidRPr="00D3223D">
        <w:t xml:space="preserve">. 678 (S. 14) follows the same pattern as the others listed, but excludes the </w:t>
      </w:r>
      <w:r w:rsidRPr="00D3223D">
        <w:rPr>
          <w:i/>
        </w:rPr>
        <w:t>Topics</w:t>
      </w:r>
      <w:r w:rsidRPr="00D3223D">
        <w:t xml:space="preserve">. </w:t>
      </w:r>
    </w:p>
  </w:footnote>
  <w:footnote w:id="19">
    <w:p w:rsidR="0035270B" w:rsidRPr="00D3223D" w:rsidRDefault="0035270B" w:rsidP="0035270B">
      <w:pPr>
        <w:pStyle w:val="FootnoteText"/>
      </w:pPr>
      <w:r w:rsidRPr="00D3223D">
        <w:rPr>
          <w:rStyle w:val="FootnoteReference"/>
        </w:rPr>
        <w:footnoteRef/>
      </w:r>
      <w:r w:rsidRPr="00D3223D">
        <w:t xml:space="preserve"> Paris, Bib. Nat. Lat. 10202 (S. 13), 12956 (S. 13</w:t>
      </w:r>
      <w:r w:rsidRPr="00D3223D">
        <w:rPr>
          <w:vertAlign w:val="superscript"/>
        </w:rPr>
        <w:t>ex</w:t>
      </w:r>
      <w:r w:rsidRPr="00D3223D">
        <w:t>), 14697 (S. 13</w:t>
      </w:r>
      <w:r w:rsidRPr="00D3223D">
        <w:rPr>
          <w:vertAlign w:val="superscript"/>
        </w:rPr>
        <w:t>ex</w:t>
      </w:r>
      <w:r w:rsidRPr="00D3223D">
        <w:t>), 16092 (S. 13</w:t>
      </w:r>
      <w:r w:rsidRPr="00D3223D">
        <w:rPr>
          <w:vertAlign w:val="superscript"/>
        </w:rPr>
        <w:t>ex</w:t>
      </w:r>
      <w:r w:rsidRPr="00D3223D">
        <w:t xml:space="preserve">), and Bib. </w:t>
      </w:r>
      <w:proofErr w:type="spellStart"/>
      <w:r w:rsidRPr="00D3223D">
        <w:t>Ars</w:t>
      </w:r>
      <w:proofErr w:type="spellEnd"/>
      <w:r w:rsidRPr="00D3223D">
        <w:t>. 728 (S. 14</w:t>
      </w:r>
      <w:r w:rsidRPr="00D3223D">
        <w:rPr>
          <w:vertAlign w:val="superscript"/>
        </w:rPr>
        <w:t>in</w:t>
      </w:r>
      <w:r w:rsidRPr="00D3223D">
        <w:t xml:space="preserve">). All but the second, which is written in an English hand, are written in a Gallican hand. All but the third, which includes the </w:t>
      </w:r>
      <w:r w:rsidRPr="00D3223D">
        <w:rPr>
          <w:i/>
        </w:rPr>
        <w:t xml:space="preserve">De Anima </w:t>
      </w:r>
      <w:r w:rsidRPr="00D3223D">
        <w:t xml:space="preserve">and </w:t>
      </w:r>
      <w:r w:rsidRPr="00D3223D">
        <w:rPr>
          <w:i/>
        </w:rPr>
        <w:t xml:space="preserve">De </w:t>
      </w:r>
      <w:proofErr w:type="spellStart"/>
      <w:r w:rsidRPr="00D3223D">
        <w:rPr>
          <w:i/>
        </w:rPr>
        <w:t>Memoria</w:t>
      </w:r>
      <w:proofErr w:type="spellEnd"/>
      <w:r w:rsidRPr="00D3223D">
        <w:t xml:space="preserve">, end with the </w:t>
      </w:r>
      <w:r w:rsidRPr="00D3223D">
        <w:rPr>
          <w:i/>
        </w:rPr>
        <w:t>Posterior Analytics</w:t>
      </w:r>
      <w:r w:rsidRPr="00D3223D">
        <w:t xml:space="preserve">. </w:t>
      </w:r>
    </w:p>
  </w:footnote>
  <w:footnote w:id="20">
    <w:p w:rsidR="00861648" w:rsidRPr="00D3223D" w:rsidRDefault="00861648" w:rsidP="00D3223D">
      <w:pPr>
        <w:pStyle w:val="FootnoteText"/>
      </w:pPr>
      <w:r w:rsidRPr="00D3223D">
        <w:rPr>
          <w:rStyle w:val="FootnoteReference"/>
        </w:rPr>
        <w:footnoteRef/>
      </w:r>
      <w:r w:rsidRPr="00D3223D">
        <w:t xml:space="preserve"> Paris, Bib. Nat. Lat.6636. </w:t>
      </w:r>
    </w:p>
  </w:footnote>
  <w:footnote w:id="21">
    <w:p w:rsidR="00861648" w:rsidRPr="00D3223D" w:rsidRDefault="00861648" w:rsidP="00D3223D">
      <w:pPr>
        <w:pStyle w:val="FootnoteText"/>
      </w:pPr>
      <w:r w:rsidRPr="00D3223D">
        <w:rPr>
          <w:rStyle w:val="FootnoteReference"/>
        </w:rPr>
        <w:footnoteRef/>
      </w:r>
      <w:r w:rsidRPr="00D3223D">
        <w:t xml:space="preserve"> The exception is the very early (S. 10-11) Chartres, Bib. </w:t>
      </w:r>
      <w:proofErr w:type="spellStart"/>
      <w:r w:rsidRPr="00D3223D">
        <w:t>Mun</w:t>
      </w:r>
      <w:proofErr w:type="spellEnd"/>
      <w:r w:rsidRPr="00D3223D">
        <w:t xml:space="preserve">. 100, mentioned above.  </w:t>
      </w:r>
    </w:p>
  </w:footnote>
  <w:footnote w:id="22">
    <w:p w:rsidR="00861648" w:rsidRPr="00D3223D" w:rsidRDefault="00861648" w:rsidP="00D3223D">
      <w:pPr>
        <w:pStyle w:val="FootnoteText"/>
      </w:pPr>
      <w:r w:rsidRPr="00D3223D">
        <w:rPr>
          <w:rStyle w:val="FootnoteReference"/>
        </w:rPr>
        <w:footnoteRef/>
      </w:r>
      <w:r w:rsidRPr="00D3223D">
        <w:t xml:space="preserve"> Chambery, Bib. </w:t>
      </w:r>
      <w:proofErr w:type="spellStart"/>
      <w:r w:rsidRPr="00D3223D">
        <w:t>Mun</w:t>
      </w:r>
      <w:proofErr w:type="spellEnd"/>
      <w:r w:rsidRPr="00D3223D">
        <w:t xml:space="preserve">. 27 contains some French verse between the two texts; </w:t>
      </w:r>
      <w:proofErr w:type="spellStart"/>
      <w:r w:rsidRPr="00D3223D">
        <w:t>Avranches</w:t>
      </w:r>
      <w:proofErr w:type="spellEnd"/>
      <w:r w:rsidRPr="00D3223D">
        <w:t xml:space="preserve">, Bib. </w:t>
      </w:r>
      <w:proofErr w:type="spellStart"/>
      <w:r w:rsidRPr="00D3223D">
        <w:t>Mun</w:t>
      </w:r>
      <w:proofErr w:type="spellEnd"/>
      <w:r w:rsidRPr="00D3223D">
        <w:t xml:space="preserve">. 227, a book belonging to a bishop Michael of Paris, has the Aristotelian text interspersed with Boethius’ commentary on it.  </w:t>
      </w:r>
    </w:p>
  </w:footnote>
  <w:footnote w:id="23">
    <w:p w:rsidR="00861648" w:rsidRPr="00D3223D" w:rsidRDefault="00861648" w:rsidP="00D3223D">
      <w:pPr>
        <w:pStyle w:val="FootnoteText"/>
      </w:pPr>
      <w:r w:rsidRPr="00D3223D">
        <w:rPr>
          <w:rStyle w:val="FootnoteReference"/>
        </w:rPr>
        <w:footnoteRef/>
      </w:r>
      <w:r w:rsidRPr="00D3223D">
        <w:t xml:space="preserve"> Paris, Bib. Nat. Lat. 6292. </w:t>
      </w:r>
    </w:p>
  </w:footnote>
  <w:footnote w:id="24">
    <w:p w:rsidR="00861648" w:rsidRPr="00D3223D" w:rsidRDefault="00861648" w:rsidP="00D3223D">
      <w:pPr>
        <w:pStyle w:val="FootnoteText"/>
      </w:pPr>
      <w:r w:rsidRPr="00D3223D">
        <w:rPr>
          <w:rStyle w:val="FootnoteReference"/>
        </w:rPr>
        <w:footnoteRef/>
      </w:r>
      <w:r w:rsidRPr="00D3223D">
        <w:t xml:space="preserve"> Rheims, Bib. </w:t>
      </w:r>
      <w:proofErr w:type="spellStart"/>
      <w:r w:rsidRPr="00D3223D">
        <w:t>Mun</w:t>
      </w:r>
      <w:proofErr w:type="spellEnd"/>
      <w:r w:rsidRPr="00D3223D">
        <w:t>. 870 (S. 13</w:t>
      </w:r>
      <w:r w:rsidRPr="00D3223D">
        <w:rPr>
          <w:vertAlign w:val="superscript"/>
        </w:rPr>
        <w:t>ex</w:t>
      </w:r>
      <w:r w:rsidRPr="00D3223D">
        <w:t>)</w:t>
      </w:r>
    </w:p>
  </w:footnote>
  <w:footnote w:id="25">
    <w:p w:rsidR="00861648" w:rsidRPr="00D3223D" w:rsidRDefault="00861648" w:rsidP="00D3223D">
      <w:pPr>
        <w:pStyle w:val="FootnoteText"/>
      </w:pPr>
      <w:r w:rsidRPr="00D3223D">
        <w:rPr>
          <w:rStyle w:val="FootnoteReference"/>
        </w:rPr>
        <w:footnoteRef/>
      </w:r>
      <w:r w:rsidRPr="00D3223D">
        <w:t xml:space="preserve"> Paris, Bib. Nat. 16597 (S. 13-14) and </w:t>
      </w:r>
      <w:proofErr w:type="spellStart"/>
      <w:r w:rsidRPr="00D3223D">
        <w:t>Auch</w:t>
      </w:r>
      <w:proofErr w:type="spellEnd"/>
      <w:r w:rsidRPr="00D3223D">
        <w:t xml:space="preserve">, Bib. </w:t>
      </w:r>
      <w:proofErr w:type="spellStart"/>
      <w:r w:rsidRPr="00D3223D">
        <w:t>Mun</w:t>
      </w:r>
      <w:proofErr w:type="spellEnd"/>
      <w:r w:rsidRPr="00D3223D">
        <w:t xml:space="preserve">. 11 (S. 13) are written in a Mediterranean hand, while Avignon, Bib. </w:t>
      </w:r>
      <w:proofErr w:type="spellStart"/>
      <w:r w:rsidRPr="00D3223D">
        <w:t>Mun</w:t>
      </w:r>
      <w:proofErr w:type="spellEnd"/>
      <w:r w:rsidRPr="00D3223D">
        <w:t xml:space="preserve">. 228 belonged to the Dominicans at Avignon. </w:t>
      </w:r>
    </w:p>
  </w:footnote>
  <w:footnote w:id="26">
    <w:p w:rsidR="00861648" w:rsidRPr="00D3223D" w:rsidRDefault="00861648" w:rsidP="00D3223D">
      <w:pPr>
        <w:pStyle w:val="FootnoteText"/>
      </w:pPr>
      <w:r w:rsidRPr="00D3223D">
        <w:rPr>
          <w:rStyle w:val="FootnoteReference"/>
        </w:rPr>
        <w:footnoteRef/>
      </w:r>
      <w:r w:rsidRPr="00D3223D">
        <w:t xml:space="preserve"> The anomaly is Avignon, Bib. </w:t>
      </w:r>
      <w:proofErr w:type="spellStart"/>
      <w:r w:rsidRPr="00D3223D">
        <w:t>Mun</w:t>
      </w:r>
      <w:proofErr w:type="spellEnd"/>
      <w:r w:rsidRPr="00D3223D">
        <w:t xml:space="preserve">. 1088, which has Aristotle’s </w:t>
      </w:r>
      <w:r w:rsidRPr="00D3223D">
        <w:rPr>
          <w:i/>
        </w:rPr>
        <w:t>Topics</w:t>
      </w:r>
      <w:r w:rsidRPr="00D3223D">
        <w:t xml:space="preserve"> between the </w:t>
      </w:r>
      <w:r w:rsidRPr="00D3223D">
        <w:rPr>
          <w:i/>
        </w:rPr>
        <w:t xml:space="preserve">Liber </w:t>
      </w:r>
      <w:r w:rsidRPr="00D3223D">
        <w:t xml:space="preserve">and the </w:t>
      </w:r>
      <w:proofErr w:type="spellStart"/>
      <w:r w:rsidRPr="00D3223D">
        <w:rPr>
          <w:i/>
        </w:rPr>
        <w:t>Periermenias</w:t>
      </w:r>
      <w:proofErr w:type="spellEnd"/>
      <w:r w:rsidRPr="00D3223D">
        <w:t xml:space="preserve">, which ends the codex. </w:t>
      </w:r>
    </w:p>
  </w:footnote>
  <w:footnote w:id="27">
    <w:p w:rsidR="00861648" w:rsidRPr="00D3223D" w:rsidRDefault="00861648" w:rsidP="00D3223D">
      <w:pPr>
        <w:pStyle w:val="FootnoteText"/>
        <w:rPr>
          <w:vertAlign w:val="subscript"/>
        </w:rPr>
      </w:pPr>
      <w:r w:rsidRPr="00D3223D">
        <w:rPr>
          <w:rStyle w:val="FootnoteReference"/>
        </w:rPr>
        <w:footnoteRef/>
      </w:r>
      <w:r w:rsidRPr="00D3223D">
        <w:t xml:space="preserve"> Troyes, Bib. </w:t>
      </w:r>
      <w:proofErr w:type="spellStart"/>
      <w:r w:rsidRPr="00D3223D">
        <w:t>Mun</w:t>
      </w:r>
      <w:proofErr w:type="spellEnd"/>
      <w:r w:rsidRPr="00D3223D">
        <w:t xml:space="preserve">. 1457 and Metz, Bib. </w:t>
      </w:r>
      <w:proofErr w:type="spellStart"/>
      <w:r w:rsidRPr="00D3223D">
        <w:t>Mun</w:t>
      </w:r>
      <w:proofErr w:type="spellEnd"/>
      <w:r w:rsidRPr="00D3223D">
        <w:t xml:space="preserve">. 508. The former cuts off abruptly, and so the codex may have originally contained more than it does at present.  </w:t>
      </w:r>
    </w:p>
  </w:footnote>
  <w:footnote w:id="28">
    <w:p w:rsidR="00D3223D" w:rsidRPr="00D3223D" w:rsidRDefault="00D3223D" w:rsidP="00D3223D">
      <w:pPr>
        <w:pStyle w:val="FootnoteText"/>
      </w:pPr>
      <w:r w:rsidRPr="00D3223D">
        <w:rPr>
          <w:rStyle w:val="FootnoteReference"/>
        </w:rPr>
        <w:footnoteRef/>
      </w:r>
      <w:r>
        <w:t xml:space="preserve"> There is evidence that the last of these was the curriculum studied by Thomas Aquinas: see </w:t>
      </w:r>
      <w:r w:rsidRPr="00D3223D">
        <w:rPr>
          <w:i/>
        </w:rPr>
        <w:t>PA</w:t>
      </w:r>
      <w:r>
        <w:t xml:space="preserve"> I. </w:t>
      </w:r>
      <w:proofErr w:type="spellStart"/>
      <w:r>
        <w:t>proemium</w:t>
      </w:r>
      <w:proofErr w:type="spellEnd"/>
      <w:r>
        <w:t xml:space="preserve">. </w:t>
      </w:r>
    </w:p>
  </w:footnote>
  <w:footnote w:id="29">
    <w:p w:rsidR="00861648" w:rsidRPr="00D3223D" w:rsidRDefault="00861648" w:rsidP="00D3223D">
      <w:pPr>
        <w:pStyle w:val="Footnote"/>
        <w:ind w:left="0" w:firstLine="0"/>
        <w:rPr>
          <w:rFonts w:asciiTheme="minorHAnsi" w:hAnsiTheme="minorHAnsi"/>
        </w:rPr>
      </w:pPr>
      <w:r w:rsidRPr="00D3223D">
        <w:rPr>
          <w:rStyle w:val="FootnoteReference"/>
          <w:rFonts w:asciiTheme="minorHAnsi" w:hAnsiTheme="minorHAnsi"/>
        </w:rPr>
        <w:footnoteRef/>
      </w:r>
      <w:r w:rsidRPr="00D3223D">
        <w:rPr>
          <w:rFonts w:asciiTheme="minorHAnsi" w:hAnsiTheme="minorHAnsi"/>
        </w:rPr>
        <w:t>Dodd 1982, p. 48</w:t>
      </w:r>
    </w:p>
  </w:footnote>
  <w:footnote w:id="30">
    <w:p w:rsidR="00861648" w:rsidRPr="00D3223D" w:rsidRDefault="00861648" w:rsidP="00D3223D">
      <w:pPr>
        <w:pStyle w:val="Footnote"/>
        <w:ind w:left="0" w:firstLine="0"/>
        <w:rPr>
          <w:rFonts w:asciiTheme="minorHAnsi" w:hAnsiTheme="minorHAnsi"/>
        </w:rPr>
      </w:pPr>
      <w:r w:rsidRPr="00D3223D">
        <w:rPr>
          <w:rStyle w:val="FootnoteReference"/>
          <w:rFonts w:asciiTheme="minorHAnsi" w:hAnsiTheme="minorHAnsi"/>
        </w:rPr>
        <w:footnoteRef/>
      </w:r>
      <w:r w:rsidRPr="00D3223D">
        <w:rPr>
          <w:rFonts w:asciiTheme="minorHAnsi" w:hAnsiTheme="minorHAnsi"/>
        </w:rPr>
        <w:t xml:space="preserve">Aristoteles </w:t>
      </w:r>
      <w:proofErr w:type="spellStart"/>
      <w:r w:rsidRPr="00D3223D">
        <w:rPr>
          <w:rFonts w:asciiTheme="minorHAnsi" w:hAnsiTheme="minorHAnsi"/>
        </w:rPr>
        <w:t>Latinus</w:t>
      </w:r>
      <w:proofErr w:type="spellEnd"/>
      <w:r w:rsidRPr="00D3223D">
        <w:rPr>
          <w:rFonts w:asciiTheme="minorHAnsi" w:hAnsiTheme="minorHAnsi"/>
        </w:rPr>
        <w:t xml:space="preserve"> 1966, LXIV-XLVIII</w:t>
      </w:r>
    </w:p>
  </w:footnote>
  <w:footnote w:id="31">
    <w:p w:rsidR="00861648" w:rsidRPr="00D3223D" w:rsidRDefault="00861648" w:rsidP="00D3223D">
      <w:pPr>
        <w:pStyle w:val="Footnote"/>
        <w:ind w:left="0" w:firstLine="0"/>
        <w:rPr>
          <w:rFonts w:asciiTheme="minorHAnsi" w:hAnsiTheme="minorHAnsi"/>
        </w:rPr>
      </w:pPr>
      <w:r w:rsidRPr="00D3223D">
        <w:rPr>
          <w:rStyle w:val="FootnoteReference"/>
          <w:rFonts w:asciiTheme="minorHAnsi" w:hAnsiTheme="minorHAnsi"/>
        </w:rPr>
        <w:footnoteRef/>
      </w:r>
      <w:proofErr w:type="gramStart"/>
      <w:r w:rsidRPr="00D3223D">
        <w:rPr>
          <w:rFonts w:asciiTheme="minorHAnsi" w:hAnsiTheme="minorHAnsi"/>
        </w:rPr>
        <w:t>i.e</w:t>
      </w:r>
      <w:proofErr w:type="gramEnd"/>
      <w:r w:rsidRPr="00D3223D">
        <w:rPr>
          <w:rFonts w:asciiTheme="minorHAnsi" w:hAnsiTheme="minorHAnsi"/>
        </w:rPr>
        <w:t xml:space="preserve">. by ascribing quotes from the </w:t>
      </w:r>
      <w:r w:rsidRPr="00D3223D">
        <w:rPr>
          <w:rFonts w:asciiTheme="minorHAnsi" w:hAnsiTheme="minorHAnsi"/>
          <w:i/>
          <w:iCs/>
        </w:rPr>
        <w:t xml:space="preserve">liber </w:t>
      </w:r>
      <w:r w:rsidRPr="00D3223D">
        <w:rPr>
          <w:rFonts w:asciiTheme="minorHAnsi" w:hAnsiTheme="minorHAnsi"/>
        </w:rPr>
        <w:t>either to the book simply (e.g. “</w:t>
      </w:r>
      <w:proofErr w:type="spellStart"/>
      <w:r w:rsidRPr="00D3223D">
        <w:rPr>
          <w:rFonts w:asciiTheme="minorHAnsi" w:hAnsiTheme="minorHAnsi"/>
          <w:i/>
          <w:iCs/>
        </w:rPr>
        <w:t>ut</w:t>
      </w:r>
      <w:proofErr w:type="spellEnd"/>
      <w:r w:rsidRPr="00D3223D">
        <w:rPr>
          <w:rFonts w:asciiTheme="minorHAnsi" w:hAnsiTheme="minorHAnsi"/>
          <w:i/>
          <w:iCs/>
        </w:rPr>
        <w:t xml:space="preserve"> dicit Liber sex </w:t>
      </w:r>
      <w:proofErr w:type="spellStart"/>
      <w:r w:rsidRPr="00D3223D">
        <w:rPr>
          <w:rFonts w:asciiTheme="minorHAnsi" w:hAnsiTheme="minorHAnsi"/>
          <w:i/>
          <w:iCs/>
        </w:rPr>
        <w:t>principiorum</w:t>
      </w:r>
      <w:proofErr w:type="spellEnd"/>
      <w:r w:rsidRPr="00D3223D">
        <w:rPr>
          <w:rFonts w:asciiTheme="minorHAnsi" w:hAnsiTheme="minorHAnsi"/>
        </w:rPr>
        <w:t xml:space="preserve">”), or to the author of the </w:t>
      </w:r>
      <w:r w:rsidRPr="00D3223D">
        <w:rPr>
          <w:rFonts w:asciiTheme="minorHAnsi" w:hAnsiTheme="minorHAnsi"/>
          <w:i/>
          <w:iCs/>
        </w:rPr>
        <w:t xml:space="preserve">liber </w:t>
      </w:r>
      <w:r w:rsidRPr="00D3223D">
        <w:rPr>
          <w:rFonts w:asciiTheme="minorHAnsi" w:hAnsiTheme="minorHAnsi"/>
        </w:rPr>
        <w:t>(e.g. “</w:t>
      </w:r>
      <w:r w:rsidRPr="00D3223D">
        <w:rPr>
          <w:rFonts w:asciiTheme="minorHAnsi" w:hAnsiTheme="minorHAnsi"/>
          <w:i/>
          <w:iCs/>
        </w:rPr>
        <w:t xml:space="preserve">dicit </w:t>
      </w:r>
      <w:proofErr w:type="spellStart"/>
      <w:r w:rsidRPr="00D3223D">
        <w:rPr>
          <w:rFonts w:asciiTheme="minorHAnsi" w:hAnsiTheme="minorHAnsi"/>
          <w:i/>
          <w:iCs/>
        </w:rPr>
        <w:t>auctor</w:t>
      </w:r>
      <w:proofErr w:type="spellEnd"/>
      <w:r w:rsidRPr="00D3223D">
        <w:rPr>
          <w:rFonts w:asciiTheme="minorHAnsi" w:hAnsiTheme="minorHAnsi"/>
          <w:i/>
          <w:iCs/>
        </w:rPr>
        <w:t xml:space="preserve"> Sex </w:t>
      </w:r>
      <w:proofErr w:type="spellStart"/>
      <w:r w:rsidRPr="00D3223D">
        <w:rPr>
          <w:rFonts w:asciiTheme="minorHAnsi" w:hAnsiTheme="minorHAnsi"/>
          <w:i/>
          <w:iCs/>
        </w:rPr>
        <w:t>Principiorum</w:t>
      </w:r>
      <w:proofErr w:type="spellEnd"/>
      <w:r w:rsidRPr="00D3223D">
        <w:rPr>
          <w:rFonts w:asciiTheme="minorHAnsi" w:hAnsiTheme="minorHAnsi"/>
          <w:i/>
          <w:iCs/>
        </w:rPr>
        <w:t>”</w:t>
      </w:r>
      <w:r w:rsidRPr="00D3223D">
        <w:rPr>
          <w:rFonts w:asciiTheme="minorHAnsi" w:hAnsiTheme="minorHAnsi"/>
        </w:rPr>
        <w:t>) but never to “Aristotle” or “the Philosopher.” cf. ibid.</w:t>
      </w:r>
    </w:p>
  </w:footnote>
  <w:footnote w:id="32">
    <w:p w:rsidR="00861648" w:rsidRPr="00D3223D" w:rsidRDefault="00861648" w:rsidP="00D3223D">
      <w:pPr>
        <w:pStyle w:val="FootnoteText"/>
      </w:pPr>
      <w:r w:rsidRPr="00D3223D">
        <w:rPr>
          <w:rStyle w:val="FootnoteReference"/>
        </w:rPr>
        <w:footnoteRef/>
      </w:r>
      <w:r w:rsidRPr="00D3223D">
        <w:t xml:space="preserve"> Chartres, Bib. </w:t>
      </w:r>
      <w:proofErr w:type="spellStart"/>
      <w:r w:rsidRPr="00D3223D">
        <w:t>Mun</w:t>
      </w:r>
      <w:proofErr w:type="spellEnd"/>
      <w:r w:rsidRPr="00D3223D">
        <w:t>. 498 (s. 12</w:t>
      </w:r>
      <w:r w:rsidRPr="00D3223D">
        <w:rPr>
          <w:vertAlign w:val="superscript"/>
        </w:rPr>
        <w:t>med</w:t>
      </w:r>
      <w:r w:rsidRPr="00D3223D">
        <w:t xml:space="preserve">) contains the </w:t>
      </w:r>
      <w:proofErr w:type="spellStart"/>
      <w:r w:rsidRPr="00D3223D">
        <w:rPr>
          <w:i/>
        </w:rPr>
        <w:t>Elenchi</w:t>
      </w:r>
      <w:proofErr w:type="spellEnd"/>
      <w:r w:rsidRPr="00D3223D">
        <w:t xml:space="preserve">. </w:t>
      </w:r>
    </w:p>
  </w:footnote>
  <w:footnote w:id="33">
    <w:p w:rsidR="00861648" w:rsidRPr="00D3223D" w:rsidRDefault="00861648" w:rsidP="00D3223D">
      <w:pPr>
        <w:pStyle w:val="FootnoteText"/>
      </w:pPr>
      <w:r w:rsidRPr="00D3223D">
        <w:rPr>
          <w:rStyle w:val="FootnoteReference"/>
        </w:rPr>
        <w:footnoteRef/>
      </w:r>
      <w:r w:rsidRPr="00D3223D">
        <w:t xml:space="preserve"> Though interest in topical arguments </w:t>
      </w:r>
      <w:r w:rsidRPr="00D3223D">
        <w:rPr>
          <w:i/>
        </w:rPr>
        <w:t xml:space="preserve">does </w:t>
      </w:r>
      <w:r w:rsidRPr="00D3223D">
        <w:t xml:space="preserve">decrease.  See Stump 1989, 157-175.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23502E"/>
    <w:multiLevelType w:val="hybridMultilevel"/>
    <w:tmpl w:val="31304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C1E"/>
    <w:rsid w:val="00012C9D"/>
    <w:rsid w:val="000250B0"/>
    <w:rsid w:val="000363F6"/>
    <w:rsid w:val="00050A0F"/>
    <w:rsid w:val="00053F4E"/>
    <w:rsid w:val="0006106A"/>
    <w:rsid w:val="0006324B"/>
    <w:rsid w:val="00073389"/>
    <w:rsid w:val="00073723"/>
    <w:rsid w:val="00080C1E"/>
    <w:rsid w:val="000948E8"/>
    <w:rsid w:val="000977E4"/>
    <w:rsid w:val="000A1382"/>
    <w:rsid w:val="000A1A2D"/>
    <w:rsid w:val="000C0766"/>
    <w:rsid w:val="000F6C75"/>
    <w:rsid w:val="00122A70"/>
    <w:rsid w:val="00123A38"/>
    <w:rsid w:val="00127C10"/>
    <w:rsid w:val="001303F9"/>
    <w:rsid w:val="001402C7"/>
    <w:rsid w:val="0014563B"/>
    <w:rsid w:val="00163186"/>
    <w:rsid w:val="00166A2F"/>
    <w:rsid w:val="00186CA5"/>
    <w:rsid w:val="001924CC"/>
    <w:rsid w:val="00196817"/>
    <w:rsid w:val="001B63FF"/>
    <w:rsid w:val="001E56BC"/>
    <w:rsid w:val="001F2A61"/>
    <w:rsid w:val="001F49C7"/>
    <w:rsid w:val="002077C7"/>
    <w:rsid w:val="0022054A"/>
    <w:rsid w:val="002272E8"/>
    <w:rsid w:val="00243C2E"/>
    <w:rsid w:val="00280D2B"/>
    <w:rsid w:val="00290E47"/>
    <w:rsid w:val="002A6321"/>
    <w:rsid w:val="002B0BA7"/>
    <w:rsid w:val="002E0096"/>
    <w:rsid w:val="002E30CF"/>
    <w:rsid w:val="002E435C"/>
    <w:rsid w:val="002E608A"/>
    <w:rsid w:val="002F3CE0"/>
    <w:rsid w:val="002F5593"/>
    <w:rsid w:val="003037A2"/>
    <w:rsid w:val="00345693"/>
    <w:rsid w:val="0035270B"/>
    <w:rsid w:val="00357262"/>
    <w:rsid w:val="003828EE"/>
    <w:rsid w:val="00384049"/>
    <w:rsid w:val="00387447"/>
    <w:rsid w:val="003933CD"/>
    <w:rsid w:val="003E1B35"/>
    <w:rsid w:val="003F2736"/>
    <w:rsid w:val="00402F48"/>
    <w:rsid w:val="00415431"/>
    <w:rsid w:val="00440049"/>
    <w:rsid w:val="004462A6"/>
    <w:rsid w:val="00466761"/>
    <w:rsid w:val="0047215E"/>
    <w:rsid w:val="00490035"/>
    <w:rsid w:val="004D0721"/>
    <w:rsid w:val="004D3367"/>
    <w:rsid w:val="004E1F4A"/>
    <w:rsid w:val="004F073C"/>
    <w:rsid w:val="0050001F"/>
    <w:rsid w:val="005211D5"/>
    <w:rsid w:val="005355A0"/>
    <w:rsid w:val="00552DCB"/>
    <w:rsid w:val="0056611E"/>
    <w:rsid w:val="005674AD"/>
    <w:rsid w:val="00584C66"/>
    <w:rsid w:val="0059342E"/>
    <w:rsid w:val="005A4540"/>
    <w:rsid w:val="005A780E"/>
    <w:rsid w:val="005C6C02"/>
    <w:rsid w:val="005D2847"/>
    <w:rsid w:val="005D6F60"/>
    <w:rsid w:val="0060073A"/>
    <w:rsid w:val="0060418F"/>
    <w:rsid w:val="0060647B"/>
    <w:rsid w:val="00607D7F"/>
    <w:rsid w:val="00610CEA"/>
    <w:rsid w:val="0061315B"/>
    <w:rsid w:val="00642D7C"/>
    <w:rsid w:val="00657B0C"/>
    <w:rsid w:val="006700C6"/>
    <w:rsid w:val="006722FB"/>
    <w:rsid w:val="006762D4"/>
    <w:rsid w:val="00676D08"/>
    <w:rsid w:val="006B00C9"/>
    <w:rsid w:val="006B330E"/>
    <w:rsid w:val="006B72A2"/>
    <w:rsid w:val="006B7F6F"/>
    <w:rsid w:val="006C7B6F"/>
    <w:rsid w:val="006E6361"/>
    <w:rsid w:val="007075AD"/>
    <w:rsid w:val="00720951"/>
    <w:rsid w:val="007262F2"/>
    <w:rsid w:val="00727B09"/>
    <w:rsid w:val="00735D37"/>
    <w:rsid w:val="00737C86"/>
    <w:rsid w:val="00745C27"/>
    <w:rsid w:val="00760D1F"/>
    <w:rsid w:val="0077444F"/>
    <w:rsid w:val="00776E72"/>
    <w:rsid w:val="00791DDF"/>
    <w:rsid w:val="007D2D62"/>
    <w:rsid w:val="007E7A1F"/>
    <w:rsid w:val="007F3655"/>
    <w:rsid w:val="008070EA"/>
    <w:rsid w:val="00813192"/>
    <w:rsid w:val="00821572"/>
    <w:rsid w:val="00832801"/>
    <w:rsid w:val="00836802"/>
    <w:rsid w:val="00861648"/>
    <w:rsid w:val="00862256"/>
    <w:rsid w:val="00865B99"/>
    <w:rsid w:val="008666C6"/>
    <w:rsid w:val="00871B10"/>
    <w:rsid w:val="00887DFE"/>
    <w:rsid w:val="008A163A"/>
    <w:rsid w:val="008B427E"/>
    <w:rsid w:val="008B45FE"/>
    <w:rsid w:val="008F0378"/>
    <w:rsid w:val="00906461"/>
    <w:rsid w:val="00907F30"/>
    <w:rsid w:val="009201D6"/>
    <w:rsid w:val="0092179C"/>
    <w:rsid w:val="00933F48"/>
    <w:rsid w:val="0096060A"/>
    <w:rsid w:val="00964B00"/>
    <w:rsid w:val="009701C3"/>
    <w:rsid w:val="009A6C1F"/>
    <w:rsid w:val="009C3D1A"/>
    <w:rsid w:val="009F5253"/>
    <w:rsid w:val="00A014B4"/>
    <w:rsid w:val="00A03FE0"/>
    <w:rsid w:val="00A2094D"/>
    <w:rsid w:val="00A27431"/>
    <w:rsid w:val="00A62C90"/>
    <w:rsid w:val="00A80572"/>
    <w:rsid w:val="00A8276A"/>
    <w:rsid w:val="00A90703"/>
    <w:rsid w:val="00A9262D"/>
    <w:rsid w:val="00A9687A"/>
    <w:rsid w:val="00AA7A94"/>
    <w:rsid w:val="00AE59C2"/>
    <w:rsid w:val="00B01D31"/>
    <w:rsid w:val="00B22C77"/>
    <w:rsid w:val="00B246C5"/>
    <w:rsid w:val="00B246EC"/>
    <w:rsid w:val="00B30E39"/>
    <w:rsid w:val="00B427D9"/>
    <w:rsid w:val="00B43562"/>
    <w:rsid w:val="00B477C8"/>
    <w:rsid w:val="00B705D9"/>
    <w:rsid w:val="00B724A9"/>
    <w:rsid w:val="00B749B2"/>
    <w:rsid w:val="00B768A6"/>
    <w:rsid w:val="00B87B29"/>
    <w:rsid w:val="00BA67B0"/>
    <w:rsid w:val="00BB55CC"/>
    <w:rsid w:val="00BC3ABF"/>
    <w:rsid w:val="00BD07D5"/>
    <w:rsid w:val="00BD5810"/>
    <w:rsid w:val="00BD7228"/>
    <w:rsid w:val="00C037F3"/>
    <w:rsid w:val="00C13C2E"/>
    <w:rsid w:val="00C148AC"/>
    <w:rsid w:val="00C33A37"/>
    <w:rsid w:val="00C41139"/>
    <w:rsid w:val="00C633AA"/>
    <w:rsid w:val="00C85892"/>
    <w:rsid w:val="00C90C02"/>
    <w:rsid w:val="00CA3B66"/>
    <w:rsid w:val="00CB67DD"/>
    <w:rsid w:val="00CC1D9A"/>
    <w:rsid w:val="00CE78F1"/>
    <w:rsid w:val="00D01191"/>
    <w:rsid w:val="00D035E3"/>
    <w:rsid w:val="00D145CA"/>
    <w:rsid w:val="00D228F0"/>
    <w:rsid w:val="00D3223D"/>
    <w:rsid w:val="00D33B81"/>
    <w:rsid w:val="00D472F0"/>
    <w:rsid w:val="00D91394"/>
    <w:rsid w:val="00D923B2"/>
    <w:rsid w:val="00DC3F36"/>
    <w:rsid w:val="00DD0996"/>
    <w:rsid w:val="00DD7ED6"/>
    <w:rsid w:val="00DE72D2"/>
    <w:rsid w:val="00DF7D6F"/>
    <w:rsid w:val="00DF7F2F"/>
    <w:rsid w:val="00E17963"/>
    <w:rsid w:val="00E52887"/>
    <w:rsid w:val="00E52E50"/>
    <w:rsid w:val="00E84D21"/>
    <w:rsid w:val="00E860C0"/>
    <w:rsid w:val="00E97F9C"/>
    <w:rsid w:val="00EA6B3B"/>
    <w:rsid w:val="00EB3844"/>
    <w:rsid w:val="00EE1EE0"/>
    <w:rsid w:val="00EE5ABE"/>
    <w:rsid w:val="00EF67FC"/>
    <w:rsid w:val="00F056B2"/>
    <w:rsid w:val="00F07C03"/>
    <w:rsid w:val="00F41621"/>
    <w:rsid w:val="00F614D0"/>
    <w:rsid w:val="00F641EE"/>
    <w:rsid w:val="00F65282"/>
    <w:rsid w:val="00F74E72"/>
    <w:rsid w:val="00F857CC"/>
    <w:rsid w:val="00F95604"/>
    <w:rsid w:val="00FB4C92"/>
    <w:rsid w:val="00FE2393"/>
    <w:rsid w:val="00FF6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9E09B-66C2-440D-9567-54301B7FF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48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60647B"/>
    <w:pPr>
      <w:ind w:left="720"/>
      <w:contextualSpacing/>
    </w:pPr>
  </w:style>
  <w:style w:type="paragraph" w:styleId="Title">
    <w:name w:val="Title"/>
    <w:basedOn w:val="Normal"/>
    <w:next w:val="Normal"/>
    <w:link w:val="TitleChar"/>
    <w:uiPriority w:val="10"/>
    <w:qFormat/>
    <w:rsid w:val="000F6C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C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48A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BD72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7228"/>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657B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B0C"/>
    <w:rPr>
      <w:sz w:val="20"/>
      <w:szCs w:val="20"/>
    </w:rPr>
  </w:style>
  <w:style w:type="character" w:styleId="FootnoteReference">
    <w:name w:val="footnote reference"/>
    <w:basedOn w:val="DefaultParagraphFont"/>
    <w:uiPriority w:val="99"/>
    <w:semiHidden/>
    <w:unhideWhenUsed/>
    <w:rsid w:val="00657B0C"/>
    <w:rPr>
      <w:vertAlign w:val="superscript"/>
    </w:rPr>
  </w:style>
  <w:style w:type="paragraph" w:customStyle="1" w:styleId="Standard">
    <w:name w:val="Standard"/>
    <w:rsid w:val="001924CC"/>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Footnote">
    <w:name w:val="Footnote"/>
    <w:basedOn w:val="Standard"/>
    <w:rsid w:val="002F3CE0"/>
    <w:pPr>
      <w:suppressLineNumbers/>
      <w:ind w:left="283" w:hanging="283"/>
    </w:pPr>
    <w:rPr>
      <w:sz w:val="20"/>
      <w:szCs w:val="20"/>
    </w:rPr>
  </w:style>
  <w:style w:type="character" w:styleId="EndnoteReference">
    <w:name w:val="endnote reference"/>
    <w:basedOn w:val="DefaultParagraphFont"/>
    <w:uiPriority w:val="99"/>
    <w:semiHidden/>
    <w:unhideWhenUsed/>
    <w:rsid w:val="002F3CE0"/>
    <w:rPr>
      <w:vertAlign w:val="superscript"/>
    </w:rPr>
  </w:style>
  <w:style w:type="paragraph" w:styleId="EndnoteText">
    <w:name w:val="endnote text"/>
    <w:basedOn w:val="Normal"/>
    <w:link w:val="EndnoteTextChar"/>
    <w:uiPriority w:val="99"/>
    <w:semiHidden/>
    <w:unhideWhenUsed/>
    <w:rsid w:val="002F3C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F3CE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37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D0C05-5E56-4C56-B587-2DD1C59F1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11580</TotalTime>
  <Pages>14</Pages>
  <Words>3693</Words>
  <Characters>21054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Archambault</dc:creator>
  <cp:keywords/>
  <dc:description/>
  <cp:lastModifiedBy>Jacob Archambault</cp:lastModifiedBy>
  <cp:revision>46</cp:revision>
  <dcterms:created xsi:type="dcterms:W3CDTF">2014-04-19T14:44:00Z</dcterms:created>
  <dcterms:modified xsi:type="dcterms:W3CDTF">2015-08-14T20:27:00Z</dcterms:modified>
</cp:coreProperties>
</file>