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widowControl/>
        <w:bidi w:val="0"/>
        <w:spacing w:before="480" w:after="240"/>
        <w:ind w:left="0" w:right="0" w:firstLine="269"/>
        <w:jc w:val="center"/>
        <w:rPr/>
      </w:pPr>
      <w:r>
        <w:rPr/>
        <w:t>Grounding medieval consequence</w:t>
      </w:r>
    </w:p>
    <w:p>
      <w:pPr>
        <w:pStyle w:val="Author"/>
        <w:widowControl/>
        <w:bidi w:val="0"/>
        <w:ind w:left="0" w:right="0" w:firstLine="269"/>
        <w:jc w:val="center"/>
        <w:rPr/>
      </w:pPr>
      <w:r>
        <w:rPr/>
        <w:t>Jacob Archambault</w:t>
      </w:r>
    </w:p>
    <w:p>
      <w:pPr>
        <w:pStyle w:val="Heading1"/>
        <w:widowControl/>
        <w:bidi w:val="0"/>
        <w:ind w:left="0" w:right="0" w:hanging="0"/>
        <w:jc w:val="both"/>
        <w:rPr/>
      </w:pPr>
      <w:r>
        <w:rPr/>
        <w:t xml:space="preserve">1 </w:t>
      </w:r>
      <w:bookmarkStart w:id="0" w:name="introduction"/>
      <w:r>
        <w:rPr/>
        <w:t>Introduction</w:t>
      </w:r>
      <w:bookmarkEnd w:id="0"/>
    </w:p>
    <w:p>
      <w:pPr>
        <w:pStyle w:val="FirstParagraph"/>
        <w:widowControl/>
        <w:bidi w:val="0"/>
        <w:ind w:left="0" w:right="0" w:firstLine="269"/>
        <w:jc w:val="both"/>
        <w:rPr/>
      </w:pPr>
      <w:r>
        <w:rPr/>
        <w:t>Grounding is an irreflexive, assymetric, and transitive relation between different elements within an ontology, according to which one or several elements serve as grounds for another.</w:t>
      </w:r>
      <w:r>
        <w:rPr>
          <w:rStyle w:val="FootnoteAnchor"/>
        </w:rPr>
        <w:footnoteReference w:id="2"/>
      </w:r>
      <w:r>
        <w:rPr/>
        <w:t xml:space="preserve"> Grounding elements that are themselves ungrounded are said to be fundamental. The notion of grounding is meant to capture that expressed in non-causal uses of phrases like ‘because’ or ‘in virtue of,’</w:t>
      </w:r>
      <w:r>
        <w:rPr>
          <w:rStyle w:val="FootnoteAnchor"/>
        </w:rPr>
        <w:footnoteReference w:id="3"/>
      </w:r>
      <w:r>
        <w:rPr/>
        <w:t xml:space="preserve"> and commonly invoked examples of grounding include that of true statements in facts, of true non-atomic propositions in their atomic constituents, of qualities in substances, and of sets in their members. More controversial examples include the grounding of the mental in the physical, of word meaning in linguistic use, and of normative features of the world in natural ones. On one currently widespread understanding of metaphysics, the basic problem of metaphysics is to determine what beings are fundamental, and how other beings are grounded in them.</w:t>
      </w:r>
      <w:r>
        <w:rPr>
          <w:rStyle w:val="FootnoteAnchor"/>
        </w:rPr>
        <w:footnoteReference w:id="4"/>
      </w:r>
    </w:p>
    <w:p>
      <w:pPr>
        <w:pStyle w:val="TextBody"/>
        <w:widowControl/>
        <w:bidi w:val="0"/>
        <w:ind w:left="0" w:right="0" w:firstLine="269"/>
        <w:jc w:val="both"/>
        <w:rPr/>
      </w:pPr>
      <w:r>
        <w:rPr/>
        <w:t>In its broadest sense, a consequence is a relation obtaining between an antecedent and a consequent, signified by a sign of consequence.</w:t>
      </w:r>
      <w:r>
        <w:rPr>
          <w:rStyle w:val="FootnoteAnchor"/>
        </w:rPr>
        <w:footnoteReference w:id="5"/>
      </w:r>
      <w:r>
        <w:rPr/>
        <w:t xml:space="preserve"> An antecedent is a premise or set of premises from which a consequent follows; a consequent, a conclusion which follows from an antecedent; a sign of consequence, a word or symbol signifying a consequent’s following from an antecedent, e.g. ‘if’, ‘therefore’, ‘because’ and their analogues in other natural languages, the </w:t>
      </w:r>
      <w:r>
        <w:rPr/>
      </w:r>
      <m:oMath xmlns:m="http://schemas.openxmlformats.org/officeDocument/2006/math">
        <m:r>
          <w:rPr>
            <w:rFonts w:ascii="Cambria Math" w:hAnsi="Cambria Math"/>
          </w:rPr>
          <m:t xml:space="preserve">⊨</m:t>
        </m:r>
      </m:oMath>
      <w:r>
        <w:rPr/>
        <w:t xml:space="preserve"> of model theory, or the proof-theoretic </w:t>
      </w:r>
      <w:r>
        <w:rPr/>
      </w:r>
      <m:oMath xmlns:m="http://schemas.openxmlformats.org/officeDocument/2006/math">
        <m:r>
          <w:rPr>
            <w:rFonts w:ascii="Cambria Math" w:hAnsi="Cambria Math"/>
          </w:rPr>
          <m:t xml:space="preserve">⊢</m:t>
        </m:r>
      </m:oMath>
      <w:r>
        <w:rPr/>
        <w:t>. The theory of consequence proper first arises in the later medieval period, though elements that would enter into the theory may be found in earlier work on Aristotelian syllogistic, fallacies, and topical argument.</w:t>
      </w:r>
    </w:p>
    <w:p>
      <w:pPr>
        <w:pStyle w:val="TextBody"/>
        <w:widowControl/>
        <w:bidi w:val="0"/>
        <w:ind w:left="0" w:right="0" w:firstLine="269"/>
        <w:jc w:val="both"/>
        <w:rPr/>
      </w:pPr>
      <w:r>
        <w:rPr/>
        <w:t>Contemporary inquiries into the relation between grounding and consequence include the employment of consequence relations to define ground,</w:t>
      </w:r>
      <w:r>
        <w:rPr>
          <w:rStyle w:val="FootnoteAnchor"/>
        </w:rPr>
        <w:footnoteReference w:id="6"/>
      </w:r>
      <w:r>
        <w:rPr/>
        <w:t xml:space="preserve"> appeals to a notion of grounding to define logical consequence,</w:t>
      </w:r>
      <w:r>
        <w:rPr>
          <w:rStyle w:val="FootnoteAnchor"/>
        </w:rPr>
        <w:footnoteReference w:id="7"/>
      </w:r>
      <w:r>
        <w:rPr/>
        <w:t xml:space="preserve"> and the use of consequence relations to determine the relation grounding holds to other important concepts.</w:t>
      </w:r>
      <w:r>
        <w:rPr>
          <w:rStyle w:val="FootnoteAnchor"/>
        </w:rPr>
        <w:footnoteReference w:id="8"/>
      </w:r>
      <w:r>
        <w:rPr/>
        <w:t xml:space="preserve"> In what follows, I’ll be focusing on how the consequence relation itself was grounded in the medieval period.</w:t>
      </w:r>
    </w:p>
    <w:p>
      <w:pPr>
        <w:pStyle w:val="TextBody"/>
        <w:widowControl/>
        <w:bidi w:val="0"/>
        <w:ind w:left="0" w:right="0" w:firstLine="269"/>
        <w:jc w:val="both"/>
        <w:rPr/>
      </w:pPr>
      <w:r>
        <w:rPr/>
        <w:t>The order of the paper is as follows: I begin by providing a basic introduction to consequences in medieval philosophy. From there, I survey the changes in medieval groundings of consequence, arguing for the treatment of the medieval theories of topical argument and supposition as theories whose intent was that of providing a proximate, and in some cases fundamental, foundation for a theory of inference. In doing so, we find are two important shifts: the first from a non-unified, topics-based grounding of consequence to one based on the theory of supposition; the second, within the supposition-based theory, from a shift in the understanding of personal supposition - specifically, from an interpretation of it licensing appeal to concepts to one based wholly on a sparse ontology of individuals.</w:t>
      </w:r>
    </w:p>
    <w:p>
      <w:pPr>
        <w:pStyle w:val="Heading1"/>
        <w:widowControl/>
        <w:bidi w:val="0"/>
        <w:ind w:left="0" w:right="0" w:hanging="0"/>
        <w:jc w:val="both"/>
        <w:rPr/>
      </w:pPr>
      <w:r>
        <w:rPr/>
        <w:t xml:space="preserve">2 </w:t>
      </w:r>
      <w:bookmarkStart w:id="1" w:name="formal-consequence-in-modern-and-later-m"/>
      <w:r>
        <w:rPr/>
        <w:t>Formal consequence in modern and later medieval logic</w:t>
      </w:r>
      <w:bookmarkEnd w:id="1"/>
    </w:p>
    <w:p>
      <w:pPr>
        <w:pStyle w:val="FirstParagraph"/>
        <w:widowControl/>
        <w:bidi w:val="0"/>
        <w:ind w:left="0" w:right="0" w:firstLine="269"/>
        <w:jc w:val="both"/>
        <w:rPr/>
      </w:pPr>
      <w:r>
        <w:rPr/>
        <w:t xml:space="preserve">To begin, it will be useful to consider what theories of consequence are fundamentally meant to be theories </w:t>
      </w:r>
      <w:r>
        <w:rPr>
          <w:i/>
        </w:rPr>
        <w:t>of</w:t>
      </w:r>
      <w:r>
        <w:rPr/>
        <w:t>. Since the early 20th century, discussion of consequence has centered on formal consequence, commonly identified with logical consequence.</w:t>
      </w:r>
      <w:r>
        <w:rPr>
          <w:rStyle w:val="FootnoteAnchor"/>
        </w:rPr>
        <w:footnoteReference w:id="9"/>
      </w:r>
      <w:r>
        <w:rPr/>
        <w:t xml:space="preserve"> Such a consequence may be defined model-theoretically as one where every model of the antecedent is a model of the consequent,</w:t>
      </w:r>
      <w:r>
        <w:rPr>
          <w:rStyle w:val="FootnoteAnchor"/>
        </w:rPr>
        <w:footnoteReference w:id="10"/>
      </w:r>
      <w:r>
        <w:rPr/>
        <w:t xml:space="preserve"> or proof-theoretically, e.g. as one where the consequent follows from the antecedent via the strict application of the rules of a given proof-system</w:t>
      </w:r>
      <w:r>
        <w:rPr>
          <w:rStyle w:val="FootnoteAnchor"/>
        </w:rPr>
        <w:footnoteReference w:id="11"/>
      </w:r>
      <w:r>
        <w:rPr/>
        <w:t xml:space="preserve"> or in other ways.</w:t>
      </w:r>
      <w:r>
        <w:rPr>
          <w:rStyle w:val="FootnoteAnchor"/>
        </w:rPr>
        <w:footnoteReference w:id="12"/>
      </w:r>
    </w:p>
    <w:p>
      <w:pPr>
        <w:pStyle w:val="TextBody"/>
        <w:widowControl/>
        <w:bidi w:val="0"/>
        <w:ind w:left="0" w:right="0" w:firstLine="269"/>
        <w:jc w:val="both"/>
        <w:rPr/>
      </w:pPr>
      <w:r>
        <w:rPr/>
        <w:t>The modern semantic notion of formal consequence derived from Tarski is a modification of condition (F) he presents in his ‘On the concept of Following Logically’:</w:t>
      </w:r>
    </w:p>
    <w:p>
      <w:pPr>
        <w:pStyle w:val="BlockText"/>
        <w:widowControl/>
        <w:bidi w:val="0"/>
        <w:spacing w:before="100" w:after="100"/>
        <w:ind w:left="180" w:right="0" w:hanging="0"/>
        <w:jc w:val="both"/>
        <w:rPr/>
      </w:pPr>
      <w:r>
        <w:rPr/>
        <w:t xml:space="preserve">If in sentences of the class </w:t>
      </w:r>
      <w:r>
        <w:rPr/>
      </w:r>
      <m:oMath xmlns:m="http://schemas.openxmlformats.org/officeDocument/2006/math">
        <m:r>
          <w:rPr>
            <w:rFonts w:ascii="Cambria Math" w:hAnsi="Cambria Math"/>
          </w:rPr>
          <m:t xml:space="preserve">K</m:t>
        </m:r>
      </m:oMath>
      <w:r>
        <w:rPr/>
        <w:t xml:space="preserve"> and in the sentence X we replace the constant terms which are not general-logical terms correspondingly by arbitrary other constant terms (where we replace equiform constants everywhere by equiform constants ) and in this way we obtain a new class of sentences </w:t>
      </w:r>
      <w:r>
        <w:rPr/>
      </w:r>
      <m:oMath xmlns:m="http://schemas.openxmlformats.org/officeDocument/2006/math">
        <m:r>
          <w:rPr>
            <w:rFonts w:ascii="Cambria Math" w:hAnsi="Cambria Math"/>
          </w:rPr>
          <m:t xml:space="preserve">K</m:t>
        </m:r>
        <m:r>
          <w:rPr>
            <w:rFonts w:ascii="Cambria Math" w:hAnsi="Cambria Math"/>
          </w:rPr>
          <m:t xml:space="preserve">′</m:t>
        </m:r>
      </m:oMath>
      <w:r>
        <w:rPr/>
        <w:t xml:space="preserve"> and a new sentence </w:t>
      </w:r>
      <w:r>
        <w:rPr/>
      </w:r>
      <m:oMath xmlns:m="http://schemas.openxmlformats.org/officeDocument/2006/math">
        <m:r>
          <w:rPr>
            <w:rFonts w:ascii="Cambria Math" w:hAnsi="Cambria Math"/>
          </w:rPr>
          <m:t xml:space="preserve">X</m:t>
        </m:r>
        <m:r>
          <w:rPr>
            <w:rFonts w:ascii="Cambria Math" w:hAnsi="Cambria Math"/>
          </w:rPr>
          <m:t xml:space="preserve">′</m:t>
        </m:r>
      </m:oMath>
      <w:r>
        <w:rPr/>
        <w:t xml:space="preserve"> , then the sentence </w:t>
      </w:r>
      <w:r>
        <w:rPr/>
      </w:r>
      <m:oMath xmlns:m="http://schemas.openxmlformats.org/officeDocument/2006/math">
        <m:r>
          <w:rPr>
            <w:rFonts w:ascii="Cambria Math" w:hAnsi="Cambria Math"/>
          </w:rPr>
          <m:t xml:space="preserve">X</m:t>
        </m:r>
        <m:r>
          <w:rPr>
            <w:rFonts w:ascii="Cambria Math" w:hAnsi="Cambria Math"/>
          </w:rPr>
          <m:t xml:space="preserve">′</m:t>
        </m:r>
      </m:oMath>
      <w:r>
        <w:rPr/>
        <w:t xml:space="preserve"> must be true if only all sentences of the class </w:t>
      </w:r>
      <w:r>
        <w:rPr/>
      </w:r>
      <m:oMath xmlns:m="http://schemas.openxmlformats.org/officeDocument/2006/math">
        <m:r>
          <w:rPr>
            <w:rFonts w:ascii="Cambria Math" w:hAnsi="Cambria Math"/>
          </w:rPr>
          <m:t xml:space="preserve">K</m:t>
        </m:r>
        <m:r>
          <w:rPr>
            <w:rFonts w:ascii="Cambria Math" w:hAnsi="Cambria Math"/>
          </w:rPr>
          <m:t xml:space="preserve">′</m:t>
        </m:r>
      </m:oMath>
      <w:r>
        <w:rPr/>
        <w:t xml:space="preserve"> are true.</w:t>
      </w:r>
      <w:r>
        <w:rPr>
          <w:rStyle w:val="FootnoteAnchor"/>
        </w:rPr>
        <w:footnoteReference w:id="13"/>
      </w:r>
    </w:p>
    <w:p>
      <w:pPr>
        <w:pStyle w:val="FirstParagraph"/>
        <w:widowControl/>
        <w:bidi w:val="0"/>
        <w:ind w:left="0" w:right="0" w:hanging="0"/>
        <w:jc w:val="both"/>
        <w:rPr/>
      </w:pPr>
      <w:r>
        <w:rPr/>
        <w:t>(F), in turn, is substantially identical with a medieval account of consequence found in the work of John Buridan which was common at the University of Paris and other continental universities in the fourteenth century. As Buridan puts it:</w:t>
      </w:r>
    </w:p>
    <w:p>
      <w:pPr>
        <w:pStyle w:val="BlockText"/>
        <w:widowControl/>
        <w:bidi w:val="0"/>
        <w:spacing w:before="100" w:after="100"/>
        <w:ind w:left="180" w:right="0" w:hanging="0"/>
        <w:jc w:val="both"/>
        <w:rPr/>
      </w:pPr>
      <w:r>
        <w:rPr/>
        <w:t>A consequence is called formal if it is valid in all terms retaining a similar form. Or if you want to put it explicitly, a formal consequence is one where every proposition similar in form that might be formed would be a good consequence, e.g. ‘That which is A is B, so that which is B is A.’</w:t>
      </w:r>
      <w:r>
        <w:rPr>
          <w:rStyle w:val="FootnoteAnchor"/>
        </w:rPr>
        <w:footnoteReference w:id="14"/>
      </w:r>
    </w:p>
    <w:p>
      <w:pPr>
        <w:pStyle w:val="FirstParagraph"/>
        <w:widowControl/>
        <w:bidi w:val="0"/>
        <w:ind w:left="0" w:right="0" w:hanging="0"/>
        <w:jc w:val="both"/>
        <w:rPr/>
      </w:pPr>
      <w:r>
        <w:rPr/>
        <w:t>Here ‘retaining a similar form’ is cashed out in terms of uniform substitution over categorematic terms - those terms whose primary function is to signify some being, rather than to provide structure to other elements in a proposition - and a consequence is good if it is impossible for things to be as its antecedent signifies without being as its consequent signifies.</w:t>
      </w:r>
    </w:p>
    <w:p>
      <w:pPr>
        <w:pStyle w:val="TextBody"/>
        <w:widowControl/>
        <w:bidi w:val="0"/>
        <w:ind w:left="0" w:right="0" w:firstLine="269"/>
        <w:jc w:val="both"/>
        <w:rPr/>
      </w:pPr>
      <w:r>
        <w:rPr/>
        <w:t>The medieval theory differs from its modern counterpart in that it presupposes a notion of ‘good consequence’ broader than that involved in logical validity, also including material consequence. Good material consequences include those, like ‘Socrates is Athenian. Therefore he is Greek’ where the conclusion is inferred from premises with the aid of a further unstated premise or premises.</w:t>
      </w:r>
    </w:p>
    <w:p>
      <w:pPr>
        <w:pStyle w:val="TextBody"/>
        <w:widowControl/>
        <w:bidi w:val="0"/>
        <w:ind w:left="0" w:right="0" w:firstLine="269"/>
        <w:jc w:val="both"/>
        <w:rPr/>
      </w:pPr>
      <w:r>
        <w:rPr/>
        <w:t>In all of the above ways of defining formal consequence, the syntactic elements of a consequence are partitioned into logical and non-logical, and the exact interpretation of the non-logical elements of a consequence is varied or left indeterminate so as to focus on what is demanded by the interpretation of its logical elements.</w:t>
      </w:r>
      <w:r>
        <w:rPr>
          <w:rStyle w:val="FootnoteAnchor"/>
        </w:rPr>
        <w:footnoteReference w:id="15"/>
      </w:r>
      <w:r>
        <w:rPr/>
        <w:t xml:space="preserve"> Given the centrality of formal consequence to modern thinking about the notion, I think it’s fair to say that the dominant intention among these theories of consequence has been to provide a theory of validity.</w:t>
      </w:r>
      <w:r>
        <w:rPr>
          <w:rStyle w:val="FootnoteAnchor"/>
        </w:rPr>
        <w:footnoteReference w:id="16"/>
      </w:r>
      <w:r>
        <w:rPr/>
        <w:t xml:space="preserve"> And though this is less the case with the later medieval theory of consequences in general, one can see, given the achievement that Buridan’s theory of formal consequence effected specifically, how the later modern focus could have developed out of it.</w:t>
      </w:r>
      <w:r>
        <w:rPr>
          <w:rStyle w:val="FootnoteAnchor"/>
        </w:rPr>
        <w:footnoteReference w:id="17"/>
      </w:r>
    </w:p>
    <w:p>
      <w:pPr>
        <w:pStyle w:val="Heading1"/>
        <w:widowControl/>
        <w:bidi w:val="0"/>
        <w:ind w:left="0" w:right="0" w:hanging="0"/>
        <w:jc w:val="both"/>
        <w:rPr/>
      </w:pPr>
      <w:r>
        <w:rPr/>
        <w:t xml:space="preserve">3 </w:t>
      </w:r>
      <w:bookmarkStart w:id="2" w:name="the-roots-of-medieval-consequentiae-in-h"/>
      <w:r>
        <w:rPr/>
        <w:t xml:space="preserve">The roots of medieval </w:t>
      </w:r>
      <w:r>
        <w:rPr>
          <w:i/>
        </w:rPr>
        <w:t>consequentiae</w:t>
      </w:r>
      <w:r>
        <w:rPr/>
        <w:t xml:space="preserve"> in hypothetical syllogistic and topical argument</w:t>
      </w:r>
      <w:bookmarkEnd w:id="2"/>
    </w:p>
    <w:p>
      <w:pPr>
        <w:pStyle w:val="FirstParagraph"/>
        <w:widowControl/>
        <w:bidi w:val="0"/>
        <w:ind w:left="0" w:right="0" w:firstLine="269"/>
        <w:jc w:val="both"/>
        <w:rPr/>
      </w:pPr>
      <w:r>
        <w:rPr/>
        <w:t>It may come as a surprise, then, that this focus on validity only arises fairly late in medieval logic - from the time of Abaelard in the twelfth century to the early fourteenth century work of Walter Burley, the dominant division of consequences is not into formal and material, but natural and accidental.</w:t>
      </w:r>
      <w:r>
        <w:rPr>
          <w:rStyle w:val="FootnoteAnchor"/>
        </w:rPr>
        <w:footnoteReference w:id="18"/>
      </w:r>
    </w:p>
    <w:p>
      <w:pPr>
        <w:pStyle w:val="TextBody"/>
        <w:widowControl/>
        <w:bidi w:val="0"/>
        <w:ind w:left="0" w:right="0" w:firstLine="269"/>
        <w:jc w:val="both"/>
        <w:rPr/>
      </w:pPr>
      <w:r>
        <w:rPr/>
        <w:t xml:space="preserve">Among the earliest work which we might classify under the banner of consequence (but which the medievals employing it did not), one finds work on categorical syllogisms, hypothetical syllogisms, topical argument, and fallacies. Boethius’ </w:t>
      </w:r>
      <w:r>
        <w:rPr>
          <w:i/>
        </w:rPr>
        <w:t>On the Categorical Syllogism</w:t>
      </w:r>
      <w:r>
        <w:rPr/>
        <w:t xml:space="preserve"> follows Aristotle in defining the syllogism as ‘discourse in which, certain things having been put forth and conceded, something other than those which have been put forth and conceded, comes about through those same which have been conceded.’</w:t>
      </w:r>
      <w:r>
        <w:rPr>
          <w:rStyle w:val="FootnoteAnchor"/>
        </w:rPr>
        <w:footnoteReference w:id="19"/>
      </w:r>
      <w:r>
        <w:rPr/>
        <w:t>. In expounding Aristotle’s definition, Boethius excludes one-premise arguments, reflexive arguments where the conclusion is identical with one of the argument’s premises, and arguments including irrelevant premises.</w:t>
      </w:r>
      <w:r>
        <w:rPr>
          <w:rStyle w:val="FootnoteAnchor"/>
        </w:rPr>
        <w:footnoteReference w:id="20"/>
      </w:r>
      <w:r>
        <w:rPr/>
        <w:t xml:space="preserve"> Though there is some debate concerning whether Aristotle meant his </w:t>
      </w:r>
      <w:r>
        <w:rPr>
          <w:i/>
        </w:rPr>
        <w:t>Analytics</w:t>
      </w:r>
      <w:r>
        <w:rPr/>
        <w:t xml:space="preserve"> to cover deductive argument generally or only the restricted set of arguments we today would call ‘syllogisms’, Boethius’ discussion of categorical syllogisms works with the more restricted understanding.</w:t>
      </w:r>
    </w:p>
    <w:p>
      <w:pPr>
        <w:pStyle w:val="TextBody"/>
        <w:widowControl/>
        <w:bidi w:val="0"/>
        <w:ind w:left="0" w:right="0" w:firstLine="269"/>
        <w:jc w:val="both"/>
        <w:rPr/>
      </w:pPr>
      <w:r>
        <w:rPr/>
        <w:t>Neither ‘</w:t>
      </w:r>
      <w:r>
        <w:rPr>
          <w:i/>
        </w:rPr>
        <w:t>consequentia</w:t>
      </w:r>
      <w:r>
        <w:rPr/>
        <w:t xml:space="preserve">’ nor its variants occur in the aforementioned work. But they occur frequently in Boethius’ </w:t>
      </w:r>
      <w:r>
        <w:rPr>
          <w:i/>
        </w:rPr>
        <w:t>On Differential Topics</w:t>
      </w:r>
      <w:r>
        <w:rPr/>
        <w:t xml:space="preserve"> and especially his </w:t>
      </w:r>
      <w:r>
        <w:rPr>
          <w:i/>
        </w:rPr>
        <w:t>On Hypothetical Syllogisms</w:t>
      </w:r>
      <w:r>
        <w:rPr/>
        <w:t>, and it is here that we begin to find the rudiments of a theory of consequence.</w:t>
      </w:r>
    </w:p>
    <w:p>
      <w:pPr>
        <w:pStyle w:val="TextBody"/>
        <w:widowControl/>
        <w:bidi w:val="0"/>
        <w:ind w:left="0" w:right="0" w:firstLine="269"/>
        <w:jc w:val="both"/>
        <w:rPr/>
      </w:pPr>
      <w:r>
        <w:rPr/>
        <w:t xml:space="preserve">In the </w:t>
      </w:r>
      <w:r>
        <w:rPr>
          <w:i/>
        </w:rPr>
        <w:t>On Hypothetical Syllogisms</w:t>
      </w:r>
      <w:r>
        <w:rPr/>
        <w:t>, Boethius takes the Latin ‘</w:t>
      </w:r>
      <w:r>
        <w:rPr>
          <w:i/>
        </w:rPr>
        <w:t>conditionalis</w:t>
      </w:r>
      <w:r>
        <w:rPr/>
        <w:t>’ to mean the same as the Greek ‘</w:t>
      </w:r>
      <w:r>
        <w:rPr>
          <w:i/>
        </w:rPr>
        <w:t>hypothetica</w:t>
      </w:r>
      <w:r>
        <w:rPr/>
        <w:t>’. But since he counts not only conditionals in the modern sense, but also disjunctions among hypothetical propositions (on the grounds that ‘A or B’ is equivalent to ‘If A, then not B’), Boethius’ understanding of what a conditional proposition is must differ from the syntactic definition employed today.</w:t>
      </w:r>
      <w:r>
        <w:rPr>
          <w:rStyle w:val="FootnoteAnchor"/>
        </w:rPr>
        <w:footnoteReference w:id="21"/>
      </w:r>
      <w:r>
        <w:rPr/>
        <w:t xml:space="preserve"> Boethius distinguishes conditional from categorical propositions by saying that ‘in a conditional, the nature of a consequence’ rather that that of a predication, ‘is assumed from the condition,’</w:t>
      </w:r>
      <w:r>
        <w:rPr>
          <w:rStyle w:val="FootnoteAnchor"/>
        </w:rPr>
        <w:footnoteReference w:id="22"/>
      </w:r>
      <w:r>
        <w:rPr/>
        <w:t xml:space="preserve"> and further distinguishes consequences that follow only accidentally - his example is ‘if fire is hot, the heavens are round’ - from those, such as ‘if it’s a man, it’s an animal’ that follow from nature.</w:t>
      </w:r>
      <w:r>
        <w:rPr>
          <w:rStyle w:val="FootnoteAnchor"/>
        </w:rPr>
        <w:footnoteReference w:id="23"/>
      </w:r>
      <w:r>
        <w:rPr/>
        <w:t xml:space="preserve"> Given his inclusion of accidental, irrelevant inferences in the domain of consequences, and the absence of the term ‘consequence’ in Boethius’ work on the categorical syllogism, one can infer that though Boethius didn’t </w:t>
      </w:r>
      <w:r>
        <w:rPr>
          <w:i/>
        </w:rPr>
        <w:t>identify</w:t>
      </w:r>
      <w:r>
        <w:rPr/>
        <w:t xml:space="preserve"> conditionals with consequences, he likely associated the two in such a way as to exclude categorical syllogisms and consequences from each others’ respective domains.</w:t>
      </w:r>
      <w:r>
        <w:rPr>
          <w:rStyle w:val="FootnoteAnchor"/>
        </w:rPr>
        <w:footnoteReference w:id="24"/>
      </w:r>
    </w:p>
    <w:p>
      <w:pPr>
        <w:pStyle w:val="TextBody"/>
        <w:widowControl/>
        <w:bidi w:val="0"/>
        <w:ind w:left="0" w:right="0" w:firstLine="269"/>
        <w:jc w:val="both"/>
        <w:rPr/>
      </w:pPr>
      <w:r>
        <w:rPr/>
        <w:t xml:space="preserve">In both the </w:t>
      </w:r>
      <w:r>
        <w:rPr>
          <w:i/>
        </w:rPr>
        <w:t>On Hypothetical Syllogisms</w:t>
      </w:r>
      <w:r>
        <w:rPr/>
        <w:t xml:space="preserve"> and the </w:t>
      </w:r>
      <w:r>
        <w:rPr>
          <w:i/>
        </w:rPr>
        <w:t>On Differential Topics</w:t>
      </w:r>
      <w:r>
        <w:rPr/>
        <w:t>, Boethius divides the hypothetical proposition into four types according to the quality of its antecedent and consequent: A positive proposition following from a positive, a negative from a negative, a negative from a positive, and a positive from a negative</w:t>
      </w:r>
      <w:r>
        <w:rPr>
          <w:rStyle w:val="FootnoteAnchor"/>
        </w:rPr>
        <w:footnoteReference w:id="25"/>
      </w:r>
      <w:r>
        <w:rPr>
          <w:rStyle w:val="FootnoteAnchor"/>
        </w:rPr>
        <w:footnoteReference w:id="26"/>
      </w:r>
      <w:r>
        <w:rPr/>
        <w:t>. At first glance, this appears to be both arbitrary and incomplete: Boethius applies the division solely to hypothetical propositions whose immediate parts are atomic, and the division has also been taken to suggest that Boethius conflates the denial of a consequent with the denial of a consequence as a whole.</w:t>
      </w:r>
      <w:r>
        <w:rPr>
          <w:rStyle w:val="FootnoteAnchor"/>
        </w:rPr>
        <w:footnoteReference w:id="27"/>
      </w:r>
      <w:r>
        <w:rPr/>
        <w:t xml:space="preserve"> These points aren’t wrong, but we can better understand the intent of this fourfold division by reading Boethius’ account of hypothetical syllogisms in light of his theory of topical argument.</w:t>
      </w:r>
    </w:p>
    <w:p>
      <w:pPr>
        <w:pStyle w:val="TextBody"/>
        <w:widowControl/>
        <w:bidi w:val="0"/>
        <w:ind w:left="0" w:right="0" w:firstLine="269"/>
        <w:jc w:val="both"/>
        <w:rPr/>
      </w:pPr>
      <w:r>
        <w:rPr/>
        <w:t>Following Themistius, Boethius defines a topic as ‘the seat of an argument’, and an argument as ‘a reason granting credence to a doubtful matter.’</w:t>
      </w:r>
      <w:r>
        <w:rPr>
          <w:rStyle w:val="FootnoteAnchor"/>
        </w:rPr>
        <w:footnoteReference w:id="28"/>
      </w:r>
      <w:r>
        <w:rPr/>
        <w:t xml:space="preserve"> Boethius’ use of several key terms here differs substantially from modern usage. In his discussion of the term ‘argument’ Boethius distinguishes argument in the sense of what is put forth (</w:t>
      </w:r>
      <w:r>
        <w:rPr>
          <w:i/>
        </w:rPr>
        <w:t>argumentum</w:t>
      </w:r>
      <w:r>
        <w:rPr/>
        <w:t>) from argument in the sense of a speech putting forth an argument in the previous sense (</w:t>
      </w:r>
      <w:r>
        <w:rPr>
          <w:i/>
        </w:rPr>
        <w:t>argumentatio</w:t>
      </w:r>
      <w:r>
        <w:rPr/>
        <w:t>).</w:t>
      </w:r>
      <w:r>
        <w:rPr>
          <w:rStyle w:val="FootnoteAnchor"/>
        </w:rPr>
        <w:footnoteReference w:id="29"/>
      </w:r>
      <w:r>
        <w:rPr/>
        <w:t xml:space="preserve"> But what he means by ‘argument’ also differs from what we would mean by the term in the first sense: he states, for instance, that a conclusion is a proposition established by arguments (note the plural);</w:t>
      </w:r>
      <w:r>
        <w:rPr>
          <w:rStyle w:val="FootnoteAnchor"/>
        </w:rPr>
        <w:footnoteReference w:id="30"/>
      </w:r>
      <w:r>
        <w:rPr/>
        <w:t xml:space="preserve"> that ‘if something is added to any thing, the whole is made greater’ is an example of an argument that is both necessary and plausible (</w:t>
      </w:r>
      <w:r>
        <w:rPr>
          <w:i/>
        </w:rPr>
        <w:t>probabilis</w:t>
      </w:r>
      <w:r>
        <w:rPr/>
        <w:t xml:space="preserve">), and argues, against the claim that all arguments must be plausible, that more advanced theorems of geometry may still serve as </w:t>
      </w:r>
      <w:r>
        <w:rPr>
          <w:i/>
        </w:rPr>
        <w:t>argumenta</w:t>
      </w:r>
      <w:r>
        <w:rPr/>
        <w:t xml:space="preserve"> for conclusions that follow from them even to one who has failed to grasp their necessity.</w:t>
      </w:r>
      <w:r>
        <w:rPr>
          <w:rStyle w:val="FootnoteAnchor"/>
        </w:rPr>
        <w:footnoteReference w:id="31"/>
      </w:r>
    </w:p>
    <w:p>
      <w:pPr>
        <w:pStyle w:val="TextBody"/>
        <w:widowControl/>
        <w:bidi w:val="0"/>
        <w:ind w:left="0" w:right="0" w:firstLine="269"/>
        <w:jc w:val="both"/>
        <w:rPr/>
      </w:pPr>
      <w:r>
        <w:rPr/>
        <w:t xml:space="preserve">Later, Boethius will say that the term </w:t>
      </w:r>
      <w:r>
        <w:rPr>
          <w:i/>
        </w:rPr>
        <w:t>argumentum</w:t>
      </w:r>
      <w:r>
        <w:rPr/>
        <w:t xml:space="preserve"> is ambiguous between two meanings: that of a maximal proposition, and that of the difference of such a proposition. By the former, he means a general proposition whose truth is grasped immediately which serves to derive more specific claims less sure than it, e.g. ‘equals subtracted from equals are equal’ - or, in the absence of a proposition whose truth is immediately known, one whose plausibility is sufficiently vouched for, e.g. by an artisan within his proper domain. In its second sense, an argument is that feature, thing, or relation principally appealed to in the formulation of a maximal proposition, e.g. equality.</w:t>
      </w:r>
      <w:r>
        <w:rPr>
          <w:rStyle w:val="FootnoteAnchor"/>
        </w:rPr>
        <w:footnoteReference w:id="32"/>
      </w:r>
      <w:r>
        <w:rPr/>
        <w:t xml:space="preserve"> Since a topic is the seat of an argument, it is then understood as the seat of a maximal proposition, and thereby of the difference of such a proposition. Understood as such, the theory aims to provide an account of the fundamental propositions to be appealed to in an argument, and the real features on account of which these hold in whatever way they do. It is in this sense that the earlier medieval theory of topics should be understood as a theory for grounding consequence.</w:t>
      </w:r>
    </w:p>
    <w:p>
      <w:pPr>
        <w:pStyle w:val="TextBody"/>
        <w:widowControl/>
        <w:bidi w:val="0"/>
        <w:ind w:left="0" w:right="0" w:firstLine="269"/>
        <w:jc w:val="both"/>
        <w:rPr/>
      </w:pPr>
      <w:r>
        <w:rPr/>
        <w:t xml:space="preserve">Following the Aristotelian commentator Themistius, Boethius divides topics into intrinsic, extrinsic and middle topics, in accordance with the kinds of media, or </w:t>
      </w:r>
      <w:r>
        <w:rPr>
          <w:i/>
        </w:rPr>
        <w:t>middles</w:t>
      </w:r>
      <w:r>
        <w:rPr/>
        <w:t xml:space="preserve">, they employ to reach a given conclusion. In an intrinsic topic, the argument proceeds by eliciting some property, description, or relation belonging to what is signified in the minor term to confirm or remove what is suggested of it by a major term. Types of intrinsic topics include arguments from the predication of a species to the predication of a genus (e.g. ‘Adam is a man, therefore he is an animal’), from a predication of a description to what follows from it (e.g. ‘God is that than which nothing greater can be thought, therefore God exists’) or from the existence of a whole to that of its parts (e.g. ‘If there’s a house, there’s a roof, walls, and a foundation’). In an extrinsic topic, by contrast, one exploits a relation that the subject term of the desired conclusion bears to some other concept, constructs an argument about the latter, and thereafter leverages the original relation to infer something about the original subject one was inquiring about. Types of extrinsic topics include arguments from authority, from analogy, from various kinds of opposites, and </w:t>
      </w:r>
      <w:r>
        <w:rPr>
          <w:i/>
        </w:rPr>
        <w:t>a fortiori</w:t>
      </w:r>
      <w:r>
        <w:rPr/>
        <w:t>/</w:t>
      </w:r>
      <w:r>
        <w:rPr>
          <w:i/>
        </w:rPr>
        <w:t>a minori</w:t>
      </w:r>
      <w:r>
        <w:rPr/>
        <w:t xml:space="preserve"> arguments.</w:t>
      </w:r>
    </w:p>
    <w:p>
      <w:pPr>
        <w:pStyle w:val="TextBody"/>
        <w:widowControl/>
        <w:bidi w:val="0"/>
        <w:ind w:left="0" w:right="0" w:firstLine="269"/>
        <w:jc w:val="both"/>
        <w:rPr/>
      </w:pPr>
      <w:r>
        <w:rPr/>
        <w:t>Let’s return to the division of types of conditionals mentioned above. Boethius first discusses affirmations following from affirmations.</w:t>
      </w:r>
    </w:p>
    <w:p>
      <w:pPr>
        <w:pStyle w:val="BlockText"/>
        <w:widowControl/>
        <w:bidi w:val="0"/>
        <w:spacing w:before="100" w:after="100"/>
        <w:ind w:left="180" w:right="0" w:hanging="0"/>
        <w:jc w:val="both"/>
        <w:rPr/>
      </w:pPr>
      <w:r>
        <w:rPr/>
        <w:t>Now in order for one thing to precede and another to follow, in just these things it usually comes about as I recounted a little earlier. For a [1] genus, or [2] difference, or [3] definition, or [4] property, or [5] an inseparable accident follows from the species. Again, a species follows from the [6] property or [7] definition, the [8] difference and [9] definition follow from a property, and a [10] property or [11] difference follows from the definition in this way: for example, [1] if there’s a man, there’s an animal; and [2] if there’s a man, it’s rational; and [3] if there’s a man, there’s a mortal rational animal; and [4] if there’s a man, it’s risible; and [5] if there’s an Ethiopian, he’s black. [6] If [something] is risible, it’s a man; [7] if there’s a mortal rational animal, there’s a man. [8] If [something] is risible, it’s rational; [9] if [something] is risible, it’s a mortal rational animal; if there’s a mortal rational animal, it’s [10] risible or [11] two-footed.</w:t>
      </w:r>
      <w:r>
        <w:rPr>
          <w:rStyle w:val="FootnoteAnchor"/>
        </w:rPr>
        <w:footnoteReference w:id="33"/>
      </w:r>
    </w:p>
    <w:p>
      <w:pPr>
        <w:pStyle w:val="FirstParagraph"/>
        <w:widowControl/>
        <w:bidi w:val="0"/>
        <w:ind w:left="0" w:right="0" w:firstLine="269"/>
        <w:jc w:val="both"/>
        <w:rPr/>
      </w:pPr>
      <w:r>
        <w:rPr/>
        <w:t>We’ll consider two further passages before expounding. Moving to the case of arguments with both an affirmative and a negative, Boethius writes ‘of those cases that consist of an affirmation and a denial, that division is usually that they are comprised either of diverse genera, or diverse species, or of contraries, or of habit and privation.’</w:t>
      </w:r>
      <w:r>
        <w:rPr>
          <w:rStyle w:val="FootnoteAnchor"/>
        </w:rPr>
        <w:footnoteReference w:id="34"/>
      </w:r>
      <w:r>
        <w:rPr/>
        <w:t xml:space="preserve"> And considering arguments specifically from a negative to an affirmative, Boethius writes:</w:t>
      </w:r>
    </w:p>
    <w:p>
      <w:pPr>
        <w:pStyle w:val="BlockText"/>
        <w:widowControl/>
        <w:bidi w:val="0"/>
        <w:spacing w:before="100" w:after="100"/>
        <w:ind w:left="180" w:right="0" w:hanging="0"/>
        <w:jc w:val="both"/>
        <w:rPr/>
      </w:pPr>
      <w:r>
        <w:rPr/>
        <w:t>It cannot happen that an affirmation follows a denial …except in those contraries which lack a middle ground and where it is always necessary for one or the other of them to inhere, in this manner: if it is not day, it is night; if it is not dark, it is light.</w:t>
      </w:r>
      <w:r>
        <w:rPr>
          <w:rStyle w:val="FootnoteAnchor"/>
        </w:rPr>
        <w:footnoteReference w:id="35"/>
      </w:r>
    </w:p>
    <w:p>
      <w:pPr>
        <w:pStyle w:val="FirstParagraph"/>
        <w:widowControl/>
        <w:bidi w:val="0"/>
        <w:ind w:left="0" w:right="0" w:firstLine="269"/>
        <w:jc w:val="both"/>
        <w:rPr/>
      </w:pPr>
      <w:r>
        <w:rPr/>
        <w:t>Taken on its own, Boethius division of simple hypotheticals according to the quality of their antecedent and consequent appears trivial. But combined with remarks such as those above, we can begin to see what Boethius is attempting. The division is useful for Boethius because it lays the groundwork for an inquiry into what kind of real relations things signified by terms must stand in to each other in order for there to be relations of following among consequences they factor into. For instance, in an affirmative-to-affirmative consequent, the positing of a species, property, and difference follow reciprocally from each other, and one can move from the positing of a species to positing the corresponding genus, but not conversely. In arguments from an affirmation to a negation, different relations predominate, i.e. diversity of genus or species, contrariety, or that of privation and habit, and the conditions under which an argument from a negative antecedent to an affirmative consequent hold are a subset of those which hold for the converse case.</w:t>
      </w:r>
    </w:p>
    <w:p>
      <w:pPr>
        <w:pStyle w:val="TextBody"/>
        <w:widowControl/>
        <w:bidi w:val="0"/>
        <w:ind w:left="0" w:right="0" w:firstLine="269"/>
        <w:jc w:val="both"/>
        <w:rPr/>
      </w:pPr>
      <w:r>
        <w:rPr/>
        <w:t xml:space="preserve">The examples Boethius gives provide the theory’s paradigmatic use cases, but also reveal its limitations. When Boethius discusses consequences in both the </w:t>
      </w:r>
      <w:r>
        <w:rPr>
          <w:i/>
        </w:rPr>
        <w:t>On Differential Topics</w:t>
      </w:r>
      <w:r>
        <w:rPr/>
        <w:t xml:space="preserve"> and the </w:t>
      </w:r>
      <w:r>
        <w:rPr>
          <w:i/>
        </w:rPr>
        <w:t>On Hypothetical Syllogisms</w:t>
      </w:r>
      <w:r>
        <w:rPr/>
        <w:t xml:space="preserve">, the majority of cases he considers are arguments where the antecedent and consequent affirm or deny existence claims (e.g. ‘if it is day, it is not night’, ‘if there’s a man, there’s an animal’), substitute a predicate term in the consequent for a different one in the antecedent (e.g. ‘if it’s white, it’s colored’), or provide a consequent where the implied subject for a predicate posited or denied in the consequent is an anaphoric referent back to what is posited or denied in the antecedent (e.g. ‘if there’s an Ethiopian, he’s black’). Now in Latin, these different kinds of inferences frequently have the same syntactic form, i.e. ‘if </w:t>
      </w:r>
      <w:r>
        <w:rPr>
          <w:i/>
        </w:rPr>
        <w:t>a</w:t>
      </w:r>
      <w:r>
        <w:rPr/>
        <w:t xml:space="preserve"> is (not), </w:t>
      </w:r>
      <w:r>
        <w:rPr>
          <w:i/>
        </w:rPr>
        <w:t>b</w:t>
      </w:r>
      <w:r>
        <w:rPr/>
        <w:t xml:space="preserve"> is (not)’ (</w:t>
      </w:r>
      <w:r>
        <w:rPr>
          <w:i/>
        </w:rPr>
        <w:t>si a (non) est, b (non) est</w:t>
      </w:r>
      <w:r>
        <w:rPr/>
        <w:t xml:space="preserve">). From the preponderance of his examples, it is clear that Boethius primarily conceives of the </w:t>
      </w:r>
      <w:r>
        <w:rPr>
          <w:i/>
        </w:rPr>
        <w:t>relata</w:t>
      </w:r>
      <w:r>
        <w:rPr/>
        <w:t xml:space="preserve"> of consequence not as propositions or their contents, but as the referents of terms.</w:t>
      </w:r>
      <w:r>
        <w:rPr>
          <w:rStyle w:val="FootnoteAnchor"/>
        </w:rPr>
        <w:footnoteReference w:id="36"/>
      </w:r>
      <w:r>
        <w:rPr/>
        <w:t xml:space="preserve"> The advantage of such a theory is that it provides a grounding for why consequences with antecedents and consequents of a given quality hold: because the things signified by the terms posited or denied therein stand in relations like contrariety, that of a habit to its privation, that of a genus to a species, etc. The disadvantage is that the theory does not readily generalize to cover more complex cases, e.g. arguments with modal or non-atomic antecedents or consequents, those involving quantified or oblique terms, or those where the subject of the antecedent and consequent differ, e.g. ‘if the pilot of a ship should not be chosen by lot, neither should the governor of a city’ - Boethius’ own example of an argument by analogy.</w:t>
      </w:r>
      <w:r>
        <w:rPr>
          <w:rStyle w:val="FootnoteAnchor"/>
        </w:rPr>
        <w:footnoteReference w:id="37"/>
      </w:r>
      <w:r>
        <w:rPr/>
        <w:t xml:space="preserve"> More specifically, though Boethius discusses a wide variety of middle and extrinsic topics with illuminating examples, the less cohesive treatment he provides of these does not fit so naturally into the division of inferences he fleshes out in the </w:t>
      </w:r>
      <w:r>
        <w:rPr>
          <w:i/>
        </w:rPr>
        <w:t>On Hypothetical Syllogisms</w:t>
      </w:r>
      <w:r>
        <w:rPr/>
        <w:t>. Furthermore, to the degree that the theory grounds consequences in the varied relations that it does, it would seem to presuppose a fairly robust metaphysical framework in which these relations may obtain. It’s perhaps for these reasons that we begin to see alternative ways of grounding inference arise in the later medieval period.</w:t>
      </w:r>
    </w:p>
    <w:p>
      <w:pPr>
        <w:pStyle w:val="Heading1"/>
        <w:widowControl/>
        <w:bidi w:val="0"/>
        <w:ind w:left="0" w:right="0" w:hanging="0"/>
        <w:jc w:val="both"/>
        <w:rPr/>
      </w:pPr>
      <w:r>
        <w:rPr/>
        <w:t xml:space="preserve">3 </w:t>
      </w:r>
      <w:bookmarkStart w:id="3" w:name="medieval-consequence-and-the-theory-of-s"/>
      <w:r>
        <w:rPr/>
        <w:t>Medieval consequence and the theory of supposition</w:t>
      </w:r>
      <w:bookmarkEnd w:id="3"/>
    </w:p>
    <w:p>
      <w:pPr>
        <w:pStyle w:val="Heading2"/>
        <w:widowControl/>
        <w:bidi w:val="0"/>
        <w:ind w:left="0" w:right="0" w:hanging="0"/>
        <w:jc w:val="both"/>
        <w:rPr/>
      </w:pPr>
      <w:r>
        <w:rPr/>
        <w:t xml:space="preserve">3.1 </w:t>
      </w:r>
      <w:bookmarkStart w:id="4" w:name="canonical-supposition-theory-ockham-and-"/>
      <w:r>
        <w:rPr/>
        <w:t>Canonical supposition theory: Ockham and Buridan</w:t>
      </w:r>
      <w:bookmarkEnd w:id="4"/>
    </w:p>
    <w:p>
      <w:pPr>
        <w:pStyle w:val="FirstParagraph"/>
        <w:widowControl/>
        <w:bidi w:val="0"/>
        <w:ind w:left="0" w:right="0" w:firstLine="269"/>
        <w:jc w:val="both"/>
        <w:rPr/>
      </w:pPr>
      <w:r>
        <w:rPr/>
        <w:t xml:space="preserve">By the time the earliest treatises on consequences appear at the turn of the fourteenth century, the use of topics in discussions of consequence has been fundamentally altered by the development of </w:t>
      </w:r>
      <w:r>
        <w:rPr>
          <w:i/>
        </w:rPr>
        <w:t>supposition theory</w:t>
      </w:r>
      <w:r>
        <w:rPr/>
        <w:t xml:space="preserve"> - roughly analogous to modern theories of reference, but better understood as a theory governing the interpretation of terms in propositional contexts.</w:t>
      </w:r>
      <w:r>
        <w:rPr>
          <w:rStyle w:val="FootnoteAnchor"/>
        </w:rPr>
        <w:footnoteReference w:id="38"/>
      </w:r>
      <w:r>
        <w:rPr/>
        <w:t xml:space="preserve">. This shift brought about a simplification in the number of topics actually appealed to, with a vast number of inferences justified by rules like </w:t>
      </w:r>
      <w:r>
        <w:rPr>
          <w:i/>
        </w:rPr>
        <w:t>from an undistributed inferior to superior</w:t>
      </w:r>
      <w:r>
        <w:rPr/>
        <w:t xml:space="preserve">, and </w:t>
      </w:r>
      <w:r>
        <w:rPr>
          <w:i/>
        </w:rPr>
        <w:t>from a distributed superior to a distributed inferior</w:t>
      </w:r>
      <w:r>
        <w:rPr/>
        <w:t>, while also simplifying the account of what a maximal proposition is: a maximal proposition is simply a rule in virtue of which an inference holds.</w:t>
      </w:r>
      <w:r>
        <w:rPr>
          <w:rStyle w:val="FootnoteAnchor"/>
        </w:rPr>
        <w:footnoteReference w:id="39"/>
      </w:r>
    </w:p>
    <w:p>
      <w:pPr>
        <w:pStyle w:val="TextBody"/>
        <w:widowControl/>
        <w:bidi w:val="0"/>
        <w:ind w:left="0" w:right="0" w:firstLine="269"/>
        <w:jc w:val="both"/>
        <w:rPr/>
      </w:pPr>
      <w:r>
        <w:rPr/>
        <w:t>On one of the best known accounts, that of William of Ockham, supposition divides into three types: simple, material, and personal.</w:t>
      </w:r>
      <w:r>
        <w:rPr>
          <w:rStyle w:val="FootnoteAnchor"/>
        </w:rPr>
        <w:footnoteReference w:id="40"/>
      </w:r>
      <w:r>
        <w:rPr/>
        <w:t xml:space="preserve"> Personal supposition occurs when a term is taken to refer to what it signifies; simple, when a term refers to its concept (understood as an intention of the soul); material, when one refers to itself as a spoken utterance or written word. Other accounts, e.g. that of John Buridan, view simple supposition as a variety of material supposition. But on both views, Personal supposition is taken to be the most typical, and is interpreted as the term’s supposition for </w:t>
      </w:r>
      <w:r>
        <w:rPr>
          <w:i/>
        </w:rPr>
        <w:t>individuals</w:t>
      </w:r>
      <w:r>
        <w:rPr/>
        <w:t>.</w:t>
      </w:r>
      <w:r>
        <w:rPr>
          <w:rStyle w:val="FootnoteAnchor"/>
        </w:rPr>
        <w:footnoteReference w:id="41"/>
      </w:r>
      <w:r>
        <w:rPr/>
        <w:t xml:space="preserve"> On these accounts, determinate supposition of a term is interpreted in terms of the ability to descend to a disjunctive sentence where in each disjunction, the class term is replaced by the name of a different individual member of the class, with the number of disjuncts equal to the number of members. The case is similar for confused and distributed supposition, albeit employing conjunction.</w:t>
      </w:r>
    </w:p>
    <w:p>
      <w:pPr>
        <w:pStyle w:val="TextBody"/>
        <w:widowControl/>
        <w:bidi w:val="0"/>
        <w:ind w:left="0" w:right="0" w:firstLine="269"/>
        <w:jc w:val="both"/>
        <w:rPr/>
      </w:pPr>
      <w:r>
        <w:rPr/>
        <w:t>This standard view of how supposition works and the presumed priority it ascribes to personal supposition seem to be confirmed in an anonymous London consequence treatise - perhaps the earliest still extant - where the notion is only found in a part of the treatise asserting that convertible terms, e.g. ‘man’ and ‘risible’, share the same supposita.</w:t>
      </w:r>
      <w:r>
        <w:rPr>
          <w:rStyle w:val="FootnoteAnchor"/>
        </w:rPr>
        <w:footnoteReference w:id="42"/>
      </w:r>
      <w:r>
        <w:rPr/>
        <w:t xml:space="preserve"> The same pattern is found in Burley’s </w:t>
      </w:r>
      <w:r>
        <w:rPr>
          <w:i/>
        </w:rPr>
        <w:t>de consequentiis</w:t>
      </w:r>
      <w:r>
        <w:rPr/>
        <w:t>. Consider, for instance, the following passage on exceptive propositions:</w:t>
      </w:r>
    </w:p>
    <w:p>
      <w:pPr>
        <w:pStyle w:val="BlockText"/>
        <w:widowControl/>
        <w:bidi w:val="0"/>
        <w:spacing w:before="100" w:after="100"/>
        <w:ind w:left="180" w:right="0" w:hanging="0"/>
        <w:jc w:val="both"/>
        <w:rPr/>
      </w:pPr>
      <w:r>
        <w:rPr/>
        <w:t>With respect to the supposition of the predicate and subject in an exceptive, one should know that that from which the exception is taken, or the subject of the exceptive ... always stands confusedly and immovably with respect to the exception, and movably with respect to the predicate. With respect to the exception it stands immovably, because it is not possible to descend with respect to it; hence ‘every man besides Socrates runs, therefore Plato besides Socrates runs’ does not follow. With respect to the predicate it is possible to descend, since every man besides Socrates runs, therefore Plato runs, and so on for singulars.’</w:t>
      </w:r>
      <w:r>
        <w:rPr>
          <w:rStyle w:val="FootnoteAnchor"/>
        </w:rPr>
        <w:footnoteReference w:id="43"/>
      </w:r>
      <w:r>
        <w:rPr/>
        <w:t>.</w:t>
      </w:r>
    </w:p>
    <w:p>
      <w:pPr>
        <w:pStyle w:val="FirstParagraph"/>
        <w:widowControl/>
        <w:bidi w:val="0"/>
        <w:ind w:left="0" w:right="0" w:hanging="0"/>
        <w:jc w:val="both"/>
        <w:rPr/>
      </w:pPr>
      <w:r>
        <w:rPr/>
        <w:t>This passage also makes clear that the supposition of a term is given relative to another term or terms which are held fixed. Thus, a term’s supposition may differ based on what terms it is being considered with respect to.</w:t>
      </w:r>
    </w:p>
    <w:p>
      <w:pPr>
        <w:pStyle w:val="Heading2"/>
        <w:widowControl/>
        <w:bidi w:val="0"/>
        <w:ind w:left="0" w:right="0" w:hanging="0"/>
        <w:jc w:val="both"/>
        <w:rPr/>
      </w:pPr>
      <w:r>
        <w:rPr/>
        <w:t xml:space="preserve">3.2 </w:t>
      </w:r>
      <w:bookmarkStart w:id="5" w:name="the-parisian-de-consequentiis"/>
      <w:r>
        <w:rPr/>
        <w:t xml:space="preserve">The Parisian </w:t>
      </w:r>
      <w:r>
        <w:rPr>
          <w:i/>
        </w:rPr>
        <w:t>De consequentiis</w:t>
      </w:r>
      <w:bookmarkEnd w:id="5"/>
    </w:p>
    <w:p>
      <w:pPr>
        <w:pStyle w:val="FirstParagraph"/>
        <w:widowControl/>
        <w:bidi w:val="0"/>
        <w:ind w:left="0" w:right="0" w:firstLine="269"/>
        <w:jc w:val="both"/>
        <w:rPr/>
      </w:pPr>
      <w:r>
        <w:rPr/>
        <w:t>Given the close connection between the rise of theories of supposition and those of consequence, it is surprising to find that the approaches to supposition in early discussions of consequence can diverge from the standard Ockham-Buridan model, sometimes significantly. In an anonymous work on consequences in Paris, BN lat. 16130, in the majority of cases where the term ‘supposition’ is mentioned one finds that what is taken to supposit is a term or concept. Consider, for instance, the following:</w:t>
      </w:r>
    </w:p>
    <w:p>
      <w:pPr>
        <w:pStyle w:val="BlockText"/>
        <w:widowControl/>
        <w:bidi w:val="0"/>
        <w:spacing w:before="100" w:after="100"/>
        <w:ind w:left="180" w:right="0" w:hanging="0"/>
        <w:jc w:val="both"/>
        <w:rPr/>
      </w:pPr>
      <w:r>
        <w:rPr/>
        <w:t xml:space="preserve">I show the consequence ‘a man is a white man, therefore a man is white’ by this rule: positing </w:t>
      </w:r>
      <w:r>
        <w:rPr>
          <w:i/>
        </w:rPr>
        <w:t>per accidens</w:t>
      </w:r>
      <w:r>
        <w:rPr/>
        <w:t xml:space="preserve">, also posits per se. But ‘white man’ is a suppositum </w:t>
      </w:r>
      <w:r>
        <w:rPr>
          <w:i/>
        </w:rPr>
        <w:t>per accidens</w:t>
      </w:r>
      <w:r>
        <w:rPr/>
        <w:t xml:space="preserve"> of something. With respect to the same, ‘white’ is also posited.</w:t>
      </w:r>
      <w:r>
        <w:rPr>
          <w:rStyle w:val="FootnoteAnchor"/>
        </w:rPr>
        <w:footnoteReference w:id="44"/>
      </w:r>
    </w:p>
    <w:p>
      <w:pPr>
        <w:pStyle w:val="FirstParagraph"/>
        <w:widowControl/>
        <w:bidi w:val="0"/>
        <w:ind w:left="0" w:right="0" w:hanging="0"/>
        <w:jc w:val="both"/>
        <w:rPr/>
      </w:pPr>
      <w:r>
        <w:rPr/>
        <w:t>As we can see, what is taken to supposit here is not individual white men, but the term or concept ‘white man’, which is ‘placed under’ the concept ‘man’.</w:t>
      </w:r>
    </w:p>
    <w:p>
      <w:pPr>
        <w:pStyle w:val="TextBody"/>
        <w:widowControl/>
        <w:bidi w:val="0"/>
        <w:ind w:left="0" w:right="0" w:firstLine="269"/>
        <w:jc w:val="both"/>
        <w:rPr/>
      </w:pPr>
      <w:r>
        <w:rPr/>
        <w:t xml:space="preserve">Furthermore, the dominant division of supposition in the treatise is not that between material, simple, and personal, but that between </w:t>
      </w:r>
      <w:r>
        <w:rPr>
          <w:i/>
        </w:rPr>
        <w:t>per se</w:t>
      </w:r>
      <w:r>
        <w:rPr/>
        <w:t xml:space="preserve"> and accidental. The text explains the notion of </w:t>
      </w:r>
      <w:r>
        <w:rPr>
          <w:i/>
        </w:rPr>
        <w:t>per accidens</w:t>
      </w:r>
      <w:r>
        <w:rPr/>
        <w:t xml:space="preserve"> supposition as follows:</w:t>
      </w:r>
    </w:p>
    <w:p>
      <w:pPr>
        <w:pStyle w:val="BlockText"/>
        <w:widowControl/>
        <w:bidi w:val="0"/>
        <w:spacing w:before="100" w:after="100"/>
        <w:ind w:left="180" w:right="0" w:hanging="0"/>
        <w:jc w:val="both"/>
        <w:rPr/>
      </w:pPr>
      <w:r>
        <w:rPr/>
        <w:t xml:space="preserve">And [those] placed under </w:t>
      </w:r>
      <w:r>
        <w:rPr>
          <w:i/>
        </w:rPr>
        <w:t>per accidens</w:t>
      </w:r>
      <w:r>
        <w:rPr/>
        <w:t xml:space="preserve"> are those that are combined out of two inhering in each other contingently, as white man is combined </w:t>
      </w:r>
      <w:r>
        <w:rPr>
          <w:i/>
        </w:rPr>
        <w:t>per accidens</w:t>
      </w:r>
      <w:r>
        <w:rPr/>
        <w:t xml:space="preserve"> because it is put together out of man and white, which inhere in each other contingently. So ‘a man is a white man’, etc. is contingent. This is contingent, and its equivalents (</w:t>
      </w:r>
      <w:r>
        <w:rPr>
          <w:i/>
        </w:rPr>
        <w:t>convertibilia</w:t>
      </w:r>
      <w:r>
        <w:rPr/>
        <w:t xml:space="preserve">) are contingent, because in all of these a superior is assumed of a </w:t>
      </w:r>
      <w:r>
        <w:rPr>
          <w:i/>
        </w:rPr>
        <w:t>per accidens</w:t>
      </w:r>
      <w:r>
        <w:rPr/>
        <w:t xml:space="preserve"> inferior (since whatever is constituted by an addition with respect to another is inferior to it. Thus, ‘white man’ is inferior to ‘man’ and ‘white’).</w:t>
      </w:r>
      <w:r>
        <w:rPr>
          <w:rStyle w:val="FootnoteAnchor"/>
        </w:rPr>
        <w:footnoteReference w:id="45"/>
      </w:r>
    </w:p>
    <w:p>
      <w:pPr>
        <w:pStyle w:val="FirstParagraph"/>
        <w:widowControl/>
        <w:bidi w:val="0"/>
        <w:ind w:left="0" w:right="0" w:hanging="0"/>
        <w:jc w:val="both"/>
        <w:rPr/>
      </w:pPr>
      <w:r>
        <w:rPr/>
        <w:t>Here, it’s clear that the supposita themselves are not individuals, but forms or concepts.</w:t>
      </w:r>
    </w:p>
    <w:p>
      <w:pPr>
        <w:pStyle w:val="Heading2"/>
        <w:widowControl/>
        <w:bidi w:val="0"/>
        <w:ind w:left="0" w:right="0" w:hanging="0"/>
        <w:jc w:val="both"/>
        <w:rPr/>
      </w:pPr>
      <w:r>
        <w:rPr/>
        <w:t xml:space="preserve">3.3 </w:t>
      </w:r>
      <w:bookmarkStart w:id="6" w:name="burleys-on-the-core-of-the-art-of-logic"/>
      <w:r>
        <w:rPr/>
        <w:t xml:space="preserve">Burley’s </w:t>
      </w:r>
      <w:r>
        <w:rPr>
          <w:i/>
        </w:rPr>
        <w:t>On the Core of the Art of Logic</w:t>
      </w:r>
      <w:bookmarkEnd w:id="6"/>
    </w:p>
    <w:p>
      <w:pPr>
        <w:pStyle w:val="FirstParagraph"/>
        <w:widowControl/>
        <w:bidi w:val="0"/>
        <w:ind w:left="0" w:right="0" w:firstLine="269"/>
        <w:jc w:val="both"/>
        <w:rPr/>
      </w:pPr>
      <w:r>
        <w:rPr/>
        <w:t xml:space="preserve">Walter Burley’s </w:t>
      </w:r>
      <w:r>
        <w:rPr>
          <w:i/>
        </w:rPr>
        <w:t>On the Core of the Art of Logic</w:t>
      </w:r>
      <w:r>
        <w:rPr/>
        <w:t xml:space="preserve"> exists in two versions, a shorter, earlier version and a later, longer one more engaged with Ockham’s work. Burley’s </w:t>
      </w:r>
      <w:r>
        <w:rPr>
          <w:i/>
        </w:rPr>
        <w:t>Shorter Treatise</w:t>
      </w:r>
      <w:r>
        <w:rPr/>
        <w:t xml:space="preserve"> contains two different approaches to personal supposition.</w:t>
      </w:r>
      <w:r>
        <w:rPr>
          <w:rStyle w:val="FootnoteAnchor"/>
        </w:rPr>
        <w:footnoteReference w:id="46"/>
      </w:r>
      <w:r>
        <w:rPr/>
        <w:t xml:space="preserve"> Burley gives an example the first where, in his fifth principal rule for consequences, he describes suppositional descent as licensing a descent from genus to species:</w:t>
      </w:r>
    </w:p>
    <w:p>
      <w:pPr>
        <w:pStyle w:val="BlockText"/>
        <w:widowControl/>
        <w:bidi w:val="0"/>
        <w:spacing w:before="100" w:after="100"/>
        <w:ind w:left="180" w:right="0" w:hanging="0"/>
        <w:jc w:val="both"/>
        <w:rPr/>
      </w:pPr>
      <w:r>
        <w:rPr/>
        <w:t>From the negation of the superior follows the negation of any inferior. And this rule must be understood [for] when the negated superior supposits personally. For it follows: Socrates is not an animal, therefore Socrates is not a man nor an ass, and so on of others.</w:t>
      </w:r>
      <w:r>
        <w:rPr>
          <w:rStyle w:val="FootnoteAnchor"/>
        </w:rPr>
        <w:footnoteReference w:id="47"/>
      </w:r>
    </w:p>
    <w:p>
      <w:pPr>
        <w:pStyle w:val="FirstParagraph"/>
        <w:widowControl/>
        <w:bidi w:val="0"/>
        <w:ind w:left="0" w:right="0" w:firstLine="269"/>
        <w:jc w:val="both"/>
        <w:rPr/>
      </w:pPr>
      <w:r>
        <w:rPr/>
        <w:t xml:space="preserve">The key to this understanding of personal supposition is found in Burley’s introduction of the notion in the </w:t>
      </w:r>
      <w:r>
        <w:rPr>
          <w:i/>
        </w:rPr>
        <w:t>Longer Treatise</w:t>
      </w:r>
      <w:r>
        <w:rPr/>
        <w:t>, where he treats it as a division of formal supposition.</w:t>
      </w:r>
      <w:r>
        <w:rPr>
          <w:rStyle w:val="FootnoteAnchor"/>
        </w:rPr>
        <w:footnoteReference w:id="48"/>
      </w:r>
      <w:r>
        <w:rPr/>
        <w:t xml:space="preserve"> Burley writes:</w:t>
      </w:r>
    </w:p>
    <w:p>
      <w:pPr>
        <w:pStyle w:val="BlockText"/>
        <w:widowControl/>
        <w:bidi w:val="0"/>
        <w:spacing w:before="100" w:after="100"/>
        <w:ind w:left="180" w:right="0" w:hanging="0"/>
        <w:jc w:val="both"/>
        <w:rPr/>
      </w:pPr>
      <w:r>
        <w:rPr/>
        <w:t>Formal supposition is twofold, for sometimes a term supposits for its significate, sometimes for its suppositum or for some singular of which it is truly predicated. And thus formal supposition is divided into personal supposition and simple supposition.</w:t>
      </w:r>
      <w:r>
        <w:rPr>
          <w:rStyle w:val="FootnoteAnchor"/>
        </w:rPr>
        <w:footnoteReference w:id="49"/>
      </w:r>
    </w:p>
    <w:p>
      <w:pPr>
        <w:pStyle w:val="FirstParagraph"/>
        <w:widowControl/>
        <w:bidi w:val="0"/>
        <w:ind w:left="0" w:right="0" w:firstLine="269"/>
        <w:jc w:val="both"/>
        <w:rPr/>
      </w:pPr>
      <w:r>
        <w:rPr/>
        <w:t>Burley continues:</w:t>
      </w:r>
    </w:p>
    <w:p>
      <w:pPr>
        <w:pStyle w:val="BlockText"/>
        <w:widowControl/>
        <w:bidi w:val="0"/>
        <w:spacing w:before="100" w:after="100"/>
        <w:ind w:left="180" w:right="0" w:hanging="0"/>
        <w:jc w:val="both"/>
        <w:rPr/>
      </w:pPr>
      <w:r>
        <w:rPr/>
        <w:t xml:space="preserve">Personal supposition is when a common term supposits for its inferiors, </w:t>
      </w:r>
      <w:r>
        <w:rPr>
          <w:i/>
        </w:rPr>
        <w:t>whether those inferiors be singular or common, whether they be things or words,</w:t>
      </w:r>
      <w:r>
        <w:rPr/>
        <w:t xml:space="preserve"> or when a concrete accidental term or a composite term supposits for that of which it is predicated accidentally.</w:t>
      </w:r>
      <w:r>
        <w:rPr>
          <w:rStyle w:val="FootnoteAnchor"/>
        </w:rPr>
        <w:footnoteReference w:id="50"/>
      </w:r>
    </w:p>
    <w:p>
      <w:pPr>
        <w:pStyle w:val="FirstParagraph"/>
        <w:widowControl/>
        <w:bidi w:val="0"/>
        <w:ind w:left="0" w:right="0" w:firstLine="269"/>
        <w:jc w:val="both"/>
        <w:rPr/>
      </w:pPr>
      <w:r>
        <w:rPr/>
        <w:t>Burley’s account here is considerably more varied than the canonical account based on Buridan and Ockham. Here, Burley includes both individuals and common natures as supposita in his account of personal supposition. When Burley states that personal supposition also captures that of composite and concrete accidental terms, he appears to have in mind those cases we found discussed earlier in the Paris treatise, like ‘a man is white, therefore a man is a white man’. The account thus appears to better capture uses of personal supposition in ascents and descents in the earliest treatises on consequences.</w:t>
      </w:r>
    </w:p>
    <w:p>
      <w:pPr>
        <w:pStyle w:val="TextBody"/>
        <w:widowControl/>
        <w:bidi w:val="0"/>
        <w:ind w:left="0" w:right="0" w:firstLine="269"/>
        <w:jc w:val="both"/>
        <w:rPr/>
      </w:pPr>
      <w:r>
        <w:rPr/>
        <w:t xml:space="preserve">One might ask whether the account of supposition found in Burley’s </w:t>
      </w:r>
      <w:r>
        <w:rPr>
          <w:i/>
        </w:rPr>
        <w:t>On the Core of the Art of Logic</w:t>
      </w:r>
      <w:r>
        <w:rPr/>
        <w:t xml:space="preserve"> and the anonymous Paris treatise demands a more extensive ontological foundation than that of Ockham or Buridan. Burley himself provides an emphatic ‘no’. Discussing the supposition of ‘man’ in the sentence ‘Man is a species’, Burley remarks, ‘</w:t>
      </w:r>
      <w:r>
        <w:rPr>
          <w:i/>
        </w:rPr>
        <w:t>I don’t care at present</w:t>
      </w:r>
      <w:r>
        <w:rPr/>
        <w:t xml:space="preserve"> whether it [i.e. ‘man’] is a common thing outside of the soul or it is a concept; it suffices simply that that which the name primarily signifies is a species.’</w:t>
      </w:r>
      <w:r>
        <w:rPr>
          <w:rStyle w:val="FootnoteAnchor"/>
        </w:rPr>
        <w:footnoteReference w:id="51"/>
      </w:r>
      <w:r>
        <w:rPr/>
        <w:t xml:space="preserve"> While committed to the existence of species in a non-foundational sense, Burley emphasizes that his account of supposition should hold regardless of what the ultimate foundations of the concepts a theory of inference employs may be. In this intention, his account contrasts with Ockham’s contemporary theory, and perhaps also with Boethius’ earlier grounding of consequence in the theory of topical argument.</w:t>
      </w:r>
    </w:p>
    <w:p>
      <w:pPr>
        <w:pStyle w:val="Heading1"/>
        <w:widowControl/>
        <w:bidi w:val="0"/>
        <w:ind w:left="0" w:right="0" w:hanging="0"/>
        <w:jc w:val="both"/>
        <w:rPr/>
      </w:pPr>
      <w:r>
        <w:rPr/>
        <w:t xml:space="preserve">5 </w:t>
      </w:r>
      <w:bookmarkStart w:id="7" w:name="conclusion"/>
      <w:r>
        <w:rPr/>
        <w:t>Conclusion</w:t>
      </w:r>
      <w:bookmarkEnd w:id="7"/>
    </w:p>
    <w:p>
      <w:pPr>
        <w:pStyle w:val="FirstParagraph"/>
        <w:widowControl/>
        <w:bidi w:val="0"/>
        <w:ind w:left="0" w:right="0" w:firstLine="269"/>
        <w:jc w:val="both"/>
        <w:rPr/>
      </w:pPr>
      <w:r>
        <w:rPr/>
        <w:t>In the preceding, we’ve detailed two changes in the foundations of logic that ultimately affects our understanding of the nature of the discipline as such.</w:t>
      </w:r>
    </w:p>
    <w:p>
      <w:pPr>
        <w:pStyle w:val="TextBody"/>
        <w:widowControl/>
        <w:bidi w:val="0"/>
        <w:ind w:left="0" w:right="0" w:firstLine="269"/>
        <w:jc w:val="both"/>
        <w:rPr/>
      </w:pPr>
      <w:r>
        <w:rPr/>
        <w:t>In earlier frameworks found, for instance, in Boethius, good arguments are discussed under a variety of types each with different grounds: some arguments, for instance, argue from topics concerning language, others from metaphysical relations between things, others move from effects to cause, and still others relate premises to conclusion as cause to effect.</w:t>
      </w:r>
    </w:p>
    <w:p>
      <w:pPr>
        <w:pStyle w:val="TextBody"/>
        <w:widowControl/>
        <w:bidi w:val="0"/>
        <w:ind w:left="0" w:right="0" w:firstLine="269"/>
        <w:jc w:val="both"/>
        <w:rPr/>
      </w:pPr>
      <w:r>
        <w:rPr/>
        <w:t xml:space="preserve">At the time of the earliest </w:t>
      </w:r>
      <w:r>
        <w:rPr>
          <w:i/>
        </w:rPr>
        <w:t>consequentiae</w:t>
      </w:r>
      <w:r>
        <w:rPr/>
        <w:t>, the majority of consequences discussed are grounded in the theory of supposition. In this theory, personal supposition is the most frequently found, but consequences involving simple supposition are not uncommon. More importantly, terms in personal supposition may be taken to refer not only to individuals, but also to types. Both are permissible of the anonymous London treatise, both readings are explicitly found in Burley’s logic, and the latter is the only variety explicitly invoked in an anonymous Parisian treatise on consequences.</w:t>
      </w:r>
    </w:p>
    <w:p>
      <w:pPr>
        <w:pStyle w:val="TextBody"/>
        <w:widowControl/>
        <w:bidi w:val="0"/>
        <w:ind w:left="0" w:right="0" w:firstLine="269"/>
        <w:jc w:val="both"/>
        <w:rPr/>
      </w:pPr>
      <w:r>
        <w:rPr/>
        <w:t xml:space="preserve">We can now see, then, that Ockham’s restriction of personal supposition to exclusively refer to individuals, which today remains the dominant interpretation of </w:t>
      </w:r>
      <w:r>
        <w:rPr>
          <w:i/>
        </w:rPr>
        <w:t>all</w:t>
      </w:r>
      <w:r>
        <w:rPr/>
        <w:t xml:space="preserve"> theories of personal supposition in the secondary literature, was more novel than hitherto recognized. In adopting this change, Ockham not only changed the understanding of personal supposition. He also changed that of simple supposition - now taken to refer to a term’s referring to itself as a second intention, but before taken merely to refer to what a term signifies, leaving open whether this be an intention of the soul, a separate universal, or something else. More importantly, in changing the account of supposition, Ockham also necessarily modified that of consequence. While the earlier account of supposition, with its inclusion of forms or concepts, did better at explaining inferential practice, Ockham’s sparse focus on individuals would grant the theory of consequence a surer foundation in reality at the price of leaving our grasp of it more opaque. In this way, Ockham’s anti-metaphysical grounding for his logic may be regarded as </w:t>
      </w:r>
      <w:r>
        <w:rPr>
          <w:i/>
        </w:rPr>
        <w:t>more</w:t>
      </w:r>
      <w:r>
        <w:rPr/>
        <w:t xml:space="preserve"> metaphysical than that of Burley and his predecessors: where Burley’s was consistent with, but did not require realism, Ockham’s built a decision on the metaphysical foundations of logic directly into his work.</w:t>
      </w:r>
      <w:r>
        <w:rPr>
          <w:rStyle w:val="FootnoteAnchor"/>
        </w:rPr>
        <w:footnoteReference w:id="52"/>
      </w:r>
      <w:r>
        <w:rPr/>
        <w:t xml:space="preserve"> And it seems to be this decision, if any, that sets the stage not only for the defects of nominalism, but also for the rise of ‘extreme realism’ to counter it.</w:t>
      </w:r>
    </w:p>
    <w:p>
      <w:pPr>
        <w:pStyle w:val="Heading1"/>
        <w:widowControl/>
        <w:bidi w:val="0"/>
        <w:spacing w:before="0" w:after="200"/>
        <w:ind w:left="0" w:right="0" w:hanging="0"/>
        <w:jc w:val="both"/>
        <w:rPr/>
      </w:pPr>
      <w:r>
        <w:rPr/>
        <w:t>Bibliography</w:t>
      </w:r>
    </w:p>
    <w:p>
      <w:pPr>
        <w:pStyle w:val="Bibliography"/>
        <w:widowControl/>
        <w:bidi w:val="0"/>
        <w:spacing w:before="0" w:after="200"/>
        <w:ind w:left="180" w:right="0" w:hanging="180"/>
        <w:jc w:val="both"/>
        <w:rPr/>
      </w:pPr>
      <w:r>
        <w:rPr/>
        <w:t xml:space="preserve">Archambault, Jacob. “Consequence and Formality in the Logic of Walter Burley.” </w:t>
      </w:r>
      <w:r>
        <w:rPr>
          <w:i/>
        </w:rPr>
        <w:t>Vivarium</w:t>
      </w:r>
      <w:r>
        <w:rPr/>
        <w:t xml:space="preserve"> 56, nos. 3-4 (2018): 292–319.</w:t>
      </w:r>
      <w:bookmarkStart w:id="8" w:name="ref-Archambault2018b"/>
      <w:bookmarkEnd w:id="8"/>
    </w:p>
    <w:p>
      <w:pPr>
        <w:pStyle w:val="Bibliography"/>
        <w:widowControl/>
        <w:bidi w:val="0"/>
        <w:spacing w:before="0" w:after="200"/>
        <w:ind w:left="180" w:right="0" w:hanging="180"/>
        <w:jc w:val="both"/>
        <w:rPr/>
      </w:pPr>
      <w:r>
        <w:rPr/>
        <w:t>———</w:t>
      </w:r>
      <w:r>
        <w:rPr/>
        <w:t xml:space="preserve">. “Introduction: Consequences in Medieval Logic.” </w:t>
      </w:r>
      <w:r>
        <w:rPr>
          <w:i/>
        </w:rPr>
        <w:t>Vivarium</w:t>
      </w:r>
      <w:r>
        <w:rPr/>
        <w:t xml:space="preserve"> 56, nos. 3-4 (2018): 201–21.</w:t>
      </w:r>
      <w:bookmarkStart w:id="9" w:name="ref-Archambault2018a"/>
      <w:bookmarkEnd w:id="9"/>
    </w:p>
    <w:p>
      <w:pPr>
        <w:pStyle w:val="Bibliography"/>
        <w:widowControl/>
        <w:bidi w:val="0"/>
        <w:spacing w:before="0" w:after="200"/>
        <w:ind w:left="180" w:right="0" w:hanging="180"/>
        <w:jc w:val="both"/>
        <w:rPr/>
      </w:pPr>
      <w:r>
        <w:rPr/>
        <w:t>———</w:t>
      </w:r>
      <w:r>
        <w:rPr/>
        <w:t xml:space="preserve">. “Monotonic and Non-Monotonic Embeddings of Anselm’s Proof.” </w:t>
      </w:r>
      <w:r>
        <w:rPr>
          <w:i/>
        </w:rPr>
        <w:t>Logica Universalis</w:t>
      </w:r>
      <w:r>
        <w:rPr/>
        <w:t xml:space="preserve"> 11 (2017): 121–38.</w:t>
      </w:r>
      <w:bookmarkStart w:id="10" w:name="ref-Archambault2017e"/>
      <w:bookmarkEnd w:id="10"/>
    </w:p>
    <w:p>
      <w:pPr>
        <w:pStyle w:val="Bibliography"/>
        <w:widowControl/>
        <w:bidi w:val="0"/>
        <w:spacing w:before="0" w:after="200"/>
        <w:ind w:left="180" w:right="0" w:hanging="180"/>
        <w:jc w:val="both"/>
        <w:rPr/>
      </w:pPr>
      <w:r>
        <w:rPr/>
        <w:t>———</w:t>
      </w:r>
      <w:r>
        <w:rPr/>
        <w:t>. “The Development of the Medieval Parisian Account of Formal Consequence.” PhD thesis, Fordham University, 2017.</w:t>
      </w:r>
      <w:bookmarkStart w:id="11" w:name="ref-Archambault2017d"/>
      <w:bookmarkEnd w:id="11"/>
    </w:p>
    <w:p>
      <w:pPr>
        <w:pStyle w:val="Bibliography"/>
        <w:widowControl/>
        <w:bidi w:val="0"/>
        <w:spacing w:before="0" w:after="200"/>
        <w:ind w:left="180" w:right="0" w:hanging="180"/>
        <w:jc w:val="both"/>
        <w:rPr/>
      </w:pPr>
      <w:r>
        <w:rPr/>
        <w:t xml:space="preserve">Boethius. “De Differentiis Topicis.” In </w:t>
      </w:r>
      <w:r>
        <w:rPr>
          <w:i/>
        </w:rPr>
        <w:t>Patrologia Cursus Completus. Series Latina</w:t>
      </w:r>
      <w:r>
        <w:rPr/>
        <w:t>, 64:1173B–1216D. Paris: J. P. Migne</w:t>
      </w:r>
      <w:bookmarkStart w:id="12" w:name="ref-BDT"/>
      <w:bookmarkEnd w:id="12"/>
      <w:r>
        <w:rPr/>
        <w:t>.</w:t>
      </w:r>
    </w:p>
    <w:p>
      <w:pPr>
        <w:pStyle w:val="Bibliography"/>
        <w:widowControl/>
        <w:bidi w:val="0"/>
        <w:spacing w:before="0" w:after="200"/>
        <w:ind w:left="180" w:right="0" w:hanging="180"/>
        <w:jc w:val="both"/>
        <w:rPr/>
      </w:pPr>
      <w:r>
        <w:rPr/>
        <w:t>———</w:t>
      </w:r>
      <w:r>
        <w:rPr/>
        <w:t xml:space="preserve">. </w:t>
      </w:r>
      <w:r>
        <w:rPr>
          <w:i/>
        </w:rPr>
        <w:t>De Hypotheticis Syllogismis</w:t>
      </w:r>
      <w:r>
        <w:rPr/>
        <w:t>. Edited by L. Obertello. Brescia: Paideia, 1969.</w:t>
      </w:r>
      <w:bookmarkStart w:id="13" w:name="ref-BHS"/>
      <w:bookmarkEnd w:id="13"/>
    </w:p>
    <w:p>
      <w:pPr>
        <w:pStyle w:val="Bibliography"/>
        <w:widowControl/>
        <w:bidi w:val="0"/>
        <w:spacing w:before="0" w:after="200"/>
        <w:ind w:left="180" w:right="0" w:hanging="180"/>
        <w:jc w:val="both"/>
        <w:rPr/>
      </w:pPr>
      <w:r>
        <w:rPr/>
        <w:t>———</w:t>
      </w:r>
      <w:r>
        <w:rPr/>
        <w:t xml:space="preserve">. </w:t>
      </w:r>
      <w:r>
        <w:rPr>
          <w:i/>
        </w:rPr>
        <w:t>De Syllogismo Categorico</w:t>
      </w:r>
      <w:r>
        <w:rPr/>
        <w:t>. Edited by J. P. Migne. Vol. 64. Patrologia Latina</w:t>
      </w:r>
      <w:bookmarkStart w:id="14" w:name="ref-BSC"/>
      <w:bookmarkEnd w:id="14"/>
      <w:r>
        <w:rPr/>
        <w:t>.</w:t>
      </w:r>
    </w:p>
    <w:p>
      <w:pPr>
        <w:pStyle w:val="Bibliography"/>
        <w:widowControl/>
        <w:bidi w:val="0"/>
        <w:spacing w:before="0" w:after="200"/>
        <w:ind w:left="180" w:right="0" w:hanging="180"/>
        <w:jc w:val="both"/>
        <w:rPr/>
      </w:pPr>
      <w:r>
        <w:rPr/>
        <w:t xml:space="preserve">Bosman, Bianca. “The Roots of the Notion of Containment in Theories of Consequence: Boethius on Topics, Containment, and Consequences.” </w:t>
      </w:r>
      <w:r>
        <w:rPr>
          <w:i/>
        </w:rPr>
        <w:t>Vivarium</w:t>
      </w:r>
      <w:r>
        <w:rPr/>
        <w:t xml:space="preserve"> 56, nos. 3-4 (2018): 222–40.</w:t>
      </w:r>
      <w:bookmarkStart w:id="15" w:name="ref-Bosman2018"/>
      <w:bookmarkEnd w:id="15"/>
    </w:p>
    <w:p>
      <w:pPr>
        <w:pStyle w:val="Bibliography"/>
        <w:widowControl/>
        <w:bidi w:val="0"/>
        <w:spacing w:before="0" w:after="200"/>
        <w:ind w:left="180" w:right="0" w:hanging="180"/>
        <w:jc w:val="both"/>
        <w:rPr/>
      </w:pPr>
      <w:r>
        <w:rPr/>
        <w:t xml:space="preserve">Chilovi, Samuele. “Grounding Entails Supervenience.” </w:t>
      </w:r>
      <w:r>
        <w:rPr>
          <w:i/>
        </w:rPr>
        <w:t>Synthese</w:t>
      </w:r>
      <w:r>
        <w:rPr/>
        <w:t xml:space="preserve">, </w:t>
      </w:r>
      <w:bookmarkStart w:id="16" w:name="ref-Chilovi2018"/>
      <w:bookmarkEnd w:id="16"/>
      <w:r>
        <w:rPr/>
        <w:t>(forthcoming).</w:t>
      </w:r>
    </w:p>
    <w:p>
      <w:pPr>
        <w:pStyle w:val="Bibliography"/>
        <w:widowControl/>
        <w:bidi w:val="0"/>
        <w:spacing w:before="0" w:after="200"/>
        <w:ind w:left="180" w:right="0" w:hanging="180"/>
        <w:jc w:val="both"/>
        <w:rPr/>
      </w:pPr>
      <w:r>
        <w:rPr/>
        <w:t xml:space="preserve">Dutilh Novaes, Catarina. “An Intensional Interpretation of Ockham’s Theory of Supposition.” </w:t>
      </w:r>
      <w:r>
        <w:rPr>
          <w:i/>
        </w:rPr>
        <w:t>Journal of the History of Philosophy</w:t>
      </w:r>
      <w:r>
        <w:rPr/>
        <w:t xml:space="preserve"> 46, no. 3 (2008): 365–93.</w:t>
      </w:r>
      <w:bookmarkStart w:id="17" w:name="ref-DutilhNovaes2008b"/>
      <w:bookmarkEnd w:id="17"/>
    </w:p>
    <w:p>
      <w:pPr>
        <w:pStyle w:val="Bibliography"/>
        <w:widowControl/>
        <w:bidi w:val="0"/>
        <w:spacing w:before="0" w:after="200"/>
        <w:ind w:left="180" w:right="0" w:hanging="180"/>
        <w:jc w:val="both"/>
        <w:rPr/>
      </w:pPr>
      <w:r>
        <w:rPr/>
        <w:t>———</w:t>
      </w:r>
      <w:r>
        <w:rPr/>
        <w:t xml:space="preserve">. “Buridan’s </w:t>
      </w:r>
      <w:r>
        <w:rPr>
          <w:i/>
        </w:rPr>
        <w:t>Consequentia</w:t>
      </w:r>
      <w:r>
        <w:rPr/>
        <w:t xml:space="preserve">: Consequence and Inference Within a Token-Based Semantics.” </w:t>
      </w:r>
      <w:r>
        <w:rPr>
          <w:i/>
        </w:rPr>
        <w:t>History and Philosophy of Logic</w:t>
      </w:r>
      <w:r>
        <w:rPr/>
        <w:t xml:space="preserve"> 26, no. 4 (2005): 277–97.</w:t>
      </w:r>
      <w:bookmarkStart w:id="18" w:name="ref-DutilhNovaes2005"/>
      <w:bookmarkEnd w:id="18"/>
    </w:p>
    <w:p>
      <w:pPr>
        <w:pStyle w:val="Bibliography"/>
        <w:widowControl/>
        <w:bidi w:val="0"/>
        <w:spacing w:before="0" w:after="200"/>
        <w:ind w:left="180" w:right="0" w:hanging="180"/>
        <w:jc w:val="both"/>
        <w:rPr/>
      </w:pPr>
      <w:r>
        <w:rPr/>
        <w:t>———</w:t>
      </w:r>
      <w:r>
        <w:rPr/>
        <w:t xml:space="preserve">. “Form and Matter in Later Latin Medieval Logic: The Cases of </w:t>
      </w:r>
      <w:r>
        <w:rPr>
          <w:i/>
        </w:rPr>
        <w:t>Suppositio</w:t>
      </w:r>
      <w:r>
        <w:rPr/>
        <w:t xml:space="preserve"> and </w:t>
      </w:r>
      <w:r>
        <w:rPr>
          <w:i/>
        </w:rPr>
        <w:t>Consequentia</w:t>
      </w:r>
      <w:r>
        <w:rPr/>
        <w:t xml:space="preserve">.” </w:t>
      </w:r>
      <w:r>
        <w:rPr>
          <w:i/>
        </w:rPr>
        <w:t>Journal of the History of Philosophy</w:t>
      </w:r>
      <w:r>
        <w:rPr/>
        <w:t xml:space="preserve"> 50, no. 3 (2012): 339–54.</w:t>
      </w:r>
      <w:bookmarkStart w:id="19" w:name="ref-DutilhNovaes2012c"/>
      <w:bookmarkEnd w:id="19"/>
    </w:p>
    <w:p>
      <w:pPr>
        <w:pStyle w:val="Bibliography"/>
        <w:widowControl/>
        <w:bidi w:val="0"/>
        <w:spacing w:before="0" w:after="200"/>
        <w:ind w:left="180" w:right="0" w:hanging="180"/>
        <w:jc w:val="both"/>
        <w:rPr/>
      </w:pPr>
      <w:r>
        <w:rPr/>
        <w:t>———</w:t>
      </w:r>
      <w:r>
        <w:rPr/>
        <w:t xml:space="preserve">. “The Different Ways in Which Logic Is (Said to Be) Formal.” </w:t>
      </w:r>
      <w:r>
        <w:rPr>
          <w:i/>
        </w:rPr>
        <w:t>History and Philosophy of Logic</w:t>
      </w:r>
      <w:r>
        <w:rPr/>
        <w:t xml:space="preserve"> 32, no. 4 (2011): 303–32.</w:t>
      </w:r>
      <w:bookmarkStart w:id="20" w:name="ref-DutilhNovaes2011"/>
      <w:bookmarkEnd w:id="20"/>
    </w:p>
    <w:p>
      <w:pPr>
        <w:pStyle w:val="Bibliography"/>
        <w:widowControl/>
        <w:bidi w:val="0"/>
        <w:spacing w:before="0" w:after="200"/>
        <w:ind w:left="180" w:right="0" w:hanging="180"/>
        <w:jc w:val="both"/>
        <w:rPr/>
      </w:pPr>
      <w:r>
        <w:rPr/>
        <w:t>———</w:t>
      </w:r>
      <w:r>
        <w:rPr/>
        <w:t xml:space="preserve">. “Theory of Supposition Vs. Theory of Fallacies in Ockham.” </w:t>
      </w:r>
      <w:r>
        <w:rPr>
          <w:i/>
        </w:rPr>
        <w:t>Vivarium</w:t>
      </w:r>
      <w:r>
        <w:rPr/>
        <w:t xml:space="preserve"> 45, nos. 2-3 (2007): 343–59.</w:t>
      </w:r>
      <w:bookmarkStart w:id="21" w:name="ref-DutilhNovaes2007"/>
      <w:bookmarkEnd w:id="21"/>
    </w:p>
    <w:p>
      <w:pPr>
        <w:pStyle w:val="Bibliography"/>
        <w:widowControl/>
        <w:bidi w:val="0"/>
        <w:spacing w:before="0" w:after="200"/>
        <w:ind w:left="180" w:right="0" w:hanging="180"/>
        <w:jc w:val="both"/>
        <w:rPr/>
      </w:pPr>
      <w:r>
        <w:rPr/>
        <w:t xml:space="preserve">Etchemendy, John. “Reflections on Consequence.” In </w:t>
      </w:r>
      <w:r>
        <w:rPr>
          <w:i/>
        </w:rPr>
        <w:t>New Essays on Tarski and Philosophy</w:t>
      </w:r>
      <w:r>
        <w:rPr/>
        <w:t>, edited by Douglas Patterson, 263–99. Oxford: Clarendon Press, 2008.</w:t>
      </w:r>
      <w:bookmarkStart w:id="22" w:name="ref-Etchemendy2008"/>
      <w:bookmarkEnd w:id="22"/>
    </w:p>
    <w:p>
      <w:pPr>
        <w:pStyle w:val="Bibliography"/>
        <w:widowControl/>
        <w:bidi w:val="0"/>
        <w:spacing w:before="0" w:after="200"/>
        <w:ind w:left="180" w:right="0" w:hanging="180"/>
        <w:jc w:val="both"/>
        <w:rPr/>
      </w:pPr>
      <w:r>
        <w:rPr/>
        <w:t xml:space="preserve">Fine, Kit. “Essence and Modality.” </w:t>
      </w:r>
      <w:r>
        <w:rPr>
          <w:i/>
        </w:rPr>
        <w:t>Philosophical Perspectives</w:t>
      </w:r>
      <w:r>
        <w:rPr/>
        <w:t xml:space="preserve"> 8 (1994): 1–16.</w:t>
      </w:r>
      <w:bookmarkStart w:id="23" w:name="ref-Fine1994"/>
      <w:bookmarkEnd w:id="23"/>
    </w:p>
    <w:p>
      <w:pPr>
        <w:pStyle w:val="Bibliography"/>
        <w:widowControl/>
        <w:bidi w:val="0"/>
        <w:spacing w:before="0" w:after="200"/>
        <w:ind w:left="180" w:right="0" w:hanging="180"/>
        <w:jc w:val="both"/>
        <w:rPr/>
      </w:pPr>
      <w:r>
        <w:rPr/>
        <w:t>———</w:t>
      </w:r>
      <w:r>
        <w:rPr/>
        <w:t xml:space="preserve">. “Guide to Ground.” In </w:t>
      </w:r>
      <w:r>
        <w:rPr>
          <w:i/>
        </w:rPr>
        <w:t>Metaphysical Grounding: Understanding the Structure of Reality</w:t>
      </w:r>
      <w:r>
        <w:rPr/>
        <w:t>, edited by Fabrice Correia and Benjamin Schnieder, 37–80. Cambridge: Cambridge University Press, 2012.</w:t>
      </w:r>
      <w:bookmarkStart w:id="24" w:name="ref-Fine2012"/>
      <w:bookmarkEnd w:id="24"/>
    </w:p>
    <w:p>
      <w:pPr>
        <w:pStyle w:val="Bibliography"/>
        <w:widowControl/>
        <w:bidi w:val="0"/>
        <w:spacing w:before="0" w:after="200"/>
        <w:ind w:left="180" w:right="0" w:hanging="180"/>
        <w:jc w:val="both"/>
        <w:rPr/>
      </w:pPr>
      <w:r>
        <w:rPr/>
        <w:t>———</w:t>
      </w:r>
      <w:r>
        <w:rPr/>
        <w:t xml:space="preserve">. “Identity Criteria and Ground.” </w:t>
      </w:r>
      <w:r>
        <w:rPr>
          <w:i/>
        </w:rPr>
        <w:t>Philosophical Studies</w:t>
      </w:r>
      <w:r>
        <w:rPr/>
        <w:t xml:space="preserve"> 173 (2016): 1–19.</w:t>
      </w:r>
      <w:bookmarkStart w:id="25" w:name="ref-Fine2016a"/>
      <w:bookmarkEnd w:id="25"/>
    </w:p>
    <w:p>
      <w:pPr>
        <w:pStyle w:val="Bibliography"/>
        <w:widowControl/>
        <w:bidi w:val="0"/>
        <w:spacing w:before="0" w:after="200"/>
        <w:ind w:left="180" w:right="0" w:hanging="180"/>
        <w:jc w:val="both"/>
        <w:rPr/>
      </w:pPr>
      <w:r>
        <w:rPr/>
        <w:t>———</w:t>
      </w:r>
      <w:r>
        <w:rPr/>
        <w:t xml:space="preserve">. “The Pure Logic of Ground.” </w:t>
      </w:r>
      <w:r>
        <w:rPr>
          <w:i/>
        </w:rPr>
        <w:t>Review of Symbolic Logic</w:t>
      </w:r>
      <w:r>
        <w:rPr/>
        <w:t xml:space="preserve"> 5, no. 1 (2012): 1–25.</w:t>
      </w:r>
      <w:bookmarkStart w:id="26" w:name="ref-Fine2012a"/>
      <w:bookmarkEnd w:id="26"/>
    </w:p>
    <w:p>
      <w:pPr>
        <w:pStyle w:val="Bibliography"/>
        <w:widowControl/>
        <w:bidi w:val="0"/>
        <w:spacing w:before="0" w:after="200"/>
        <w:ind w:left="180" w:right="0" w:hanging="180"/>
        <w:jc w:val="both"/>
        <w:rPr/>
      </w:pPr>
      <w:r>
        <w:rPr/>
        <w:t xml:space="preserve">Franks, Curtis. “Cut as Consequence.” </w:t>
      </w:r>
      <w:r>
        <w:rPr>
          <w:i/>
        </w:rPr>
        <w:t>History and Philosophy of Logic</w:t>
      </w:r>
      <w:r>
        <w:rPr/>
        <w:t xml:space="preserve"> 31, no. 4 (2010): 349–79.</w:t>
      </w:r>
      <w:bookmarkStart w:id="27" w:name="ref-Franks2010"/>
      <w:bookmarkEnd w:id="27"/>
    </w:p>
    <w:p>
      <w:pPr>
        <w:pStyle w:val="Bibliography"/>
        <w:widowControl/>
        <w:bidi w:val="0"/>
        <w:spacing w:before="0" w:after="200"/>
        <w:ind w:left="180" w:right="0" w:hanging="180"/>
        <w:jc w:val="both"/>
        <w:rPr/>
      </w:pPr>
      <w:r>
        <w:rPr/>
        <w:t xml:space="preserve">Gómez-Torrente, Mario. “A Note on Formality and Logical Consequence.” </w:t>
      </w:r>
      <w:r>
        <w:rPr>
          <w:i/>
        </w:rPr>
        <w:t>Journal of Philosophical Logic</w:t>
      </w:r>
      <w:r>
        <w:rPr/>
        <w:t xml:space="preserve"> 29, no. 5 (2000): 529–39.</w:t>
      </w:r>
      <w:bookmarkStart w:id="28" w:name="ref-Gomez-Torrente2000"/>
      <w:bookmarkEnd w:id="28"/>
    </w:p>
    <w:p>
      <w:pPr>
        <w:pStyle w:val="Bibliography"/>
        <w:widowControl/>
        <w:bidi w:val="0"/>
        <w:spacing w:before="0" w:after="200"/>
        <w:ind w:left="180" w:right="0" w:hanging="180"/>
        <w:jc w:val="both"/>
        <w:rPr/>
      </w:pPr>
      <w:r>
        <w:rPr/>
        <w:t xml:space="preserve">Green-Pedersen, Niels Jørgen. “Two Early Anonymous Tracts on Consequences.” </w:t>
      </w:r>
      <w:r>
        <w:rPr>
          <w:i/>
        </w:rPr>
        <w:t>Cahiers de L’Institut Du Moyen-Âge Grec et Latin</w:t>
      </w:r>
      <w:r>
        <w:rPr/>
        <w:t xml:space="preserve"> 35 (1980): 1–28.</w:t>
      </w:r>
      <w:bookmarkStart w:id="29" w:name="ref-Green-Pedersen1980a"/>
      <w:bookmarkEnd w:id="29"/>
    </w:p>
    <w:p>
      <w:pPr>
        <w:pStyle w:val="Bibliography"/>
        <w:widowControl/>
        <w:bidi w:val="0"/>
        <w:spacing w:before="0" w:after="200"/>
        <w:ind w:left="180" w:right="0" w:hanging="180"/>
        <w:jc w:val="both"/>
        <w:rPr/>
      </w:pPr>
      <w:r>
        <w:rPr/>
        <w:t>———</w:t>
      </w:r>
      <w:r>
        <w:rPr/>
        <w:t xml:space="preserve">. “Walter Burley’s </w:t>
      </w:r>
      <w:r>
        <w:rPr>
          <w:i/>
        </w:rPr>
        <w:t>de Consequentiis</w:t>
      </w:r>
      <w:r>
        <w:rPr/>
        <w:t xml:space="preserve">: An Edition.” </w:t>
      </w:r>
      <w:r>
        <w:rPr>
          <w:i/>
        </w:rPr>
        <w:t>Franciscan Studies</w:t>
      </w:r>
      <w:r>
        <w:rPr/>
        <w:t xml:space="preserve"> 40 (1980): 102–66.</w:t>
      </w:r>
      <w:bookmarkStart w:id="30" w:name="ref-Green-Pedersen1980b"/>
      <w:bookmarkEnd w:id="30"/>
    </w:p>
    <w:p>
      <w:pPr>
        <w:pStyle w:val="Bibliography"/>
        <w:widowControl/>
        <w:bidi w:val="0"/>
        <w:spacing w:before="0" w:after="200"/>
        <w:ind w:left="180" w:right="0" w:hanging="180"/>
        <w:jc w:val="both"/>
        <w:rPr/>
      </w:pPr>
      <w:r>
        <w:rPr/>
        <w:t>Hjortland, Ole T. “The Structure of Logical Consequence: Proof-Theoretic Conceptions.” PhD thesis, University of St. Andrews, 2009.</w:t>
      </w:r>
      <w:bookmarkStart w:id="31" w:name="ref-Hjortland2009"/>
      <w:bookmarkEnd w:id="31"/>
    </w:p>
    <w:p>
      <w:pPr>
        <w:pStyle w:val="Bibliography"/>
        <w:widowControl/>
        <w:bidi w:val="0"/>
        <w:spacing w:before="0" w:after="200"/>
        <w:ind w:left="180" w:right="0" w:hanging="180"/>
        <w:jc w:val="both"/>
        <w:rPr/>
      </w:pPr>
      <w:r>
        <w:rPr/>
        <w:t xml:space="preserve">Holopainen, Toivo J. “Anselm’s </w:t>
      </w:r>
      <w:r>
        <w:rPr>
          <w:i/>
        </w:rPr>
        <w:t>Argumentum</w:t>
      </w:r>
      <w:r>
        <w:rPr/>
        <w:t xml:space="preserve"> and the Early Medieval Theory of Argument.” </w:t>
      </w:r>
      <w:r>
        <w:rPr>
          <w:i/>
        </w:rPr>
        <w:t>Vivarium</w:t>
      </w:r>
      <w:r>
        <w:rPr/>
        <w:t xml:space="preserve"> 45, no. 1 (2007): 1–29.</w:t>
      </w:r>
      <w:bookmarkStart w:id="32" w:name="ref-Holopainen2007"/>
      <w:bookmarkEnd w:id="32"/>
    </w:p>
    <w:p>
      <w:pPr>
        <w:pStyle w:val="Bibliography"/>
        <w:widowControl/>
        <w:bidi w:val="0"/>
        <w:spacing w:before="0" w:after="200"/>
        <w:ind w:left="180" w:right="0" w:hanging="180"/>
        <w:jc w:val="both"/>
        <w:rPr/>
      </w:pPr>
      <w:r>
        <w:rPr/>
        <w:t xml:space="preserve">John Buridan. </w:t>
      </w:r>
      <w:r>
        <w:rPr>
          <w:i/>
        </w:rPr>
        <w:t>Tractatus de Consequentiis</w:t>
      </w:r>
      <w:r>
        <w:rPr/>
        <w:t>. Edited by Hubert Hubien. Philosophes Médiévaux 16. Louvain: Publications universitaires, 1976.</w:t>
      </w:r>
      <w:bookmarkStart w:id="33" w:name="ref-BuridanTC"/>
      <w:bookmarkEnd w:id="33"/>
    </w:p>
    <w:p>
      <w:pPr>
        <w:pStyle w:val="Bibliography"/>
        <w:widowControl/>
        <w:bidi w:val="0"/>
        <w:spacing w:before="0" w:after="200"/>
        <w:ind w:left="180" w:right="0" w:hanging="180"/>
        <w:jc w:val="both"/>
        <w:rPr/>
      </w:pPr>
      <w:r>
        <w:rPr/>
        <w:t>———</w:t>
      </w:r>
      <w:r>
        <w:rPr/>
        <w:t xml:space="preserve">. </w:t>
      </w:r>
      <w:r>
        <w:rPr>
          <w:i/>
        </w:rPr>
        <w:t>Treatise on Consequences</w:t>
      </w:r>
      <w:r>
        <w:rPr/>
        <w:t>. Translated by Stephen Read. Bronx, NY: Fordham University Press, 2015.</w:t>
      </w:r>
      <w:bookmarkStart w:id="34" w:name="ref-Buridan2015"/>
      <w:bookmarkEnd w:id="34"/>
    </w:p>
    <w:p>
      <w:pPr>
        <w:pStyle w:val="Bibliography"/>
        <w:widowControl/>
        <w:bidi w:val="0"/>
        <w:spacing w:before="0" w:after="200"/>
        <w:ind w:left="180" w:right="0" w:hanging="180"/>
        <w:jc w:val="both"/>
        <w:rPr/>
      </w:pPr>
      <w:r>
        <w:rPr/>
        <w:t xml:space="preserve">Klima, Gyula. </w:t>
      </w:r>
      <w:r>
        <w:rPr>
          <w:i/>
        </w:rPr>
        <w:t>Ars Artium: Essays in Philosophical Semantics, Medieval and Modern</w:t>
      </w:r>
      <w:r>
        <w:rPr/>
        <w:t>. Budapest: Institute of Philosophy of the Hungarian Academy of Sciences, 1988.</w:t>
      </w:r>
      <w:bookmarkStart w:id="35" w:name="ref-Klima1988"/>
      <w:bookmarkEnd w:id="35"/>
    </w:p>
    <w:p>
      <w:pPr>
        <w:pStyle w:val="Bibliography"/>
        <w:widowControl/>
        <w:bidi w:val="0"/>
        <w:spacing w:before="0" w:after="200"/>
        <w:ind w:left="180" w:right="0" w:hanging="180"/>
        <w:jc w:val="both"/>
        <w:rPr/>
      </w:pPr>
      <w:r>
        <w:rPr/>
        <w:t>———</w:t>
      </w:r>
      <w:r>
        <w:rPr/>
        <w:t xml:space="preserve">. “Consequences of a Closed, Token-Based Semantics: The Case of John Buridan.” </w:t>
      </w:r>
      <w:r>
        <w:rPr>
          <w:i/>
        </w:rPr>
        <w:t>History and Philosophy of Logic</w:t>
      </w:r>
      <w:r>
        <w:rPr/>
        <w:t xml:space="preserve"> 25, no. 2 (2004): 95–110.</w:t>
      </w:r>
      <w:bookmarkStart w:id="36" w:name="ref-Klima2004"/>
      <w:bookmarkEnd w:id="36"/>
    </w:p>
    <w:p>
      <w:pPr>
        <w:pStyle w:val="Bibliography"/>
        <w:widowControl/>
        <w:bidi w:val="0"/>
        <w:spacing w:before="0" w:after="200"/>
        <w:ind w:left="180" w:right="0" w:hanging="180"/>
        <w:jc w:val="both"/>
        <w:rPr/>
      </w:pPr>
      <w:r>
        <w:rPr/>
        <w:t xml:space="preserve">Kripke, Saul A. “Outline of a Theory of Truth.” </w:t>
      </w:r>
      <w:r>
        <w:rPr>
          <w:i/>
        </w:rPr>
        <w:t>Journal of Philosophy</w:t>
      </w:r>
      <w:r>
        <w:rPr/>
        <w:t xml:space="preserve"> 72, no. 19 (1975): 690–716.</w:t>
      </w:r>
      <w:bookmarkStart w:id="37" w:name="ref-Kripke1975"/>
      <w:bookmarkEnd w:id="37"/>
    </w:p>
    <w:p>
      <w:pPr>
        <w:pStyle w:val="Bibliography"/>
        <w:widowControl/>
        <w:bidi w:val="0"/>
        <w:spacing w:before="0" w:after="200"/>
        <w:ind w:left="180" w:right="0" w:hanging="180"/>
        <w:jc w:val="both"/>
        <w:rPr/>
      </w:pPr>
      <w:r>
        <w:rPr/>
        <w:t>———</w:t>
      </w:r>
      <w:r>
        <w:rPr/>
        <w:t xml:space="preserve">. “Ungroundedness in Tarskian Languages.” </w:t>
      </w:r>
      <w:r>
        <w:rPr>
          <w:i/>
        </w:rPr>
        <w:t>Journal of Philosophical Logic</w:t>
      </w:r>
      <w:r>
        <w:rPr/>
        <w:t xml:space="preserve">, </w:t>
      </w:r>
      <w:bookmarkStart w:id="38" w:name="ref-Kripke2018"/>
      <w:bookmarkEnd w:id="38"/>
      <w:r>
        <w:rPr/>
        <w:t>(forthcoming).</w:t>
      </w:r>
    </w:p>
    <w:p>
      <w:pPr>
        <w:pStyle w:val="Bibliography"/>
        <w:widowControl/>
        <w:bidi w:val="0"/>
        <w:spacing w:before="0" w:after="200"/>
        <w:ind w:left="180" w:right="0" w:hanging="180"/>
        <w:jc w:val="both"/>
        <w:rPr/>
      </w:pPr>
      <w:r>
        <w:rPr/>
        <w:t xml:space="preserve">Lubrano, Michele. “The Emergence of Ground: Some Limitative Results.” </w:t>
      </w:r>
      <w:r>
        <w:rPr>
          <w:i/>
        </w:rPr>
        <w:t>Synthese</w:t>
      </w:r>
      <w:r>
        <w:rPr/>
        <w:t xml:space="preserve">, </w:t>
      </w:r>
      <w:bookmarkStart w:id="39" w:name="ref-Lubrano2019"/>
      <w:bookmarkEnd w:id="39"/>
      <w:r>
        <w:rPr/>
        <w:t>(forthcoming).</w:t>
      </w:r>
    </w:p>
    <w:p>
      <w:pPr>
        <w:pStyle w:val="Bibliography"/>
        <w:widowControl/>
        <w:bidi w:val="0"/>
        <w:spacing w:before="0" w:after="200"/>
        <w:ind w:left="180" w:right="0" w:hanging="180"/>
        <w:jc w:val="both"/>
        <w:rPr/>
      </w:pPr>
      <w:r>
        <w:rPr/>
        <w:t>MacFarlane, John. “What Does It Mean to Say That Logic Is Formal?” PhD thesis, University of Pittsburgh, 2000.</w:t>
      </w:r>
      <w:bookmarkStart w:id="40" w:name="ref-MacFarlane2000"/>
      <w:bookmarkEnd w:id="40"/>
    </w:p>
    <w:p>
      <w:pPr>
        <w:pStyle w:val="Bibliography"/>
        <w:widowControl/>
        <w:bidi w:val="0"/>
        <w:spacing w:before="0" w:after="200"/>
        <w:ind w:left="180" w:right="0" w:hanging="180"/>
        <w:jc w:val="both"/>
        <w:rPr/>
      </w:pPr>
      <w:r>
        <w:rPr/>
        <w:t xml:space="preserve">Martin, Christopher J. “Denying Conditionals: Abaelard and the Failure of Boethius’ Account of the Hypothetical Syllogism.” </w:t>
      </w:r>
      <w:r>
        <w:rPr>
          <w:i/>
        </w:rPr>
        <w:t>Vivarium</w:t>
      </w:r>
      <w:r>
        <w:rPr/>
        <w:t xml:space="preserve"> 45 (2007): 153–68.</w:t>
      </w:r>
      <w:bookmarkStart w:id="41" w:name="ref-Martin2007"/>
      <w:bookmarkEnd w:id="41"/>
    </w:p>
    <w:p>
      <w:pPr>
        <w:pStyle w:val="Bibliography"/>
        <w:widowControl/>
        <w:bidi w:val="0"/>
        <w:spacing w:before="0" w:after="200"/>
        <w:ind w:left="180" w:right="0" w:hanging="180"/>
        <w:jc w:val="both"/>
        <w:rPr/>
      </w:pPr>
      <w:r>
        <w:rPr/>
        <w:t>———</w:t>
      </w:r>
      <w:r>
        <w:rPr/>
        <w:t xml:space="preserve">. “Formal Consequence in Scotus and Ockham: Towards an Account of Scotus’ Logic.” In </w:t>
      </w:r>
      <w:r>
        <w:rPr>
          <w:i/>
        </w:rPr>
        <w:t>Duns Scotus in Paris, 1302-2002: Proceedings of the Conference of Paris, 2-4 September 2002</w:t>
      </w:r>
      <w:r>
        <w:rPr/>
        <w:t>, edited by O. Boulnois, E. Karger, and G. Sondag, 117–50. Turnhout: Brepols, 2004.</w:t>
      </w:r>
      <w:bookmarkStart w:id="42" w:name="ref-Martin2004"/>
      <w:bookmarkEnd w:id="42"/>
    </w:p>
    <w:p>
      <w:pPr>
        <w:pStyle w:val="Bibliography"/>
        <w:widowControl/>
        <w:bidi w:val="0"/>
        <w:spacing w:before="0" w:after="200"/>
        <w:ind w:left="180" w:right="0" w:hanging="180"/>
        <w:jc w:val="both"/>
        <w:rPr/>
      </w:pPr>
      <w:r>
        <w:rPr/>
        <w:t>———</w:t>
      </w:r>
      <w:r>
        <w:rPr/>
        <w:t xml:space="preserve">. “The Theory of Natural Consequence.” </w:t>
      </w:r>
      <w:r>
        <w:rPr>
          <w:i/>
        </w:rPr>
        <w:t>Vivarium</w:t>
      </w:r>
      <w:r>
        <w:rPr/>
        <w:t xml:space="preserve"> 56, nos. 3-4 (2018): 340–66.</w:t>
      </w:r>
      <w:bookmarkStart w:id="43" w:name="ref-Martin2018"/>
      <w:bookmarkEnd w:id="43"/>
    </w:p>
    <w:p>
      <w:pPr>
        <w:pStyle w:val="Bibliography"/>
        <w:widowControl/>
        <w:bidi w:val="0"/>
        <w:spacing w:before="0" w:after="200"/>
        <w:ind w:left="180" w:right="0" w:hanging="180"/>
        <w:jc w:val="both"/>
        <w:rPr/>
      </w:pPr>
      <w:r>
        <w:rPr/>
        <w:t xml:space="preserve">Parsons, Terence. </w:t>
      </w:r>
      <w:r>
        <w:rPr>
          <w:i/>
        </w:rPr>
        <w:t>Articulating Medieval Logic</w:t>
      </w:r>
      <w:r>
        <w:rPr/>
        <w:t>. Oxford: Oxford University Press, 2014.</w:t>
      </w:r>
      <w:bookmarkStart w:id="44" w:name="ref-Parsons2014"/>
      <w:bookmarkEnd w:id="44"/>
    </w:p>
    <w:p>
      <w:pPr>
        <w:pStyle w:val="Bibliography"/>
        <w:widowControl/>
        <w:bidi w:val="0"/>
        <w:spacing w:before="0" w:after="200"/>
        <w:ind w:left="180" w:right="0" w:hanging="180"/>
        <w:jc w:val="both"/>
        <w:rPr/>
      </w:pPr>
      <w:r>
        <w:rPr/>
        <w:t xml:space="preserve">Prawitz, Dag. “Remarks on Some Approaches to the Concept of Logical Consequence.” </w:t>
      </w:r>
      <w:r>
        <w:rPr>
          <w:i/>
        </w:rPr>
        <w:t>Synthese</w:t>
      </w:r>
      <w:r>
        <w:rPr/>
        <w:t xml:space="preserve"> 62, no. 2 (1985): 153–71.</w:t>
      </w:r>
      <w:bookmarkStart w:id="45" w:name="ref-Prawitz1985"/>
      <w:bookmarkEnd w:id="45"/>
    </w:p>
    <w:p>
      <w:pPr>
        <w:pStyle w:val="Bibliography"/>
        <w:widowControl/>
        <w:bidi w:val="0"/>
        <w:spacing w:before="0" w:after="200"/>
        <w:ind w:left="180" w:right="0" w:hanging="180"/>
        <w:jc w:val="both"/>
        <w:rPr/>
      </w:pPr>
      <w:r>
        <w:rPr/>
        <w:t xml:space="preserve">Pseudo-Scotus. </w:t>
      </w:r>
      <w:r>
        <w:rPr>
          <w:i/>
        </w:rPr>
        <w:t>Quaestiones Super Libros Ii Priorum Analyticorum</w:t>
      </w:r>
      <w:r>
        <w:rPr/>
        <w:t>. Joannis Duns Scoti Doctoris Subtilis Ordinis Minorum Opera Omnia, vol. 2. Paris: Wadding-Vives, 1891.</w:t>
      </w:r>
      <w:bookmarkStart w:id="46" w:name="ref-Pseudo-Scotus1891"/>
      <w:bookmarkEnd w:id="46"/>
    </w:p>
    <w:p>
      <w:pPr>
        <w:pStyle w:val="Bibliography"/>
        <w:widowControl/>
        <w:bidi w:val="0"/>
        <w:spacing w:before="0" w:after="200"/>
        <w:ind w:left="180" w:right="0" w:hanging="180"/>
        <w:jc w:val="both"/>
        <w:rPr/>
      </w:pPr>
      <w:r>
        <w:rPr/>
        <w:t xml:space="preserve">Read, Stephen. “William of Ockham’s </w:t>
      </w:r>
      <w:r>
        <w:rPr>
          <w:i/>
        </w:rPr>
        <w:t>the Sum of Logic</w:t>
      </w:r>
      <w:r>
        <w:rPr/>
        <w:t xml:space="preserve">.” </w:t>
      </w:r>
      <w:r>
        <w:rPr>
          <w:i/>
        </w:rPr>
        <w:t>Topoi</w:t>
      </w:r>
      <w:r>
        <w:rPr/>
        <w:t xml:space="preserve"> 26, no. 2 (2007): 271–77.</w:t>
      </w:r>
      <w:bookmarkStart w:id="47" w:name="ref-Read2007"/>
      <w:bookmarkEnd w:id="47"/>
    </w:p>
    <w:p>
      <w:pPr>
        <w:pStyle w:val="Bibliography"/>
        <w:widowControl/>
        <w:bidi w:val="0"/>
        <w:spacing w:before="0" w:after="200"/>
        <w:ind w:left="180" w:right="0" w:hanging="180"/>
        <w:jc w:val="both"/>
        <w:rPr/>
      </w:pPr>
      <w:r>
        <w:rPr/>
        <w:t xml:space="preserve">Schaffer, Jonathan. “Grounding in the Image of Causation.” </w:t>
      </w:r>
      <w:r>
        <w:rPr>
          <w:i/>
        </w:rPr>
        <w:t>Philosophical Studies</w:t>
      </w:r>
      <w:r>
        <w:rPr/>
        <w:t xml:space="preserve"> 173 (2016): 49–100.</w:t>
      </w:r>
      <w:bookmarkStart w:id="48" w:name="ref-Schaffer2016"/>
      <w:bookmarkEnd w:id="48"/>
    </w:p>
    <w:p>
      <w:pPr>
        <w:pStyle w:val="Bibliography"/>
        <w:widowControl/>
        <w:bidi w:val="0"/>
        <w:spacing w:before="0" w:after="200"/>
        <w:ind w:left="180" w:right="0" w:hanging="180"/>
        <w:jc w:val="both"/>
        <w:rPr/>
      </w:pPr>
      <w:r>
        <w:rPr/>
        <w:t>———</w:t>
      </w:r>
      <w:r>
        <w:rPr/>
        <w:t xml:space="preserve">. “On What Grounds What.” In </w:t>
      </w:r>
      <w:r>
        <w:rPr>
          <w:i/>
        </w:rPr>
        <w:t>Metametaphysics: New Essays on the Foundations of Ontology</w:t>
      </w:r>
      <w:r>
        <w:rPr/>
        <w:t>, edited by David J. Chalmers, David Manley, and Ryan Wasserman, 347–83, 2009.</w:t>
      </w:r>
      <w:bookmarkStart w:id="49" w:name="ref-Schaffer2009"/>
      <w:bookmarkEnd w:id="49"/>
    </w:p>
    <w:p>
      <w:pPr>
        <w:pStyle w:val="Bibliography"/>
        <w:widowControl/>
        <w:bidi w:val="0"/>
        <w:spacing w:before="0" w:after="200"/>
        <w:ind w:left="180" w:right="0" w:hanging="180"/>
        <w:jc w:val="both"/>
        <w:rPr/>
      </w:pPr>
      <w:r>
        <w:rPr/>
        <w:t xml:space="preserve">Schnieder, Benjamin. “On Ground and Consequence.” </w:t>
      </w:r>
      <w:r>
        <w:rPr>
          <w:i/>
        </w:rPr>
        <w:t>Synthese</w:t>
      </w:r>
      <w:r>
        <w:rPr/>
        <w:t xml:space="preserve">, </w:t>
      </w:r>
      <w:bookmarkStart w:id="50" w:name="ref-Schnieder2019"/>
      <w:bookmarkEnd w:id="50"/>
      <w:r>
        <w:rPr/>
        <w:t>(forthcoming).</w:t>
      </w:r>
    </w:p>
    <w:p>
      <w:pPr>
        <w:pStyle w:val="Bibliography"/>
        <w:widowControl/>
        <w:bidi w:val="0"/>
        <w:spacing w:before="0" w:after="200"/>
        <w:ind w:left="180" w:right="0" w:hanging="180"/>
        <w:jc w:val="both"/>
        <w:rPr/>
      </w:pPr>
      <w:r>
        <w:rPr/>
        <w:t xml:space="preserve">Schroeder-Heister, Peter. “Validity Concepts in Proof-Theoretic Semantics.” </w:t>
      </w:r>
      <w:r>
        <w:rPr>
          <w:i/>
        </w:rPr>
        <w:t>Synthese</w:t>
      </w:r>
      <w:r>
        <w:rPr/>
        <w:t xml:space="preserve"> 148, no. 3 (2006): 525–71.</w:t>
      </w:r>
      <w:bookmarkStart w:id="51" w:name="ref-Schroeder-Heister2006"/>
      <w:bookmarkEnd w:id="51"/>
    </w:p>
    <w:p>
      <w:pPr>
        <w:pStyle w:val="Bibliography"/>
        <w:widowControl/>
        <w:bidi w:val="0"/>
        <w:spacing w:before="0" w:after="200"/>
        <w:ind w:left="180" w:right="0" w:hanging="180"/>
        <w:jc w:val="both"/>
        <w:rPr/>
      </w:pPr>
      <w:r>
        <w:rPr/>
        <w:t>Seaton, Wallace Knight. “An Edition and Translation of the Tractatus de Consequentiis of Ralph Strode.” PhD thesis, University of California at Berkeley, 1973.</w:t>
      </w:r>
      <w:bookmarkStart w:id="52" w:name="ref-StrodeConsequentiis"/>
      <w:bookmarkEnd w:id="52"/>
    </w:p>
    <w:p>
      <w:pPr>
        <w:pStyle w:val="Bibliography"/>
        <w:widowControl/>
        <w:bidi w:val="0"/>
        <w:spacing w:before="0" w:after="200"/>
        <w:ind w:left="180" w:right="0" w:hanging="180"/>
        <w:jc w:val="both"/>
        <w:rPr/>
      </w:pPr>
      <w:r>
        <w:rPr/>
        <w:t xml:space="preserve">Spade, Paul Vincent, and Stephen Menn. “A Note on the Title of Walter Burley’s </w:t>
      </w:r>
      <w:r>
        <w:rPr>
          <w:i/>
        </w:rPr>
        <w:t>on the Purity of the Art of Logic</w:t>
      </w:r>
      <w:r>
        <w:rPr/>
        <w:t xml:space="preserve">,” 2003. </w:t>
      </w:r>
      <w:hyperlink r:id="rId2">
        <w:r>
          <w:rPr>
            <w:rStyle w:val="InternetLink"/>
          </w:rPr>
          <w:t>http://pvspade.com/Logic/docs/BurlNote.pdf</w:t>
        </w:r>
      </w:hyperlink>
      <w:r>
        <w:rPr/>
        <w:t>.</w:t>
      </w:r>
    </w:p>
    <w:p>
      <w:pPr>
        <w:pStyle w:val="Bibliography"/>
        <w:widowControl/>
        <w:bidi w:val="0"/>
        <w:spacing w:before="0" w:after="200"/>
        <w:ind w:left="180" w:right="0" w:hanging="180"/>
        <w:jc w:val="both"/>
        <w:rPr/>
      </w:pPr>
      <w:r>
        <w:rPr/>
        <w:t xml:space="preserve">Tarski, Alfred. “On the Concept of Following Logically.” Translated by Magda Stroińska and David Hitchcock. </w:t>
      </w:r>
      <w:r>
        <w:rPr>
          <w:i/>
        </w:rPr>
        <w:t>History and Philosophy of Logic</w:t>
      </w:r>
      <w:r>
        <w:rPr/>
        <w:t xml:space="preserve"> 23, no. 3 (2002): 155–96.</w:t>
      </w:r>
      <w:bookmarkStart w:id="53" w:name="ref-Tarski2002"/>
      <w:bookmarkEnd w:id="53"/>
    </w:p>
    <w:p>
      <w:pPr>
        <w:pStyle w:val="Bibliography"/>
        <w:widowControl/>
        <w:bidi w:val="0"/>
        <w:spacing w:before="0" w:after="200"/>
        <w:ind w:left="180" w:right="0" w:hanging="180"/>
        <w:jc w:val="both"/>
        <w:rPr/>
      </w:pPr>
      <w:r>
        <w:rPr/>
        <w:t xml:space="preserve">Walter Burleigh. </w:t>
      </w:r>
      <w:r>
        <w:rPr>
          <w:i/>
        </w:rPr>
        <w:t>De Puritate Artis Logicae</w:t>
      </w:r>
      <w:r>
        <w:rPr/>
        <w:t>. Edited by Philotheus Boehner. St Bonaventure, NY: Franciscan Institute, 1955.</w:t>
      </w:r>
      <w:bookmarkStart w:id="54" w:name="ref-BurleyDPAL"/>
      <w:bookmarkEnd w:id="54"/>
    </w:p>
    <w:p>
      <w:pPr>
        <w:pStyle w:val="Bibliography"/>
        <w:widowControl/>
        <w:bidi w:val="0"/>
        <w:spacing w:before="0" w:after="200"/>
        <w:ind w:left="180" w:right="0" w:hanging="180"/>
        <w:jc w:val="both"/>
        <w:rPr/>
      </w:pPr>
      <w:r>
        <w:rPr/>
        <w:t xml:space="preserve">William of Ockham. “Summa Logicae.” In </w:t>
      </w:r>
      <w:r>
        <w:rPr>
          <w:i/>
        </w:rPr>
        <w:t>Opera Philosophica</w:t>
      </w:r>
      <w:r>
        <w:rPr/>
        <w:t>, edited by Philotheus Boehner, Gedeon Gàl, and Stephen Brown, Vol. 1. St. Bonaventure, NY: Franciscan Institute, 1974.</w:t>
      </w:r>
    </w:p>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 xml:space="preserve">Jonathan Schaffer, “On What Grounds What,” in </w:t>
      </w:r>
      <w:r>
        <w:rPr>
          <w:i/>
        </w:rPr>
        <w:t>Metametaphysics: New Essays on the Foundations of Ontology</w:t>
      </w:r>
      <w:r>
        <w:rPr/>
        <w:t>, ed. David J. Chalmers, David Manley, and Ryan Wasserman, 2009, 364.</w:t>
      </w:r>
    </w:p>
  </w:footnote>
  <w:footnote w:id="3">
    <w:p>
      <w:pPr>
        <w:pStyle w:val="Footnote"/>
        <w:spacing w:before="0" w:after="200"/>
        <w:rPr/>
      </w:pPr>
      <w:r>
        <w:rPr>
          <w:rStyle w:val="FootnoteCharacters"/>
        </w:rPr>
        <w:footnoteRef/>
      </w:r>
      <w:r>
        <w:rPr/>
        <w:t xml:space="preserve"> </w:t>
      </w:r>
      <w:r>
        <w:rPr/>
        <w:t xml:space="preserve">Benjamin Schnieder, “On Ground and Consequence,” </w:t>
      </w:r>
      <w:r>
        <w:rPr>
          <w:i/>
        </w:rPr>
        <w:t>Synthese</w:t>
      </w:r>
      <w:r>
        <w:rPr/>
        <w:t xml:space="preserve">, </w:t>
      </w:r>
      <w:bookmarkStart w:id="55" w:name="__DdeLink__17786_386849985"/>
      <w:r>
        <w:rPr/>
        <w:t>(forthcoming)</w:t>
      </w:r>
      <w:bookmarkEnd w:id="55"/>
      <w:r>
        <w:rPr/>
        <w:t>(forthcoming), 6–7.</w:t>
      </w:r>
    </w:p>
  </w:footnote>
  <w:footnote w:id="4">
    <w:p>
      <w:pPr>
        <w:pStyle w:val="Footnote"/>
        <w:spacing w:before="0" w:after="200"/>
        <w:rPr/>
      </w:pPr>
      <w:r>
        <w:rPr>
          <w:rStyle w:val="FootnoteCharacters"/>
        </w:rPr>
        <w:footnoteRef/>
      </w:r>
      <w:r>
        <w:rPr/>
        <w:t xml:space="preserve"> </w:t>
      </w:r>
      <w:r>
        <w:rPr/>
        <w:t xml:space="preserve">The contemporary resurgence of interest in grounding can be traced back to Jonathan Schaffer’s 2009 ‘On What Grounds What’, though Schaffer’s article has important antecedents in Kit Fine’s work on essence and Saul Kripke’s on truth. See Kit Fine, “Essence and Modality,” </w:t>
      </w:r>
      <w:r>
        <w:rPr>
          <w:i/>
        </w:rPr>
        <w:t>Philosophical Perspectives</w:t>
      </w:r>
      <w:r>
        <w:rPr/>
        <w:t xml:space="preserve"> 8 (1994): 1–16; Kit Fine, “Guide to Ground,” in </w:t>
      </w:r>
      <w:r>
        <w:rPr>
          <w:i/>
        </w:rPr>
        <w:t>Metaphysical Grounding: Understanding the Structure of Reality</w:t>
      </w:r>
      <w:r>
        <w:rPr/>
        <w:t xml:space="preserve">, ed. Fabrice Correia and Benjamin Schnieder (Cambridge: Cambridge University Press, 2012), 37–80; Saul A. Kripke, “Outline of a Theory of Truth,” </w:t>
      </w:r>
      <w:r>
        <w:rPr>
          <w:i/>
        </w:rPr>
        <w:t>Journal of Philosophy</w:t>
      </w:r>
      <w:r>
        <w:rPr/>
        <w:t xml:space="preserve"> 72, no. 19 (1975): 690–716; Saul A. Kripke, “Ungroundedness in Tarskian Languages,” </w:t>
      </w:r>
      <w:r>
        <w:rPr>
          <w:i/>
        </w:rPr>
        <w:t>Journal of Philosophical Logic</w:t>
      </w:r>
      <w:r>
        <w:rPr/>
        <w:t xml:space="preserve">, (forthcoming)(forthcoming); Schaffer, “On What Grounds What”; Jonathan Schaffer, “Grounding in the Image of Causation,” </w:t>
      </w:r>
      <w:r>
        <w:rPr>
          <w:i/>
        </w:rPr>
        <w:t>Philosophical Studies</w:t>
      </w:r>
      <w:r>
        <w:rPr/>
        <w:t xml:space="preserve"> 173 (2016): 49–100.</w:t>
      </w:r>
    </w:p>
  </w:footnote>
  <w:footnote w:id="5">
    <w:p>
      <w:pPr>
        <w:pStyle w:val="Footnote"/>
        <w:spacing w:before="0" w:after="200"/>
        <w:rPr/>
      </w:pPr>
      <w:r>
        <w:rPr>
          <w:rStyle w:val="FootnoteCharacters"/>
        </w:rPr>
        <w:footnoteRef/>
      </w:r>
      <w:r>
        <w:rPr/>
        <w:t xml:space="preserve"> </w:t>
      </w:r>
      <w:r>
        <w:rPr/>
        <w:t xml:space="preserve">Wallace Knight Seaton, “An Edition and Translation of the Tractatus de Consequentiis of Ralph Strode” (University of California at Berkeley, 1973); Niels Jørgen Green-Pedersen, “Two Early Anonymous Tracts on Consequences,” </w:t>
      </w:r>
      <w:r>
        <w:rPr>
          <w:i/>
        </w:rPr>
        <w:t>Cahiers de L’Institut Du Moyen-Âge Grec et Latin</w:t>
      </w:r>
      <w:r>
        <w:rPr/>
        <w:t xml:space="preserve"> 35 (1980): 1–28.</w:t>
      </w:r>
    </w:p>
  </w:footnote>
  <w:footnote w:id="6">
    <w:p>
      <w:pPr>
        <w:pStyle w:val="Footnote"/>
        <w:spacing w:before="0" w:after="200"/>
        <w:rPr/>
      </w:pPr>
      <w:r>
        <w:rPr>
          <w:rStyle w:val="FootnoteCharacters"/>
        </w:rPr>
        <w:footnoteRef/>
      </w:r>
      <w:r>
        <w:rPr/>
        <w:t xml:space="preserve"> </w:t>
      </w:r>
      <w:r>
        <w:rPr/>
        <w:t xml:space="preserve">Kit Fine, “The Pure Logic of Ground,” </w:t>
      </w:r>
      <w:r>
        <w:rPr>
          <w:i/>
        </w:rPr>
        <w:t>Review of Symbolic Logic</w:t>
      </w:r>
      <w:r>
        <w:rPr/>
        <w:t xml:space="preserve"> 5, no. 1 (2012): 1–25.</w:t>
      </w:r>
    </w:p>
  </w:footnote>
  <w:footnote w:id="7">
    <w:p>
      <w:pPr>
        <w:pStyle w:val="Footnote"/>
        <w:spacing w:before="0" w:after="200"/>
        <w:rPr/>
      </w:pPr>
      <w:r>
        <w:rPr>
          <w:rStyle w:val="FootnoteCharacters"/>
        </w:rPr>
        <w:footnoteRef/>
      </w:r>
      <w:r>
        <w:rPr/>
        <w:t xml:space="preserve"> </w:t>
      </w:r>
      <w:r>
        <w:rPr/>
        <w:t>Schnieder, “On Ground and Consequence.”</w:t>
      </w:r>
    </w:p>
  </w:footnote>
  <w:footnote w:id="8">
    <w:p>
      <w:pPr>
        <w:pStyle w:val="Footnote"/>
        <w:spacing w:before="0" w:after="200"/>
        <w:rPr/>
      </w:pPr>
      <w:r>
        <w:rPr>
          <w:rStyle w:val="FootnoteCharacters"/>
        </w:rPr>
        <w:footnoteRef/>
      </w:r>
      <w:r>
        <w:rPr/>
        <w:t xml:space="preserve"> </w:t>
      </w:r>
      <w:r>
        <w:rPr/>
        <w:t xml:space="preserve">Samuele Chilovi, “Grounding Entails Supervenience,” </w:t>
      </w:r>
      <w:r>
        <w:rPr>
          <w:i/>
        </w:rPr>
        <w:t>Synthese</w:t>
      </w:r>
      <w:r>
        <w:rPr/>
        <w:t xml:space="preserve">, (forthcoming)(forthcoming); Kit Fine, “Identity Criteria and Ground,” </w:t>
      </w:r>
      <w:r>
        <w:rPr>
          <w:i/>
        </w:rPr>
        <w:t>Philosophical Studies</w:t>
      </w:r>
      <w:r>
        <w:rPr/>
        <w:t xml:space="preserve"> 173 (2016): 1–19; Michele Lubrano, “The Emergence of Ground: Some Limitative Results,” </w:t>
      </w:r>
      <w:r>
        <w:rPr>
          <w:i/>
        </w:rPr>
        <w:t>Synthese</w:t>
      </w:r>
      <w:r>
        <w:rPr/>
        <w:t>, (forthcoming)</w:t>
      </w:r>
    </w:p>
  </w:footnote>
  <w:footnote w:id="9">
    <w:p>
      <w:pPr>
        <w:pStyle w:val="Footnote"/>
        <w:spacing w:before="0" w:after="200"/>
        <w:rPr/>
      </w:pPr>
      <w:r>
        <w:rPr>
          <w:rStyle w:val="FootnoteCharacters"/>
        </w:rPr>
        <w:footnoteRef/>
      </w:r>
      <w:r>
        <w:rPr/>
        <w:t xml:space="preserve"> </w:t>
      </w:r>
      <w:r>
        <w:rPr/>
        <w:t xml:space="preserve">Alfred Tarski, “On the Concept of Following Logically,” trans. Magda Stroińska and David Hitchcock, </w:t>
      </w:r>
      <w:r>
        <w:rPr>
          <w:i/>
        </w:rPr>
        <w:t>History and Philosophy of Logic</w:t>
      </w:r>
      <w:r>
        <w:rPr/>
        <w:t xml:space="preserve"> 23, no. 3 (2002): 155–96; Mario Gómez-Torrente, “A Note on Formality and Logical Consequence,” </w:t>
      </w:r>
      <w:r>
        <w:rPr>
          <w:i/>
        </w:rPr>
        <w:t>Journal of Philosophical Logic</w:t>
      </w:r>
      <w:r>
        <w:rPr/>
        <w:t xml:space="preserve"> 29, no. 5 (2000): 529–39.</w:t>
      </w:r>
    </w:p>
  </w:footnote>
  <w:footnote w:id="10">
    <w:p>
      <w:pPr>
        <w:pStyle w:val="Footnote"/>
        <w:spacing w:before="0" w:after="200"/>
        <w:rPr/>
      </w:pPr>
      <w:r>
        <w:rPr>
          <w:rStyle w:val="FootnoteCharacters"/>
        </w:rPr>
        <w:footnoteRef/>
      </w:r>
      <w:r>
        <w:rPr/>
        <w:t xml:space="preserve"> </w:t>
      </w:r>
      <w:r>
        <w:rPr/>
        <w:t>Tarski, “On the Concept of Following Logically.”</w:t>
      </w:r>
    </w:p>
  </w:footnote>
  <w:footnote w:id="11">
    <w:p>
      <w:pPr>
        <w:pStyle w:val="Footnote"/>
        <w:spacing w:before="0" w:after="200"/>
        <w:rPr/>
      </w:pPr>
      <w:r>
        <w:rPr>
          <w:rStyle w:val="FootnoteCharacters"/>
        </w:rPr>
        <w:footnoteRef/>
      </w:r>
      <w:r>
        <w:rPr/>
        <w:t xml:space="preserve"> </w:t>
      </w:r>
      <w:r>
        <w:rPr/>
        <w:t xml:space="preserve">Dag Prawitz, “Remarks on Some Approaches to the Concept of Logical Consequence,” </w:t>
      </w:r>
      <w:r>
        <w:rPr>
          <w:i/>
        </w:rPr>
        <w:t>Synthese</w:t>
      </w:r>
      <w:r>
        <w:rPr/>
        <w:t xml:space="preserve"> 62, no. 2 (1985): 153–71; Peter Schroeder-Heister, “Validity Concepts in Proof-Theoretic Semantics,” </w:t>
      </w:r>
      <w:r>
        <w:rPr>
          <w:i/>
        </w:rPr>
        <w:t>Synthese</w:t>
      </w:r>
      <w:r>
        <w:rPr/>
        <w:t xml:space="preserve"> 148, no. 3 (2006): 525–71.</w:t>
      </w:r>
    </w:p>
  </w:footnote>
  <w:footnote w:id="12">
    <w:p>
      <w:pPr>
        <w:pStyle w:val="Footnote"/>
        <w:spacing w:before="0" w:after="200"/>
        <w:rPr/>
      </w:pPr>
      <w:r>
        <w:rPr>
          <w:rStyle w:val="FootnoteCharacters"/>
        </w:rPr>
        <w:footnoteRef/>
      </w:r>
      <w:r>
        <w:rPr/>
        <w:t xml:space="preserve"> </w:t>
      </w:r>
      <w:r>
        <w:rPr/>
        <w:t xml:space="preserve">Ole T. Hjortland, “The Structure of Logical Consequence: Proof-Theoretic Conceptions” (University of St. Andrews, 2009); Curtis Franks, “Cut as Consequence,” </w:t>
      </w:r>
      <w:r>
        <w:rPr>
          <w:i/>
        </w:rPr>
        <w:t>History and Philosophy of Logic</w:t>
      </w:r>
      <w:r>
        <w:rPr/>
        <w:t xml:space="preserve"> 31, no. 4 (2010): 349–79.</w:t>
      </w:r>
    </w:p>
  </w:footnote>
  <w:footnote w:id="13">
    <w:p>
      <w:pPr>
        <w:pStyle w:val="Footnote"/>
        <w:spacing w:before="0" w:after="200"/>
        <w:rPr/>
      </w:pPr>
      <w:r>
        <w:rPr>
          <w:rStyle w:val="FootnoteCharacters"/>
        </w:rPr>
        <w:footnoteRef/>
      </w:r>
      <w:r>
        <w:rPr/>
        <w:t xml:space="preserve"> </w:t>
      </w:r>
      <w:r>
        <w:rPr/>
        <w:t>Tarski, “On the Concept of Following Logically,” 183–84.</w:t>
      </w:r>
    </w:p>
  </w:footnote>
  <w:footnote w:id="14">
    <w:p>
      <w:pPr>
        <w:pStyle w:val="Footnote"/>
        <w:rPr/>
      </w:pPr>
      <w:r>
        <w:rPr>
          <w:rStyle w:val="FootnoteCharacters"/>
        </w:rPr>
        <w:footnoteRef/>
      </w:r>
      <w:r>
        <w:rPr/>
        <w:t xml:space="preserve"> </w:t>
      </w:r>
      <w:r>
        <w:rPr/>
        <w:t xml:space="preserve">John Buridan, </w:t>
      </w:r>
      <w:r>
        <w:rPr>
          <w:i/>
        </w:rPr>
        <w:t>Tractatus de Consequentiis</w:t>
      </w:r>
      <w:r>
        <w:rPr/>
        <w:t xml:space="preserve">, ed. Hubert Hubien, Philosophes Médiévaux 16 (Louvain: Publications universitaires, 1976), 23–24.‘Consequentia ‘formalis’ vocatur quae in omnibus terminis valet retenta forma consimili. Vel si vis expresse loqui de vis sermonis, consequentia formalis est cui omnis propositio similis in forma quae formaretur esset bona consequentia, ut ‘quod est A est B; ergo quod est B est A’. Translation taken from John Buridan, </w:t>
      </w:r>
      <w:r>
        <w:rPr>
          <w:i/>
        </w:rPr>
        <w:t>Treatise on Consequences</w:t>
      </w:r>
      <w:r>
        <w:rPr/>
        <w:t xml:space="preserve">, trans. Stephen Read (Bronx, NY: Fordham University Press, 2015), 68. Cf. Pseudo-Scotus, </w:t>
      </w:r>
      <w:r>
        <w:rPr>
          <w:i/>
        </w:rPr>
        <w:t>Quaestiones Super Libros Ii Priorum Analyticorum</w:t>
      </w:r>
      <w:r>
        <w:rPr/>
        <w:t>, Joannis Duns Scoti Doctoris Subtilis Ordinis Minorum Opera Omnia, vol. 2 (Paris: Wadding-Vives, 1891), 105.</w:t>
      </w:r>
    </w:p>
    <w:p>
      <w:pPr>
        <w:pStyle w:val="Footnote"/>
        <w:spacing w:before="0" w:after="200"/>
        <w:rPr/>
      </w:pPr>
      <w:r>
        <w:rPr/>
        <w:t xml:space="preserve">Since Buridan assumes the truth of a proposition entails its existence, his definition is actually a bit more careful than Tarski’s to avoid semantic paradoxes of self-reference. See Gyula Klima, “Consequences of a Closed, Token-Based Semantics: The Case of John Buridan,” </w:t>
      </w:r>
      <w:r>
        <w:rPr>
          <w:i/>
        </w:rPr>
        <w:t>History and Philosophy of Logic</w:t>
      </w:r>
      <w:r>
        <w:rPr/>
        <w:t xml:space="preserve"> 25, no. 2 (2004): 95–110; Catarina Dutilh Novaes, “Buridan’s </w:t>
      </w:r>
      <w:r>
        <w:rPr>
          <w:i/>
        </w:rPr>
        <w:t>Consequentia</w:t>
      </w:r>
      <w:r>
        <w:rPr/>
        <w:t xml:space="preserve">: Consequence and Inference Within a Token-Based Semantics,” </w:t>
      </w:r>
      <w:r>
        <w:rPr>
          <w:i/>
        </w:rPr>
        <w:t>History and Philosophy of Logic</w:t>
      </w:r>
      <w:r>
        <w:rPr/>
        <w:t xml:space="preserve"> 26, no. 4 (2005): 277–97.</w:t>
      </w:r>
    </w:p>
  </w:footnote>
  <w:footnote w:id="15">
    <w:p>
      <w:pPr>
        <w:pStyle w:val="Footnote"/>
        <w:spacing w:before="0" w:after="200"/>
        <w:rPr/>
      </w:pPr>
      <w:r>
        <w:rPr>
          <w:rStyle w:val="FootnoteCharacters"/>
        </w:rPr>
        <w:footnoteRef/>
      </w:r>
      <w:r>
        <w:rPr/>
        <w:t xml:space="preserve"> </w:t>
      </w:r>
      <w:r>
        <w:rPr/>
        <w:t xml:space="preserve">Catarina Dutilh Novaes, “The Different Ways in Which Logic Is (Said to Be) Formal,” </w:t>
      </w:r>
      <w:r>
        <w:rPr>
          <w:i/>
        </w:rPr>
        <w:t>History and Philosophy of Logic</w:t>
      </w:r>
      <w:r>
        <w:rPr/>
        <w:t xml:space="preserve"> 32, no. 4 (2011): 314–21.</w:t>
      </w:r>
    </w:p>
  </w:footnote>
  <w:footnote w:id="16">
    <w:p>
      <w:pPr>
        <w:pStyle w:val="Footnote"/>
        <w:spacing w:before="0" w:after="200"/>
        <w:rPr/>
      </w:pPr>
      <w:r>
        <w:rPr>
          <w:rStyle w:val="FootnoteCharacters"/>
        </w:rPr>
        <w:footnoteRef/>
      </w:r>
      <w:r>
        <w:rPr/>
        <w:t xml:space="preserve"> </w:t>
      </w:r>
      <w:r>
        <w:rPr/>
        <w:t xml:space="preserve">Cf. John Etchemendy, “Reflections on Consequence,” in </w:t>
      </w:r>
      <w:r>
        <w:rPr>
          <w:i/>
        </w:rPr>
        <w:t>New Essays on Tarski and Philosophy</w:t>
      </w:r>
      <w:r>
        <w:rPr/>
        <w:t>, ed. Douglas Patterson (Oxford: Clarendon Press, 2008), 263–99; John MacFarlane, “What Does It Mean to Say That Logic Is Formal?” (University of Pittsburgh, 2000).</w:t>
      </w:r>
    </w:p>
  </w:footnote>
  <w:footnote w:id="17">
    <w:p>
      <w:pPr>
        <w:pStyle w:val="Footnote"/>
        <w:spacing w:before="0" w:after="200"/>
        <w:rPr/>
      </w:pPr>
      <w:r>
        <w:rPr>
          <w:rStyle w:val="FootnoteCharacters"/>
        </w:rPr>
        <w:footnoteRef/>
      </w:r>
      <w:r>
        <w:rPr/>
        <w:t xml:space="preserve"> </w:t>
      </w:r>
      <w:r>
        <w:rPr/>
        <w:t xml:space="preserve">Jacob Archambault, “Introduction: Consequences in Medieval Logic,” </w:t>
      </w:r>
      <w:r>
        <w:rPr>
          <w:i/>
        </w:rPr>
        <w:t>Vivarium</w:t>
      </w:r>
      <w:r>
        <w:rPr/>
        <w:t xml:space="preserve"> 56, nos. 3-4 (2018): 201–21.</w:t>
      </w:r>
    </w:p>
  </w:footnote>
  <w:footnote w:id="18">
    <w:p>
      <w:pPr>
        <w:pStyle w:val="Footnote"/>
        <w:spacing w:before="0" w:after="200"/>
        <w:rPr/>
      </w:pPr>
      <w:r>
        <w:rPr>
          <w:rStyle w:val="FootnoteCharacters"/>
        </w:rPr>
        <w:footnoteRef/>
      </w:r>
      <w:r>
        <w:rPr/>
        <w:t xml:space="preserve"> </w:t>
      </w:r>
      <w:r>
        <w:rPr/>
        <w:t xml:space="preserve">For discussion of the earlier division and its relation to the later one, see Christopher J. Martin, “The Theory of Natural Consequence,” </w:t>
      </w:r>
      <w:r>
        <w:rPr>
          <w:i/>
        </w:rPr>
        <w:t>Vivarium</w:t>
      </w:r>
      <w:r>
        <w:rPr/>
        <w:t xml:space="preserve"> 56, nos. 3-4 (2018): 340–66; Christopher J. Martin, “Formal Consequence in Scotus and Ockham: Towards an Account of Scotus’ Logic,” in </w:t>
      </w:r>
      <w:r>
        <w:rPr>
          <w:i/>
        </w:rPr>
        <w:t>Duns Scotus in Paris, 1302-2002: Proceedings of the Conference of Paris, 2-4 September 2002</w:t>
      </w:r>
      <w:r>
        <w:rPr/>
        <w:t>, ed. O. Boulnois, E. Karger, and G. Sondag (Turnhout: Brepols, 2004), 117–50; Archambault, “Introduction.”.</w:t>
      </w:r>
    </w:p>
  </w:footnote>
  <w:footnote w:id="19">
    <w:p>
      <w:pPr>
        <w:pStyle w:val="Footnote"/>
        <w:spacing w:before="0" w:after="200"/>
        <w:rPr/>
      </w:pPr>
      <w:r>
        <w:rPr>
          <w:rStyle w:val="FootnoteCharacters"/>
        </w:rPr>
        <w:footnoteRef/>
      </w:r>
      <w:r>
        <w:rPr/>
        <w:t xml:space="preserve"> </w:t>
      </w:r>
      <w:r>
        <w:rPr/>
        <w:t xml:space="preserve">[821A], Boethius, </w:t>
      </w:r>
      <w:r>
        <w:rPr>
          <w:i/>
        </w:rPr>
        <w:t>De Syllogismo Categorico</w:t>
      </w:r>
      <w:r>
        <w:rPr/>
        <w:t>, ed. J. P. Migne, vol. 64, Patrologia Latina, n.d: ‘Syllogismus est oratio in qua positis quibusdam atque concessis, aliud quiddam quam sint ea quae posita et concessa sunt, necessaria contingit per ipsa quae concessa sunt.’</w:t>
      </w:r>
    </w:p>
  </w:footnote>
  <w:footnote w:id="20">
    <w:p>
      <w:pPr>
        <w:pStyle w:val="Footnote"/>
        <w:spacing w:before="0" w:after="200"/>
        <w:rPr/>
      </w:pPr>
      <w:r>
        <w:rPr>
          <w:rStyle w:val="FootnoteCharacters"/>
        </w:rPr>
        <w:footnoteRef/>
      </w:r>
      <w:r>
        <w:rPr/>
        <w:t xml:space="preserve"> </w:t>
      </w:r>
      <w:r>
        <w:rPr/>
        <w:t>Ibid., 64:821A–822C.</w:t>
      </w:r>
    </w:p>
  </w:footnote>
  <w:footnote w:id="21">
    <w:p>
      <w:pPr>
        <w:pStyle w:val="Footnote"/>
        <w:spacing w:before="0" w:after="200"/>
        <w:rPr/>
      </w:pPr>
      <w:r>
        <w:rPr>
          <w:rStyle w:val="FootnoteCharacters"/>
        </w:rPr>
        <w:footnoteRef/>
      </w:r>
      <w:r>
        <w:rPr/>
        <w:t xml:space="preserve"> </w:t>
      </w:r>
      <w:r>
        <w:rPr/>
        <w:t xml:space="preserve">Boethius, </w:t>
      </w:r>
      <w:r>
        <w:rPr>
          <w:i/>
        </w:rPr>
        <w:t>De Hypotheticis Syllogismis</w:t>
      </w:r>
      <w:r>
        <w:rPr/>
        <w:t>, ed. L. Obertello (Brescia: Paideia, 1969), 1.3.2. Boethius construes the logical ‘or’ in the exclusive, rather than inclusive sense.</w:t>
      </w:r>
    </w:p>
  </w:footnote>
  <w:footnote w:id="22">
    <w:p>
      <w:pPr>
        <w:pStyle w:val="Footnote"/>
        <w:spacing w:before="0" w:after="200"/>
        <w:rPr/>
      </w:pPr>
      <w:r>
        <w:rPr>
          <w:rStyle w:val="FootnoteCharacters"/>
        </w:rPr>
        <w:footnoteRef/>
      </w:r>
      <w:r>
        <w:rPr/>
        <w:t xml:space="preserve"> </w:t>
      </w:r>
      <w:r>
        <w:rPr/>
        <w:t>ibid., 1.1.6: ‘Primum igitur dicendum est quod praedicatiua propositio uim suam non in conditione sed in sola praedicatione constituit, in conditionali uero consequentiae ratio ex conditione suscipitur’.</w:t>
      </w:r>
    </w:p>
  </w:footnote>
  <w:footnote w:id="23">
    <w:p>
      <w:pPr>
        <w:pStyle w:val="Footnote"/>
        <w:spacing w:before="0" w:after="200"/>
        <w:rPr/>
      </w:pPr>
      <w:r>
        <w:rPr>
          <w:rStyle w:val="FootnoteCharacters"/>
        </w:rPr>
        <w:footnoteRef/>
      </w:r>
      <w:r>
        <w:rPr/>
        <w:t xml:space="preserve"> </w:t>
      </w:r>
      <w:r>
        <w:rPr/>
        <w:t>Ibid., 1.3.6–1.3.7.</w:t>
      </w:r>
    </w:p>
  </w:footnote>
  <w:footnote w:id="24">
    <w:p>
      <w:pPr>
        <w:pStyle w:val="Footnote"/>
        <w:spacing w:before="0" w:after="200"/>
        <w:rPr/>
      </w:pPr>
      <w:r>
        <w:rPr>
          <w:rStyle w:val="FootnoteCharacters"/>
        </w:rPr>
        <w:footnoteRef/>
      </w:r>
      <w:r>
        <w:rPr/>
        <w:t xml:space="preserve"> </w:t>
      </w:r>
      <w:r>
        <w:rPr/>
        <w:t xml:space="preserve">The association of consequences with non-syllogistic argument remains the norm to the time of Ockham’s </w:t>
      </w:r>
      <w:r>
        <w:rPr>
          <w:i/>
        </w:rPr>
        <w:t>Summa Logicae</w:t>
      </w:r>
      <w:r>
        <w:rPr/>
        <w:t xml:space="preserve">, and is only broken in Buridan’s </w:t>
      </w:r>
      <w:r>
        <w:rPr>
          <w:i/>
        </w:rPr>
        <w:t>Treatise on Consequences</w:t>
      </w:r>
      <w:r>
        <w:rPr/>
        <w:t xml:space="preserve">. Cf. Jacob Archambault, “Consequence and Formality in the Logic of Walter Burley,” </w:t>
      </w:r>
      <w:r>
        <w:rPr>
          <w:i/>
        </w:rPr>
        <w:t>Vivarium</w:t>
      </w:r>
      <w:r>
        <w:rPr/>
        <w:t xml:space="preserve"> 56, nos. 3-4 (2018): 295, Walter Burleigh, </w:t>
      </w:r>
      <w:r>
        <w:rPr>
          <w:i/>
        </w:rPr>
        <w:t>De Puritate Artis Logicae</w:t>
      </w:r>
      <w:r>
        <w:rPr/>
        <w:t>, ed. Philotheus Boehner (St Bonaventure, NY: Franciscan Institute, 1955), 141.26–30, 219.1–9.</w:t>
      </w:r>
    </w:p>
  </w:footnote>
  <w:footnote w:id="25">
    <w:p>
      <w:pPr>
        <w:pStyle w:val="Footnote"/>
        <w:spacing w:before="0" w:after="200"/>
        <w:rPr/>
      </w:pPr>
      <w:r>
        <w:rPr>
          <w:rStyle w:val="FootnoteCharacters"/>
        </w:rPr>
        <w:footnoteRef/>
      </w:r>
      <w:r>
        <w:rPr/>
        <w:t xml:space="preserve"> </w:t>
      </w:r>
      <w:r>
        <w:rPr/>
        <w:t xml:space="preserve">Boethius, </w:t>
      </w:r>
      <w:r>
        <w:rPr>
          <w:i/>
        </w:rPr>
        <w:t>De Hypotheticis Syllogismis</w:t>
      </w:r>
      <w:r>
        <w:rPr/>
        <w:t>, 1.3.5.</w:t>
      </w:r>
    </w:p>
  </w:footnote>
  <w:footnote w:id="26">
    <w:p>
      <w:pPr>
        <w:pStyle w:val="Footnote"/>
        <w:spacing w:before="0" w:after="200"/>
        <w:rPr/>
      </w:pPr>
      <w:r>
        <w:rPr>
          <w:rStyle w:val="FootnoteCharacters"/>
        </w:rPr>
        <w:footnoteRef/>
      </w:r>
      <w:r>
        <w:rPr/>
        <w:t xml:space="preserve"> </w:t>
      </w:r>
      <w:r>
        <w:rPr/>
        <w:t xml:space="preserve">Boethius, “De Differentiis Topicis,” in </w:t>
      </w:r>
      <w:r>
        <w:rPr>
          <w:i/>
        </w:rPr>
        <w:t>Patrologia Cursus Completus. Series Latina</w:t>
      </w:r>
      <w:r>
        <w:rPr/>
        <w:t>, vol. 64 (Paris: J. P. Migne), 1176B–C.</w:t>
      </w:r>
    </w:p>
  </w:footnote>
  <w:footnote w:id="27">
    <w:p>
      <w:pPr>
        <w:pStyle w:val="Footnote"/>
        <w:spacing w:before="0" w:after="200"/>
        <w:rPr/>
      </w:pPr>
      <w:r>
        <w:rPr>
          <w:rStyle w:val="FootnoteCharacters"/>
        </w:rPr>
        <w:footnoteRef/>
      </w:r>
      <w:r>
        <w:rPr/>
        <w:t xml:space="preserve"> </w:t>
      </w:r>
      <w:r>
        <w:rPr/>
        <w:t xml:space="preserve">Christopher J. Martin, “Denying Conditionals: Abaelard and the Failure of Boethius’ Account of the Hypothetical Syllogism,” </w:t>
      </w:r>
      <w:r>
        <w:rPr>
          <w:i/>
        </w:rPr>
        <w:t>Vivarium</w:t>
      </w:r>
      <w:r>
        <w:rPr/>
        <w:t xml:space="preserve"> 45 (2007): 157–58.</w:t>
      </w:r>
    </w:p>
  </w:footnote>
  <w:footnote w:id="28">
    <w:p>
      <w:pPr>
        <w:pStyle w:val="Footnote"/>
        <w:spacing w:before="0" w:after="200"/>
        <w:rPr/>
      </w:pPr>
      <w:r>
        <w:rPr>
          <w:rStyle w:val="FootnoteCharacters"/>
        </w:rPr>
        <w:footnoteRef/>
      </w:r>
      <w:r>
        <w:rPr/>
        <w:t xml:space="preserve"> </w:t>
      </w:r>
      <w:r>
        <w:rPr/>
        <w:t>[1174C-D], Boethius, “De Differentiis Topicis.”: ‘Argument est ratio rei dubiae faciens fidem …Locus autem est sedes argumenti.’</w:t>
      </w:r>
    </w:p>
  </w:footnote>
  <w:footnote w:id="29">
    <w:p>
      <w:pPr>
        <w:pStyle w:val="Footnote"/>
        <w:spacing w:before="0" w:after="200"/>
        <w:rPr/>
      </w:pPr>
      <w:r>
        <w:rPr>
          <w:rStyle w:val="FootnoteCharacters"/>
        </w:rPr>
        <w:footnoteRef/>
      </w:r>
      <w:r>
        <w:rPr/>
        <w:t xml:space="preserve"> </w:t>
      </w:r>
      <w:r>
        <w:rPr/>
        <w:t>Ibid., 1174C.</w:t>
      </w:r>
    </w:p>
  </w:footnote>
  <w:footnote w:id="30">
    <w:p>
      <w:pPr>
        <w:pStyle w:val="Footnote"/>
        <w:spacing w:before="0" w:after="200"/>
        <w:rPr/>
      </w:pPr>
      <w:r>
        <w:rPr>
          <w:rStyle w:val="FootnoteCharacters"/>
        </w:rPr>
        <w:footnoteRef/>
      </w:r>
      <w:r>
        <w:rPr/>
        <w:t xml:space="preserve"> </w:t>
      </w:r>
      <w:r>
        <w:rPr/>
        <w:t>Ibid., 1180C.</w:t>
      </w:r>
    </w:p>
  </w:footnote>
  <w:footnote w:id="31">
    <w:p>
      <w:pPr>
        <w:pStyle w:val="Footnote"/>
        <w:spacing w:before="0" w:after="200"/>
        <w:rPr/>
      </w:pPr>
      <w:r>
        <w:rPr>
          <w:rStyle w:val="FootnoteCharacters"/>
        </w:rPr>
        <w:footnoteRef/>
      </w:r>
      <w:r>
        <w:rPr/>
        <w:t xml:space="preserve"> </w:t>
      </w:r>
      <w:r>
        <w:rPr/>
        <w:t>Ibid., 1181A–C.</w:t>
      </w:r>
    </w:p>
  </w:footnote>
  <w:footnote w:id="32">
    <w:p>
      <w:pPr>
        <w:pStyle w:val="Footnote"/>
        <w:spacing w:before="0" w:after="200"/>
        <w:rPr/>
      </w:pPr>
      <w:r>
        <w:rPr>
          <w:rStyle w:val="FootnoteCharacters"/>
        </w:rPr>
        <w:footnoteRef/>
      </w:r>
      <w:r>
        <w:rPr/>
        <w:t xml:space="preserve"> </w:t>
      </w:r>
      <w:r>
        <w:rPr/>
        <w:t xml:space="preserve">ibid., 1185A-B. Cf. Toivo J. Holopainen, “Anselm’s </w:t>
      </w:r>
      <w:r>
        <w:rPr>
          <w:i/>
        </w:rPr>
        <w:t>Argumentum</w:t>
      </w:r>
      <w:r>
        <w:rPr/>
        <w:t xml:space="preserve"> and the Early Medieval Theory of Argument,” </w:t>
      </w:r>
      <w:r>
        <w:rPr>
          <w:i/>
        </w:rPr>
        <w:t>Vivarium</w:t>
      </w:r>
      <w:r>
        <w:rPr/>
        <w:t xml:space="preserve"> 45, no. 1 (2007): 1–29; Jacob Archambault, “Monotonic and Non-Monotonic Embeddings of Anselm’s Proof,” </w:t>
      </w:r>
      <w:r>
        <w:rPr>
          <w:i/>
        </w:rPr>
        <w:t>Logica Universalis</w:t>
      </w:r>
      <w:r>
        <w:rPr/>
        <w:t xml:space="preserve"> 11 (2017): 121–38</w:t>
      </w:r>
    </w:p>
  </w:footnote>
  <w:footnote w:id="33">
    <w:p>
      <w:pPr>
        <w:pStyle w:val="Footnote"/>
        <w:spacing w:before="0" w:after="200"/>
        <w:rPr/>
      </w:pPr>
      <w:r>
        <w:rPr>
          <w:rStyle w:val="FootnoteCharacters"/>
        </w:rPr>
        <w:footnoteRef/>
      </w:r>
      <w:r>
        <w:rPr/>
        <w:t xml:space="preserve"> </w:t>
      </w:r>
      <w:r>
        <w:rPr/>
        <w:t>Boethius, “De Differentiis Topicis,” 1179A-B: Nam ut praecedat aliquid et aliud consequatur, in his fere rebus euenire solet quas paulo superius commemoraui. Speciem quippe sequitur genus, uel differentia, uel definitio, uel proprium, uel inseparabile accidens. Item proprium ac definitionem sequitur species, proprium uero sequitur differentia et definitio, et definitionem sequitur proprium uel differentia, hoc modo: nam si homo est, animal est; et si homo est, rationale est; et si homo est, animal rationale mortale est; et si homo est, risibile est; si Aethiops est, niger est. Si risibile est, homo est; si animal rationale mortale est, homo est. Si risible, rationale est; si risible est, animal rationale mortale est; si animal rationale mortale est, risibile uel bipes est.</w:t>
      </w:r>
    </w:p>
  </w:footnote>
  <w:footnote w:id="34">
    <w:p>
      <w:pPr>
        <w:pStyle w:val="Footnote"/>
        <w:spacing w:before="0" w:after="200"/>
        <w:rPr/>
      </w:pPr>
      <w:r>
        <w:rPr>
          <w:rStyle w:val="FootnoteCharacters"/>
        </w:rPr>
        <w:footnoteRef/>
      </w:r>
      <w:r>
        <w:rPr/>
        <w:t xml:space="preserve"> </w:t>
      </w:r>
      <w:r>
        <w:rPr/>
        <w:t>ibid., 1179D: ‘Earum uero quaestionum quae ex affirmatione et negatione consistunt, illa fere diuisio est, quod uel in diuersis generibus, uel in diuersis speciebus, uel in contrariis, uel in priuatione atque habitu continentur’</w:t>
      </w:r>
    </w:p>
  </w:footnote>
  <w:footnote w:id="35">
    <w:p>
      <w:pPr>
        <w:pStyle w:val="Footnote"/>
        <w:spacing w:before="0" w:after="200"/>
        <w:rPr/>
      </w:pPr>
      <w:r>
        <w:rPr>
          <w:rStyle w:val="FootnoteCharacters"/>
        </w:rPr>
        <w:footnoteRef/>
      </w:r>
      <w:r>
        <w:rPr/>
        <w:t xml:space="preserve"> </w:t>
      </w:r>
      <w:r>
        <w:rPr/>
        <w:t>ibid., 1180A. Ut autem negationem affirmatio consequatur, quae erat quarta conditionalis propositionis differentia, fieri non potest, nisi in his contrariis quae medio carent, et quorum alterum semper inesse necesse est, hoc modo: si dies non est, nox est; si tenebrae non sunt, lux est.</w:t>
      </w:r>
    </w:p>
  </w:footnote>
  <w:footnote w:id="36">
    <w:p>
      <w:pPr>
        <w:pStyle w:val="Footnote"/>
        <w:spacing w:before="0" w:after="200"/>
        <w:rPr/>
      </w:pPr>
      <w:r>
        <w:rPr>
          <w:rStyle w:val="FootnoteCharacters"/>
        </w:rPr>
        <w:footnoteRef/>
      </w:r>
      <w:r>
        <w:rPr/>
        <w:t xml:space="preserve"> </w:t>
      </w:r>
      <w:r>
        <w:rPr/>
        <w:t xml:space="preserve">See Martin, “Denying Conditionals”; Bianca Bosman, “The Roots of the Notion of Containment in Theories of Consequence: Boethius on Topics, Containment, and Consequences,” </w:t>
      </w:r>
      <w:r>
        <w:rPr>
          <w:i/>
        </w:rPr>
        <w:t>Vivarium</w:t>
      </w:r>
      <w:r>
        <w:rPr/>
        <w:t xml:space="preserve"> 56, nos. 3-4 (2018): 222–40.</w:t>
      </w:r>
    </w:p>
  </w:footnote>
  <w:footnote w:id="37">
    <w:p>
      <w:pPr>
        <w:pStyle w:val="Footnote"/>
        <w:spacing w:before="0" w:after="200"/>
        <w:rPr/>
      </w:pPr>
      <w:r>
        <w:rPr>
          <w:rStyle w:val="FootnoteCharacters"/>
        </w:rPr>
        <w:footnoteRef/>
      </w:r>
      <w:r>
        <w:rPr/>
        <w:t xml:space="preserve"> </w:t>
      </w:r>
      <w:r>
        <w:rPr/>
        <w:t>Boethius, “De Differentiis Topicis,” 1191A-B.</w:t>
      </w:r>
    </w:p>
  </w:footnote>
  <w:footnote w:id="38">
    <w:p>
      <w:pPr>
        <w:pStyle w:val="Footnote"/>
        <w:spacing w:before="0" w:after="200"/>
        <w:rPr/>
      </w:pPr>
      <w:r>
        <w:rPr>
          <w:rStyle w:val="FootnoteCharacters"/>
        </w:rPr>
        <w:footnoteRef/>
      </w:r>
      <w:r>
        <w:rPr/>
        <w:t xml:space="preserve"> </w:t>
      </w:r>
      <w:r>
        <w:rPr/>
        <w:t xml:space="preserve">Catarina Dutilh Novaes, “Theory of Supposition Vs. Theory of Fallacies in Ockham,” </w:t>
      </w:r>
      <w:r>
        <w:rPr>
          <w:i/>
        </w:rPr>
        <w:t>Vivarium</w:t>
      </w:r>
      <w:r>
        <w:rPr/>
        <w:t xml:space="preserve"> 45, nos. 2-3 (2007): 343–59; Catarina Dutilh Novaes, “An Intensional Interpretation of Ockham’s Theory of Supposition,” </w:t>
      </w:r>
      <w:r>
        <w:rPr>
          <w:i/>
        </w:rPr>
        <w:t>Journal of the History of Philosophy</w:t>
      </w:r>
      <w:r>
        <w:rPr/>
        <w:t xml:space="preserve"> 46, no. 3 (2008): 365–93.</w:t>
      </w:r>
    </w:p>
  </w:footnote>
  <w:footnote w:id="39">
    <w:p>
      <w:pPr>
        <w:pStyle w:val="Footnote"/>
        <w:spacing w:before="0" w:after="200"/>
        <w:rPr/>
      </w:pPr>
      <w:r>
        <w:rPr>
          <w:rStyle w:val="FootnoteCharacters"/>
        </w:rPr>
        <w:footnoteRef/>
      </w:r>
      <w:r>
        <w:rPr/>
        <w:t xml:space="preserve"> </w:t>
      </w:r>
      <w:r>
        <w:rPr/>
        <w:t xml:space="preserve">Walter Burleigh, </w:t>
      </w:r>
      <w:r>
        <w:rPr>
          <w:i/>
        </w:rPr>
        <w:t>De Puritate Artis Logicae</w:t>
      </w:r>
      <w:r>
        <w:rPr/>
        <w:t>, 76.5–7: ‘Nam propositio maxima non est nisi regula, per quam consequentia tenet.’</w:t>
      </w:r>
    </w:p>
  </w:footnote>
  <w:footnote w:id="40">
    <w:p>
      <w:pPr>
        <w:pStyle w:val="Footnote"/>
        <w:spacing w:before="0" w:after="200"/>
        <w:rPr/>
      </w:pPr>
      <w:r>
        <w:rPr>
          <w:rStyle w:val="FootnoteCharacters"/>
        </w:rPr>
        <w:footnoteRef/>
      </w:r>
      <w:r>
        <w:rPr/>
        <w:t xml:space="preserve"> </w:t>
      </w:r>
      <w:r>
        <w:rPr/>
        <w:t xml:space="preserve">William of Ockham, “Summa Logicae,” in </w:t>
      </w:r>
      <w:r>
        <w:rPr>
          <w:i/>
        </w:rPr>
        <w:t>Opera Philosophica</w:t>
      </w:r>
      <w:r>
        <w:rPr/>
        <w:t>, ed. Philotheus Boehner, Gedeon Gàl, and Stephen Brown, vol. 1 (St. Bonaventure, NY: Franciscan Institute, 1974), 193–97.</w:t>
      </w:r>
    </w:p>
  </w:footnote>
  <w:footnote w:id="41">
    <w:p>
      <w:pPr>
        <w:pStyle w:val="Footnote"/>
        <w:spacing w:before="0" w:after="200"/>
        <w:rPr/>
      </w:pPr>
      <w:r>
        <w:rPr>
          <w:rStyle w:val="FootnoteCharacters"/>
        </w:rPr>
        <w:footnoteRef/>
      </w:r>
      <w:r>
        <w:rPr/>
        <w:t xml:space="preserve"> </w:t>
      </w:r>
      <w:r>
        <w:rPr/>
        <w:t xml:space="preserve">This nominalist reading is reflected in modern formalizations of the notion, e.g. those of Klima and Parsons. Gyula Klima, </w:t>
      </w:r>
      <w:r>
        <w:rPr>
          <w:i/>
        </w:rPr>
        <w:t>Ars Artium: Essays in Philosophical Semantics, Medieval and Modern</w:t>
      </w:r>
      <w:r>
        <w:rPr/>
        <w:t xml:space="preserve"> (Budapest: Institute of Philosophy of the Hungarian Academy of Sciences, 1988); Terence Parsons, </w:t>
      </w:r>
      <w:r>
        <w:rPr>
          <w:i/>
        </w:rPr>
        <w:t>Articulating Medieval Logic</w:t>
      </w:r>
      <w:r>
        <w:rPr/>
        <w:t xml:space="preserve"> (Oxford: Oxford University Press, 2014).</w:t>
      </w:r>
    </w:p>
  </w:footnote>
  <w:footnote w:id="42">
    <w:p>
      <w:pPr>
        <w:pStyle w:val="Footnote"/>
        <w:spacing w:before="0" w:after="200"/>
        <w:rPr/>
      </w:pPr>
      <w:r>
        <w:rPr>
          <w:rStyle w:val="FootnoteCharacters"/>
        </w:rPr>
        <w:footnoteRef/>
      </w:r>
      <w:r>
        <w:rPr/>
        <w:t xml:space="preserve"> </w:t>
      </w:r>
      <w:r>
        <w:rPr/>
        <w:t>Green-Pedersen, “Two Early Anonymous Tracts on Consequences,” 9, par. 27.</w:t>
      </w:r>
    </w:p>
  </w:footnote>
  <w:footnote w:id="43">
    <w:p>
      <w:pPr>
        <w:pStyle w:val="Footnote"/>
        <w:spacing w:before="0" w:after="200"/>
        <w:rPr/>
      </w:pPr>
      <w:r>
        <w:rPr>
          <w:rStyle w:val="FootnoteCharacters"/>
        </w:rPr>
        <w:footnoteRef/>
      </w:r>
      <w:r>
        <w:rPr/>
        <w:t xml:space="preserve"> </w:t>
      </w:r>
      <w:r>
        <w:rPr/>
        <w:t xml:space="preserve">Niels Jørgen Green-Pedersen, “Walter Burley’s </w:t>
      </w:r>
      <w:r>
        <w:rPr>
          <w:i/>
        </w:rPr>
        <w:t>de Consequentiis</w:t>
      </w:r>
      <w:r>
        <w:rPr/>
        <w:t xml:space="preserve">: An Edition,” </w:t>
      </w:r>
      <w:r>
        <w:rPr>
          <w:i/>
        </w:rPr>
        <w:t>Franciscan Studies</w:t>
      </w:r>
      <w:r>
        <w:rPr/>
        <w:t xml:space="preserve"> 40 (1980): 124, par. 58: . Translations for Green-Pedersen, “Two Early Anonymous Tracts on Consequences”; Green-Pedersen, “Walter Burley’s </w:t>
      </w:r>
      <w:r>
        <w:rPr>
          <w:i/>
        </w:rPr>
        <w:t>de Consequentiis</w:t>
      </w:r>
      <w:r>
        <w:rPr/>
        <w:t>.” taken from Jacob Archambault, “The Development of the Medieval Parisian Account of Formal Consequence” (Fordham University, 2017), 171–273.</w:t>
      </w:r>
    </w:p>
  </w:footnote>
  <w:footnote w:id="44">
    <w:p>
      <w:pPr>
        <w:pStyle w:val="Footnote"/>
        <w:spacing w:before="0" w:after="200"/>
        <w:rPr/>
      </w:pPr>
      <w:r>
        <w:rPr>
          <w:rStyle w:val="FootnoteCharacters"/>
        </w:rPr>
        <w:footnoteRef/>
      </w:r>
      <w:r>
        <w:rPr/>
        <w:t xml:space="preserve"> </w:t>
      </w:r>
      <w:r>
        <w:rPr/>
        <w:t>Green-Pedersen, “Two Early Anonymous Tracts on Consequences,” 18, par. 34: ‘Ostendo istam consequentiam ‘homo est homo albus, ergo homo est [homo] albus’ per istam regulam: posito per accidens ponitur et per se. Sed ‘homo albus’ est suppositum per accidens alicuius respectu eiusdem ponitur et ‘album’.</w:t>
      </w:r>
    </w:p>
  </w:footnote>
  <w:footnote w:id="45">
    <w:p>
      <w:pPr>
        <w:pStyle w:val="Footnote"/>
        <w:spacing w:before="0" w:after="200"/>
        <w:rPr/>
      </w:pPr>
      <w:r>
        <w:rPr>
          <w:rStyle w:val="FootnoteCharacters"/>
        </w:rPr>
        <w:footnoteRef/>
      </w:r>
      <w:r>
        <w:rPr/>
        <w:t xml:space="preserve"> </w:t>
      </w:r>
      <w:r>
        <w:rPr/>
        <w:t>ibid., 19, par. 38: ‘Et sunt supposita per accidens ista quae aggregantur ex duobus contingenter sibi invicem inhaerentibus, ut illud ‘homo albus’ est aggregatum per accidens, quia aggregatum ex ‘homine’ et ‘albo’, quae contingenter sibi invicem inhaerent. Ideo haec est contingens ‘homo est homo albus’ etc. Illa est contingens, et eorum convertibilia sunt contingentia, quia in omnibus his praedicatur superius de inferiori [et] per accidens [album], quia unumquodque se habens per appositionem respectu alterius inferius est eo. Ideo ‘homo albus’ inferius est ‘homine’ et ‘albo’’.</w:t>
      </w:r>
    </w:p>
  </w:footnote>
  <w:footnote w:id="46">
    <w:p>
      <w:pPr>
        <w:pStyle w:val="Footnote"/>
        <w:spacing w:before="0" w:after="200"/>
        <w:rPr/>
      </w:pPr>
      <w:r>
        <w:rPr>
          <w:rStyle w:val="FootnoteCharacters"/>
        </w:rPr>
        <w:footnoteRef/>
      </w:r>
      <w:r>
        <w:rPr/>
        <w:t xml:space="preserve"> </w:t>
      </w:r>
      <w:r>
        <w:rPr/>
        <w:t xml:space="preserve">For my translation of the Title of Burley’s work, see Paul Vincent Spade and Stephen Menn, “A Note on the Title of Walter Burley’s </w:t>
      </w:r>
      <w:r>
        <w:rPr>
          <w:i/>
        </w:rPr>
        <w:t>on the Purity of the Art of Logic</w:t>
      </w:r>
      <w:r>
        <w:rPr/>
        <w:t xml:space="preserve">” 2003, </w:t>
      </w:r>
      <w:hyperlink r:id="rId1">
        <w:r>
          <w:rPr>
            <w:rStyle w:val="InternetLink"/>
          </w:rPr>
          <w:t>http://pvspade.com/Logic/docs/BurlNote.pdf</w:t>
        </w:r>
      </w:hyperlink>
      <w:r>
        <w:rPr/>
        <w:t>.</w:t>
      </w:r>
    </w:p>
  </w:footnote>
  <w:footnote w:id="47">
    <w:p>
      <w:pPr>
        <w:pStyle w:val="Footnote"/>
        <w:spacing w:before="0" w:after="200"/>
        <w:rPr/>
      </w:pPr>
      <w:r>
        <w:rPr>
          <w:rStyle w:val="FootnoteCharacters"/>
        </w:rPr>
        <w:footnoteRef/>
      </w:r>
      <w:r>
        <w:rPr/>
        <w:t xml:space="preserve"> </w:t>
      </w:r>
      <w:r>
        <w:rPr/>
        <w:t xml:space="preserve">Walter Burleigh, </w:t>
      </w:r>
      <w:r>
        <w:rPr>
          <w:i/>
        </w:rPr>
        <w:t>De Puritate Artis Logicae</w:t>
      </w:r>
      <w:r>
        <w:rPr/>
        <w:t>, 209.35–210.2: ‘Quinta regula principalis est ista: Ad negationem superioris sequitur negatio cuiuslibet inferioris. Et haec regula est intelligenda, quando superius negatum supponit personaliter; sequitur enim: Sortes non est animal, ergo Sortes non est homo nec asinus et sic de aliis.’</w:t>
      </w:r>
    </w:p>
  </w:footnote>
  <w:footnote w:id="48">
    <w:p>
      <w:pPr>
        <w:pStyle w:val="Footnote"/>
        <w:spacing w:before="0" w:after="200"/>
        <w:rPr/>
      </w:pPr>
      <w:r>
        <w:rPr>
          <w:rStyle w:val="FootnoteCharacters"/>
        </w:rPr>
        <w:footnoteRef/>
      </w:r>
      <w:r>
        <w:rPr/>
        <w:t xml:space="preserve"> </w:t>
      </w:r>
      <w:r>
        <w:rPr/>
        <w:t xml:space="preserve">According to Dutilh Novaes, Burley appears to revive the notion of </w:t>
      </w:r>
      <w:r>
        <w:rPr>
          <w:i/>
        </w:rPr>
        <w:t>suppositio formalis</w:t>
      </w:r>
      <w:r>
        <w:rPr/>
        <w:t xml:space="preserve"> unmentioned by Peter of Spain, Roger Bacon, or the </w:t>
      </w:r>
      <w:r>
        <w:rPr>
          <w:i/>
        </w:rPr>
        <w:t>logica Lamberti</w:t>
      </w:r>
      <w:r>
        <w:rPr/>
        <w:t xml:space="preserve">, from William of Sherwood Catarina Dutilh Novaes, “Form and Matter in Later Latin Medieval Logic: The Cases of </w:t>
      </w:r>
      <w:r>
        <w:rPr>
          <w:i/>
        </w:rPr>
        <w:t>Suppositio</w:t>
      </w:r>
      <w:r>
        <w:rPr/>
        <w:t xml:space="preserve"> and </w:t>
      </w:r>
      <w:r>
        <w:rPr>
          <w:i/>
        </w:rPr>
        <w:t>Consequentia</w:t>
      </w:r>
      <w:r>
        <w:rPr/>
        <w:t xml:space="preserve">,” </w:t>
      </w:r>
      <w:r>
        <w:rPr>
          <w:i/>
        </w:rPr>
        <w:t>Journal of the History of Philosophy</w:t>
      </w:r>
      <w:r>
        <w:rPr/>
        <w:t xml:space="preserve"> 50, no. 3 (2012): 360.</w:t>
      </w:r>
    </w:p>
  </w:footnote>
  <w:footnote w:id="49">
    <w:p>
      <w:pPr>
        <w:pStyle w:val="Footnote"/>
        <w:spacing w:before="0" w:after="200"/>
        <w:rPr/>
      </w:pPr>
      <w:r>
        <w:rPr>
          <w:rStyle w:val="FootnoteCharacters"/>
        </w:rPr>
        <w:footnoteRef/>
      </w:r>
      <w:r>
        <w:rPr/>
        <w:t xml:space="preserve"> </w:t>
      </w:r>
      <w:r>
        <w:rPr/>
        <w:t xml:space="preserve">Walter Burleigh, </w:t>
      </w:r>
      <w:r>
        <w:rPr>
          <w:i/>
        </w:rPr>
        <w:t>De Puritate Artis Logicae</w:t>
      </w:r>
      <w:r>
        <w:rPr/>
        <w:t>, 3.1–5: ‘Suppositio formalis est duplex, quoniam terminus quandoque supponit pro suo significato, quandoque pro suo supposito vel pro aliquo singulari, de quo ipsum vere praedicatur Et ideo suppositio formalis dividitur in suppositionem personalem et in suppositionem simplicem’.</w:t>
      </w:r>
    </w:p>
  </w:footnote>
  <w:footnote w:id="50">
    <w:p>
      <w:pPr>
        <w:pStyle w:val="Footnote"/>
        <w:spacing w:before="0" w:after="200"/>
        <w:rPr/>
      </w:pPr>
      <w:r>
        <w:rPr>
          <w:rStyle w:val="FootnoteCharacters"/>
        </w:rPr>
        <w:footnoteRef/>
      </w:r>
      <w:r>
        <w:rPr/>
        <w:t xml:space="preserve"> </w:t>
      </w:r>
      <w:r>
        <w:rPr/>
        <w:t>ibid., 3.19–24: ‘Suppositio personalis est, quando terminus communis supponit pro suis inferioribus, sive illa inferiora sint singularia sive communia, sive sint res sive voces, vel quando terminus concretus accidentalis vel terminus compositus supponit pro illo, de quo accidentaliter praedicatur’.</w:t>
      </w:r>
    </w:p>
  </w:footnote>
  <w:footnote w:id="51">
    <w:p>
      <w:pPr>
        <w:pStyle w:val="Footnote"/>
        <w:spacing w:before="0" w:after="200"/>
        <w:rPr/>
      </w:pPr>
      <w:r>
        <w:rPr>
          <w:rStyle w:val="FootnoteCharacters"/>
        </w:rPr>
        <w:footnoteRef/>
      </w:r>
      <w:r>
        <w:rPr/>
        <w:t xml:space="preserve"> </w:t>
      </w:r>
      <w:r>
        <w:rPr/>
        <w:t>ibid., 8.8–10: ‘Sed sive illud commune sit res extra animam sive sit conceptus in anima, non curo quantum ad praesens; sed tantum sufficit, quod illud, quod hoc nomen primo significat, est species’. Cf. William of Ockham, “Summa Logicae,” 196.33–37</w:t>
      </w:r>
    </w:p>
  </w:footnote>
  <w:footnote w:id="52">
    <w:p>
      <w:pPr>
        <w:pStyle w:val="Footnote"/>
        <w:spacing w:before="0" w:after="200"/>
        <w:rPr/>
      </w:pPr>
      <w:r>
        <w:rPr>
          <w:rStyle w:val="FootnoteCharacters"/>
        </w:rPr>
        <w:footnoteRef/>
      </w:r>
      <w:r>
        <w:rPr/>
        <w:t xml:space="preserve"> </w:t>
      </w:r>
      <w:r>
        <w:rPr/>
        <w:t xml:space="preserve">Cf. Stephen Read, “William of Ockham’s </w:t>
      </w:r>
      <w:r>
        <w:rPr>
          <w:i/>
        </w:rPr>
        <w:t>the Sum of Logic</w:t>
      </w:r>
      <w:r>
        <w:rPr/>
        <w:t xml:space="preserve">,” </w:t>
      </w:r>
      <w:r>
        <w:rPr>
          <w:i/>
        </w:rPr>
        <w:t>Topoi</w:t>
      </w:r>
      <w:r>
        <w:rPr/>
        <w:t xml:space="preserve"> 26, no. 2 (2007): 271–77.</w:t>
      </w:r>
    </w:p>
  </w:footnote>
</w:footnotes>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vspade.com/Logic/docs/BurlNote.pdf" TargetMode="Externa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pvspade.com/Logic/docs/BurlNo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LibreOffice/6.4.5.2$Linux_X86_64 LibreOffice_project/40$Build-2</Application>
  <Pages>8</Pages>
  <Words>7419</Words>
  <Characters>40644</Characters>
  <CharactersWithSpaces>47885</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2019-09-07T20:35:55Z</dcterms:created>
  <dc:creator>Jacob Archambault</dc:creator>
  <dc:description/>
  <dc:language>en-US</dc:language>
  <cp:lastModifiedBy/>
  <dcterms:modified xsi:type="dcterms:W3CDTF">2019-09-07T16:52:02Z</dcterms:modified>
  <cp:revision>31</cp:revision>
  <dc:subject/>
  <dc:title>Grounding medieval consequence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