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While there is widespread debate over the correct semantics for logical constants, over whether and how to include the referents in tensed and modal propositions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formal 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w:t>
      </w:r>
      <w:r>
        <w:rPr>
          <w:rStyle w:val="FootnoteReference"/>
        </w:rPr>
        <w:footnoteReference w:id="38"/>
      </w:r>
      <w:r>
        <w:t xml:space="preserve"> </w:t>
      </w:r>
      <w:r>
        <w:t xml:space="preserve">- both traditions share a common interest in grounding formally valid consequence in a (preferably sparse) domain of individuals.</w:t>
      </w:r>
    </w:p>
    <w:p>
      <w:pPr>
        <w:pStyle w:val="BodyText"/>
      </w:pPr>
      <w:r>
        <w:t xml:space="preserve">It may come as a surprise, then, that this focus on formal validity only arises fairly late in medieval logic - instead, from its roots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material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Xd93e74869a3951425d1fbdbf044448ea193023d"/>
      <w:r>
        <w:t xml:space="preserve">Maximal propositions as grounds of consequence</w:t>
      </w:r>
      <w:bookmarkEnd w:id="42"/>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3"/>
      </w:r>
      <w:r>
        <w:t xml:space="preserve"> </w:t>
      </w:r>
      <w:r>
        <w:t xml:space="preserve">For Boethius, the term</w:t>
      </w:r>
      <w:r>
        <w:t xml:space="preserve"> </w:t>
      </w:r>
      <w:r>
        <w:t xml:space="preserve">‘</w:t>
      </w:r>
      <w:r>
        <w:t xml:space="preserve">argument</w:t>
      </w:r>
      <w:r>
        <w:t xml:space="preserve">’</w:t>
      </w:r>
      <w:r>
        <w:t xml:space="preserve"> </w:t>
      </w:r>
      <w:r>
        <w:t xml:space="preserve">(</w:t>
      </w:r>
      <w:r>
        <w:rPr>
          <w:i/>
        </w:rPr>
        <w:t xml:space="preserve">argumentum</w:t>
      </w:r>
      <w:r>
        <w:t xml:space="preserve">)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w:t>
      </w:r>
      <w:r>
        <w:t xml:space="preserve"> </w:t>
      </w:r>
      <w:r>
        <w:t xml:space="preserve">‘</w:t>
      </w:r>
      <w:r>
        <w:t xml:space="preserve">equals subtracted from equals are equal</w:t>
      </w:r>
      <w:r>
        <w:t xml:space="preserve">’</w:t>
      </w:r>
      <w:r>
        <w:t xml:space="preserve">. In its second sense, an argument is that feature, thing, or relation principally appealed to in the formulation of a maximal proposition, e.g. equality.</w:t>
      </w:r>
      <w:r>
        <w:rPr>
          <w:rStyle w:val="FootnoteReference"/>
        </w:rPr>
        <w:footnoteReference w:id="44"/>
      </w:r>
    </w:p>
    <w:p>
      <w:pPr>
        <w:pStyle w:val="BodyText"/>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BodyText"/>
      </w:pPr>
      <w:r>
        <w:t xml:space="preserve">In this way, the Boethian theory of topics aims to ground good inferences by providing an account of the fundamental propositions to be appealed to in an argument, and the real features on account of which these hold in whatever way they do.</w:t>
      </w:r>
    </w:p>
    <w:p>
      <w:pPr>
        <w:pStyle w:val="Heading2"/>
      </w:pPr>
      <w:bookmarkStart w:id="45" w:name="X2b11b65cbf1675cabd0cc034713e38631704cc1"/>
      <w:r>
        <w:t xml:space="preserve">Boethian topical theory as ground of hypothetical syllogistic</w:t>
      </w:r>
      <w:bookmarkEnd w:id="45"/>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hypothetical or conditional propositions, he does strongly associate these concepts,</w:t>
      </w:r>
      <w:r>
        <w:rPr>
          <w:rStyle w:val="FootnoteReference"/>
        </w:rPr>
        <w:footnoteReference w:id="46"/>
      </w:r>
      <w:r>
        <w:t xml:space="preserve"> </w:t>
      </w:r>
      <w:r>
        <w:t xml:space="preserve">distinguishing conditional from categorical propositions by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47"/>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48"/>
      </w:r>
      <w:r>
        <w:t xml:space="preserve"> </w:t>
      </w:r>
      <w:r>
        <w:t xml:space="preserve">Since it applies solely to hypothetical propositions whose immediate parts are atomic, the division is incomplete,</w:t>
      </w:r>
      <w:r>
        <w:rPr>
          <w:rStyle w:val="FootnoteReference"/>
        </w:rPr>
        <w:footnoteReference w:id="49"/>
      </w:r>
      <w:r>
        <w:t xml:space="preserve"> </w:t>
      </w:r>
      <w:r>
        <w:t xml:space="preserve">and even when restricted to these may appear trivial. But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0"/>
      </w:r>
    </w:p>
    <w:p>
      <w:pPr>
        <w:pStyle w:val="FirstParagraph"/>
      </w:pPr>
      <w:r>
        <w:t xml:space="preserve">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1"/>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2"/>
      </w:r>
    </w:p>
    <w:p>
      <w:pPr>
        <w:pStyle w:val="FirstParagraph"/>
      </w:pPr>
      <w:r>
        <w:t xml:space="preserve">As we can now see,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The conditions under which an argument from a negative antecedent to an affirmative consequent hold are a subset of those which hold for the converse case.</w:t>
      </w:r>
    </w:p>
    <w:p>
      <w:pPr>
        <w:pStyle w:val="Heading2"/>
      </w:pPr>
      <w:bookmarkStart w:id="53" w:name="Xb41bdbc71d5e896e3bd3cb8d80fdac9ffd7844a"/>
      <w:r>
        <w:t xml:space="preserve">The limits of Boethius’ grounding of consequence</w:t>
      </w:r>
      <w:bookmarkEnd w:id="53"/>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4"/>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55"/>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56" w:name="X929f9b1c647d2e48e079c53dcb8b6eba2c6cd31"/>
      <w:r>
        <w:t xml:space="preserve">Medieval consequence and the theory of supposition</w:t>
      </w:r>
      <w:bookmarkEnd w:id="56"/>
    </w:p>
    <w:p>
      <w:pPr>
        <w:pStyle w:val="Heading2"/>
      </w:pPr>
      <w:bookmarkStart w:id="57" w:name="X69e353d37757516ca02a25cb370bbde90340933"/>
      <w:r>
        <w:t xml:space="preserve">Canonical supposition theory: Ockham and Buridan</w:t>
      </w:r>
      <w:bookmarkEnd w:id="57"/>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58"/>
      </w:r>
    </w:p>
    <w:p>
      <w:pPr>
        <w:pStyle w:val="BodyText"/>
      </w:pPr>
      <w:r>
        <w:t xml:space="preserve">On one of the best known accounts, that of William of Ockham, supposition divides into three types: simple, material, and personal.</w:t>
      </w:r>
      <w:r>
        <w:rPr>
          <w:rStyle w:val="FootnoteReference"/>
        </w:rPr>
        <w:footnoteReference w:id="59"/>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0"/>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a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w:t>
      </w:r>
      <w:r>
        <w:rPr>
          <w:rStyle w:val="FootnoteReference"/>
        </w:rPr>
        <w:footnoteReference w:id="61"/>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2"/>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3"/>
      </w:r>
    </w:p>
    <w:p>
      <w:pPr>
        <w:pStyle w:val="Heading2"/>
      </w:pPr>
      <w:bookmarkStart w:id="64" w:name="Xc34201a822006b0e74427fc7f2ec56646c1c0d4"/>
      <w:r>
        <w:t xml:space="preserve">Supposition theory in two early British</w:t>
      </w:r>
      <w:r>
        <w:t xml:space="preserve"> </w:t>
      </w:r>
      <w:r>
        <w:rPr>
          <w:i/>
        </w:rPr>
        <w:t xml:space="preserve">De consequentiis</w:t>
      </w:r>
      <w:bookmarkEnd w:id="64"/>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65"/>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which are the same,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66"/>
      </w:r>
      <w:r>
        <w:t xml:space="preserve">.</w:t>
      </w:r>
    </w:p>
    <w:p>
      <w:pPr>
        <w:pStyle w:val="FirstParagraph"/>
      </w:pPr>
      <w:r>
        <w:t xml:space="preserve">This passage also makes clear that the supposition of a term is given relative to another term or terms which are held fixed. Thus, unlike its reference on modern accounts, a term’s supposition may differ based on what terms it is being considered with respect to.</w:t>
      </w:r>
    </w:p>
    <w:p>
      <w:pPr>
        <w:pStyle w:val="Heading2"/>
      </w:pPr>
      <w:bookmarkStart w:id="67" w:name="X04eabb53a87c6fa4a2fa72048b81852fbe7f8a2"/>
      <w:r>
        <w:t xml:space="preserve">An alternative reading of personal supposition in the Parisian</w:t>
      </w:r>
      <w:r>
        <w:t xml:space="preserve"> </w:t>
      </w:r>
      <w:r>
        <w:rPr>
          <w:i/>
        </w:rPr>
        <w:t xml:space="preserve">De consequentiis</w:t>
      </w:r>
      <w:bookmarkEnd w:id="67"/>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68"/>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69"/>
      </w:r>
    </w:p>
    <w:p>
      <w:pPr>
        <w:pStyle w:val="FirstParagraph"/>
      </w:pPr>
      <w:r>
        <w:t xml:space="preserve">Here, the supposita themselves are not individuals, but forms or concepts.</w:t>
      </w:r>
    </w:p>
    <w:p>
      <w:pPr>
        <w:pStyle w:val="Heading2"/>
      </w:pPr>
      <w:bookmarkStart w:id="70" w:name="X0ee9b8ea25d3e347848ecf764162de6d31f57e3"/>
      <w:r>
        <w:t xml:space="preserve">Supposition in Burley’s</w:t>
      </w:r>
      <w:r>
        <w:t xml:space="preserve"> </w:t>
      </w:r>
      <w:r>
        <w:rPr>
          <w:i/>
        </w:rPr>
        <w:t xml:space="preserve">On the Core of the Art of Logic</w:t>
      </w:r>
      <w:bookmarkEnd w:id="70"/>
    </w:p>
    <w:p>
      <w:pPr>
        <w:pStyle w:val="FirstParagraph"/>
      </w:pPr>
      <w:r>
        <w:t xml:space="preserve">Walter Burley’s</w:t>
      </w:r>
      <w:r>
        <w:t xml:space="preserve"> </w:t>
      </w:r>
      <w:r>
        <w:rPr>
          <w:i/>
        </w:rPr>
        <w:t xml:space="preserve">On the Core of the Art of Logic</w:t>
      </w:r>
      <w:r>
        <w:t xml:space="preserve">, which exists in both a shorter and a longer version, contains both of the above pproaches to personal supposition,</w:t>
      </w:r>
      <w:r>
        <w:rPr>
          <w:rStyle w:val="FootnoteReference"/>
        </w:rPr>
        <w:footnoteReference w:id="71"/>
      </w:r>
      <w:r>
        <w:t xml:space="preserve"> </w:t>
      </w:r>
      <w:r>
        <w:t xml:space="preserve">Burley gives an example of the first in the</w:t>
      </w:r>
      <w:r>
        <w:t xml:space="preserve"> </w:t>
      </w:r>
      <w:r>
        <w:rPr>
          <w:i/>
        </w:rPr>
        <w:t xml:space="preserve">Shorter Treatise</w:t>
      </w:r>
      <w:r>
        <w:t xml:space="preserve"> </w:t>
      </w:r>
      <w:r>
        <w:t xml:space="preserve">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3"/>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4"/>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75"/>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76"/>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77"/>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78" w:name="conclusion"/>
      <w:r>
        <w:t xml:space="preserve">Conclusion</w:t>
      </w:r>
      <w:bookmarkEnd w:id="78"/>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79"/>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p>
      <w:pPr>
        <w:pStyle w:val="BodyText"/>
      </w:pPr>
      <w:r>
        <w:t xml:space="preserve">Furthermore, in changing the account of supposition, Ockham also necessarily modified that of the theory of consequence which depended on it. By the time Ockham’s theory arises, the commonly accepted grounds of consequence have already shed much of the diversity found in the earlier theory of Boethius. In dealing the final blow to a more diverse approach to the ultimate grounds of inference, Ockham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bookmarkStart w:id="127" w:name="refs"/>
    <w:bookmarkStart w:id="80"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0"/>
    <w:bookmarkStart w:id="81"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1"/>
    <w:bookmarkStart w:id="82" w:name="ref-Archambault2017d"/>
    <w:p>
      <w:pPr>
        <w:pStyle w:val="Bibliography"/>
      </w:pPr>
      <w:r>
        <w:t xml:space="preserve">———. “The Development of the Medieval Parisian Account of Formal Consequence.” PhD thesis, Fordham University, 2017.</w:t>
      </w:r>
    </w:p>
    <w:bookmarkEnd w:id="82"/>
    <w:bookmarkStart w:id="83"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3"/>
    <w:bookmarkStart w:id="84" w:name="ref-BHS"/>
    <w:p>
      <w:pPr>
        <w:pStyle w:val="Bibliography"/>
      </w:pPr>
      <w:r>
        <w:t xml:space="preserve">———.</w:t>
      </w:r>
      <w:r>
        <w:t xml:space="preserve"> </w:t>
      </w:r>
      <w:r>
        <w:rPr>
          <w:i/>
        </w:rPr>
        <w:t xml:space="preserve">De Hypotheticis Syllogismis</w:t>
      </w:r>
      <w:r>
        <w:t xml:space="preserve">. Edited by L. Obertello. Brescia: Paideia, 1969.</w:t>
      </w:r>
    </w:p>
    <w:bookmarkEnd w:id="84"/>
    <w:bookmarkStart w:id="85"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85"/>
    <w:bookmarkStart w:id="86"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86"/>
    <w:bookmarkStart w:id="87"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87"/>
    <w:bookmarkStart w:id="88"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88"/>
    <w:bookmarkStart w:id="89"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89"/>
    <w:bookmarkStart w:id="90"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0"/>
    <w:bookmarkStart w:id="91"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1"/>
    <w:bookmarkStart w:id="92"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92"/>
    <w:bookmarkStart w:id="93"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3"/>
    <w:bookmarkStart w:id="94"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4"/>
    <w:bookmarkStart w:id="95" w:name="ref-Green-Pedersen1980a"/>
    <w:p>
      <w:pPr>
        <w:pStyle w:val="Bibliography"/>
      </w:pPr>
      <w:r>
        <w:t xml:space="preserve">Green-Pedersen, Niels Jørgen. “Two Early Anonymous Tracts on Consequences.”</w:t>
      </w:r>
      <w:r>
        <w:t xml:space="preserve"> </w:t>
      </w:r>
      <w:r>
        <w:rPr>
          <w:i/>
        </w:rPr>
        <w:t xml:space="preserve">Cahiers de L’Institut Du Moyen-Âge Grec et Latin</w:t>
      </w:r>
      <w:r>
        <w:t xml:space="preserve"> </w:t>
      </w:r>
      <w:r>
        <w:t xml:space="preserve">35 (1980): 1–28.</w:t>
      </w:r>
    </w:p>
    <w:bookmarkEnd w:id="95"/>
    <w:bookmarkStart w:id="96"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96"/>
    <w:bookmarkStart w:id="97" w:name="ref-Hjortland2009"/>
    <w:p>
      <w:pPr>
        <w:pStyle w:val="Bibliography"/>
      </w:pPr>
      <w:r>
        <w:t xml:space="preserve">Hjortland, Ole T. “The Structure of Logical Consequence: Proof-Theoretic Conceptions.” PhD thesis, University of St. Andrews, 2009.</w:t>
      </w:r>
    </w:p>
    <w:bookmarkEnd w:id="97"/>
    <w:bookmarkStart w:id="98"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98"/>
    <w:bookmarkStart w:id="99"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99"/>
    <w:bookmarkStart w:id="100"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0"/>
    <w:bookmarkStart w:id="101"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1"/>
    <w:bookmarkStart w:id="102"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2"/>
    <w:bookmarkStart w:id="103"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3"/>
    <w:bookmarkStart w:id="104"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4"/>
    <w:bookmarkStart w:id="105"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05"/>
    <w:bookmarkStart w:id="106" w:name="ref-Kripke1963a"/>
    <w:p>
      <w:pPr>
        <w:pStyle w:val="Bibliography"/>
      </w:pPr>
      <w:r>
        <w:t xml:space="preserve">———. “Semantical Analysis of Modal Logic I. Normal Propositional Calculi.”</w:t>
      </w:r>
      <w:r>
        <w:t xml:space="preserve"> </w:t>
      </w:r>
      <w:r>
        <w:rPr>
          <w:i/>
        </w:rPr>
        <w:t xml:space="preserve">Zeitschrift Für Mathematische Logik Und Grundlagen Der Mathematik</w:t>
      </w:r>
      <w:r>
        <w:t xml:space="preserve"> </w:t>
      </w:r>
      <w:r>
        <w:t xml:space="preserve">9, nos. 5-6 (1963): 67–96.</w:t>
      </w:r>
    </w:p>
    <w:bookmarkEnd w:id="106"/>
    <w:bookmarkStart w:id="107" w:name="ref-MacFarlane2000"/>
    <w:p>
      <w:pPr>
        <w:pStyle w:val="Bibliography"/>
      </w:pPr>
      <w:r>
        <w:t xml:space="preserve">MacFarlane, John. “What Does It Mean to Say That Logic Is Formal?” PhD thesis, University of Pittsburgh, 2000.</w:t>
      </w:r>
    </w:p>
    <w:bookmarkEnd w:id="107"/>
    <w:bookmarkStart w:id="108"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08"/>
    <w:bookmarkStart w:id="109"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09"/>
    <w:bookmarkStart w:id="110"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0"/>
    <w:bookmarkStart w:id="111"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1"/>
    <w:bookmarkStart w:id="112"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2"/>
    <w:bookmarkStart w:id="113"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3"/>
    <w:bookmarkStart w:id="114"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4"/>
    <w:bookmarkStart w:id="115"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5"/>
    <w:bookmarkStart w:id="116"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16"/>
    <w:bookmarkStart w:id="117"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17"/>
    <w:bookmarkStart w:id="118"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18"/>
    <w:bookmarkStart w:id="119" w:name="ref-Schnieder2019"/>
    <w:p>
      <w:pPr>
        <w:pStyle w:val="Bibliography"/>
      </w:pPr>
      <w:r>
        <w:t xml:space="preserve">Schnieder, Benjamin. “On Ground and Consequence.”</w:t>
      </w:r>
      <w:r>
        <w:t xml:space="preserve"> </w:t>
      </w:r>
      <w:r>
        <w:rPr>
          <w:i/>
        </w:rPr>
        <w:t xml:space="preserve">Synthese</w:t>
      </w:r>
      <w:r>
        <w:t xml:space="preserve">, n.d.</w:t>
      </w:r>
    </w:p>
    <w:bookmarkEnd w:id="119"/>
    <w:bookmarkStart w:id="120"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0"/>
    <w:bookmarkStart w:id="121" w:name="ref-StrodeConsequentiis"/>
    <w:p>
      <w:pPr>
        <w:pStyle w:val="Bibliography"/>
      </w:pPr>
      <w:r>
        <w:t xml:space="preserve">Seaton, Wallace Knight. “An Edition and Translation of the Tractatus de Consequentiis of Ralph Strode.” PhD thesis, University of California at Berkeley, 1973.</w:t>
      </w:r>
    </w:p>
    <w:bookmarkEnd w:id="121"/>
    <w:bookmarkStart w:id="122"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2">
        <w:r>
          <w:rPr>
            <w:rStyle w:val="Hyperlink"/>
          </w:rPr>
          <w:t xml:space="preserve">http://pvspade.com/Logic/docs/BurlNote.pdf</w:t>
        </w:r>
      </w:hyperlink>
      <w:r>
        <w:t xml:space="preserve">.</w:t>
      </w:r>
    </w:p>
    <w:bookmarkEnd w:id="122"/>
    <w:bookmarkStart w:id="123"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3"/>
    <w:bookmarkStart w:id="124"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4"/>
    <w:bookmarkStart w:id="125"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5"/>
    <w:bookmarkStart w:id="126"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Für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Archambault, “The Development of the Medieval Parisian Account of Formal Consequence.”</w:t>
      </w:r>
      <w:r>
        <w:t xml:space="preserve">.</w:t>
      </w:r>
    </w:p>
  </w:footnote>
  <w:footnote w:id="43">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4">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46">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47">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48">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49">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0">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1">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2">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4">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55">
    <w:p>
      <w:pPr>
        <w:pStyle w:val="FootnoteText"/>
      </w:pPr>
      <w:r>
        <w:rPr>
          <w:rStyle w:val="FootnoteReference"/>
        </w:rPr>
        <w:footnoteRef/>
      </w:r>
      <w:r>
        <w:t xml:space="preserve"> </w:t>
      </w:r>
      <w:r>
        <w:t xml:space="preserve">Boethius, “De Differentiis Topicis,” 1191A–B.</w:t>
      </w:r>
    </w:p>
  </w:footnote>
  <w:footnote w:id="58">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59">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0">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1">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2">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3">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65">
    <w:p>
      <w:pPr>
        <w:pStyle w:val="FootnoteText"/>
      </w:pPr>
      <w:r>
        <w:rPr>
          <w:rStyle w:val="FootnoteReference"/>
        </w:rPr>
        <w:footnoteRef/>
      </w:r>
      <w:r>
        <w:t xml:space="preserve"> </w:t>
      </w:r>
      <w:r>
        <w:t xml:space="preserve">Ibid., 9, par. 27.</w:t>
      </w:r>
    </w:p>
  </w:footnote>
  <w:footnote w:id="66">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68">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69">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1">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2">
        <w:r>
          <w:rPr>
            <w:rStyle w:val="Hyperlink"/>
          </w:rPr>
          <w:t xml:space="preserve">http://pvspade.com/Logic/docs/BurlNote.pdf</w:t>
        </w:r>
      </w:hyperlink>
      <w:r>
        <w:t xml:space="preserve">.</w:t>
      </w:r>
    </w:p>
  </w:footnote>
  <w:footnote w:id="73">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4">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75">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76">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77">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79">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2"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2020-08-15T05:11:14Z</dcterms:created>
  <dcterms:modified xsi:type="dcterms:W3CDTF">2020-08-15T05:11:14Z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