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groundbreaking 1930s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Reference"/>
        </w:rPr>
        <w:footnoteReference w:id="38"/>
      </w:r>
      <w:r>
        <w:t xml:space="preserve"> </w:t>
      </w:r>
      <w:r>
        <w:t xml:space="preserve">- both traditions share a common interest in formal validity grounded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work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an-overview-of-boethian-topical-argument"/>
      <w:r>
        <w:t xml:space="preserve">An overview of Boethian topical argument</w:t>
      </w:r>
      <w:bookmarkEnd w:id="42"/>
    </w:p>
    <w:p>
      <w:pPr>
        <w:pStyle w:val="Heading3"/>
      </w:pPr>
      <w:bookmarkStart w:id="43" w:name="the-boethian-concept-of-an-argument"/>
      <w:r>
        <w:t xml:space="preserve">The Boethian concept of an argument</w:t>
      </w:r>
      <w:bookmarkEnd w:id="43"/>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4"/>
      </w:r>
      <w:r>
        <w:t xml:space="preserve"> </w:t>
      </w:r>
      <w:r>
        <w:t xml:space="preserve">In his discussion of the term</w:t>
      </w:r>
      <w:r>
        <w:t xml:space="preserve"> </w:t>
      </w:r>
      <w:r>
        <w:t xml:space="preserve">‘</w:t>
      </w:r>
      <w:r>
        <w:t xml:space="preserve">argument</w:t>
      </w:r>
      <w:r>
        <w:t xml:space="preserve">’</w:t>
      </w:r>
      <w:r>
        <w:t xml:space="preserve">, Boethius distinguishes argument in the sense of</w:t>
      </w:r>
      <w:r>
        <w:t xml:space="preserve"> </w:t>
      </w:r>
      <w:r>
        <w:rPr>
          <w:i/>
        </w:rPr>
        <w:t xml:space="preserve">what</w:t>
      </w:r>
      <w:r>
        <w:t xml:space="preserve"> </w:t>
      </w:r>
      <w:r>
        <w:t xml:space="preserve">is put forth (</w:t>
      </w:r>
      <w:r>
        <w:rPr>
          <w:i/>
        </w:rPr>
        <w:t xml:space="preserve">argumentum</w:t>
      </w:r>
      <w:r>
        <w:t xml:space="preserve">) from argument in the sense of a speech putting forth an argument (</w:t>
      </w:r>
      <w:r>
        <w:rPr>
          <w:i/>
        </w:rPr>
        <w:t xml:space="preserve">argumentatio</w:t>
      </w:r>
      <w:r>
        <w:t xml:space="preserve">).</w:t>
      </w:r>
      <w:r>
        <w:rPr>
          <w:rStyle w:val="FootnoteReference"/>
        </w:rPr>
        <w:footnoteReference w:id="45"/>
      </w:r>
      <w:r>
        <w:t xml:space="preserve"> </w:t>
      </w:r>
      <w:r>
        <w:t xml:space="preserve">Boethius means something different by the term than what we might mean by it today: he states, for instance, that a conclusion is a proposition established by arguments (note the plural);</w:t>
      </w:r>
      <w:r>
        <w:rPr>
          <w:rStyle w:val="FootnoteReference"/>
        </w:rPr>
        <w:footnoteReference w:id="46"/>
      </w:r>
      <w:r>
        <w:t xml:space="preserve"> </w:t>
      </w:r>
      <w:r>
        <w:t xml:space="preserve">that</w:t>
      </w:r>
      <w:r>
        <w:t xml:space="preserve"> </w:t>
      </w:r>
      <w:r>
        <w:t xml:space="preserve">‘</w:t>
      </w:r>
      <w:r>
        <w:t xml:space="preserve">if something is added to any thing, the whole is made greater</w:t>
      </w:r>
      <w:r>
        <w:t xml:space="preserve">’</w:t>
      </w:r>
      <w:r>
        <w:t xml:space="preserve"> </w:t>
      </w:r>
      <w:r>
        <w:t xml:space="preserve">is an example of an argument that is both necessary and plausible (</w:t>
      </w:r>
      <w:r>
        <w:rPr>
          <w:i/>
        </w:rPr>
        <w:t xml:space="preserve">probabilis</w:t>
      </w:r>
      <w:r>
        <w:t xml:space="preserve">), and argues, against the claim that all arguments must be plausible, that more advanced theorems of geometry may still serve as</w:t>
      </w:r>
      <w:r>
        <w:t xml:space="preserve"> </w:t>
      </w:r>
      <w:r>
        <w:rPr>
          <w:i/>
        </w:rPr>
        <w:t xml:space="preserve">argumenta</w:t>
      </w:r>
      <w:r>
        <w:t xml:space="preserve"> </w:t>
      </w:r>
      <w:r>
        <w:t xml:space="preserve">for conclusions that follow from them even to one who has failed to grasp their necessity.</w:t>
      </w:r>
      <w:r>
        <w:rPr>
          <w:rStyle w:val="FootnoteReference"/>
        </w:rPr>
        <w:footnoteReference w:id="47"/>
      </w:r>
    </w:p>
    <w:p>
      <w:pPr>
        <w:pStyle w:val="Heading3"/>
      </w:pPr>
      <w:bookmarkStart w:id="48" w:name="Xd93e74869a3951425d1fbdbf044448ea193023d"/>
      <w:r>
        <w:t xml:space="preserve">Maximal propositions as grounds of consequence</w:t>
      </w:r>
      <w:bookmarkEnd w:id="48"/>
    </w:p>
    <w:p>
      <w:pPr>
        <w:pStyle w:val="FirstParagraph"/>
      </w:pPr>
      <w:r>
        <w:t xml:space="preserve">Boethius clears up this initial opaqueness in expounding the concept of a maximal proposition. For Boethius, the term</w:t>
      </w:r>
      <w:r>
        <w:t xml:space="preserve"> </w:t>
      </w:r>
      <w:r>
        <w:rPr>
          <w:i/>
        </w:rPr>
        <w:t xml:space="preserve">argumentum</w:t>
      </w:r>
      <w:r>
        <w:t xml:space="preserve"> </w:t>
      </w:r>
      <w:r>
        <w:t xml:space="preserve">is ambiguous between two meanings: that of a maximal proposition, and that of the difference of such a proposition. By the first of these, he means a general proposition whose truth is grasped immediately, e.g.</w:t>
      </w:r>
      <w:r>
        <w:t xml:space="preserve"> </w:t>
      </w:r>
      <w:r>
        <w:t xml:space="preserve">‘</w:t>
      </w:r>
      <w:r>
        <w:t xml:space="preserve">equals subtracted from equals are equal</w:t>
      </w:r>
      <w:r>
        <w:t xml:space="preserve">’</w:t>
      </w:r>
      <w:r>
        <w:t xml:space="preserve">,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Reference"/>
        </w:rPr>
        <w:footnoteReference w:id="49"/>
      </w:r>
    </w:p>
    <w:p>
      <w:pPr>
        <w:pStyle w:val="BodyText"/>
      </w:pPr>
      <w:r>
        <w:t xml:space="preserve">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50" w:name="the-different-kinds-of-topical-argument"/>
      <w:r>
        <w:t xml:space="preserve">The different kinds of topical argument</w:t>
      </w:r>
      <w:bookmarkEnd w:id="50"/>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51" w:name="X2b11b65cbf1675cabd0cc034713e38631704cc1"/>
      <w:r>
        <w:t xml:space="preserve">Boethian topical theory as ground of hypothetical syllogistic</w:t>
      </w:r>
      <w:bookmarkEnd w:id="51"/>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w:t>
      </w:r>
      <w:r>
        <w:rPr>
          <w:rStyle w:val="FootnoteReference"/>
        </w:rPr>
        <w:footnoteReference w:id="52"/>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53"/>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4"/>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5"/>
      </w:r>
      <w:r>
        <w:t xml:space="preserve"> </w:t>
      </w:r>
      <w:r>
        <w:t xml:space="preserve">Since it applies solely to hypothetical propositions whose immediate parts are atomic, the division is incomplete,</w:t>
      </w:r>
      <w:r>
        <w:rPr>
          <w:rStyle w:val="FootnoteReference"/>
        </w:rPr>
        <w:footnoteReference w:id="56"/>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7"/>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8"/>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9"/>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60" w:name="Xb41bdbc71d5e896e3bd3cb8d80fdac9ffd7844a"/>
      <w:r>
        <w:t xml:space="preserve">The limits of Boethius’ grounding of consequence</w:t>
      </w:r>
      <w:bookmarkEnd w:id="60"/>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61"/>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62"/>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63" w:name="X929f9b1c647d2e48e079c53dcb8b6eba2c6cd31"/>
      <w:r>
        <w:t xml:space="preserve">Medieval consequence and the theory of supposition</w:t>
      </w:r>
      <w:bookmarkEnd w:id="63"/>
    </w:p>
    <w:p>
      <w:pPr>
        <w:pStyle w:val="Heading2"/>
      </w:pPr>
      <w:bookmarkStart w:id="64" w:name="X69e353d37757516ca02a25cb370bbde90340933"/>
      <w:r>
        <w:t xml:space="preserve">Canonical supposition theory: Ockham and Buridan</w:t>
      </w:r>
      <w:bookmarkEnd w:id="64"/>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5"/>
      </w:r>
    </w:p>
    <w:p>
      <w:pPr>
        <w:pStyle w:val="BodyText"/>
      </w:pPr>
      <w:r>
        <w:t xml:space="preserve">On one of the best known accounts, that of William of Ockham, supposition divides into three types: simple, material, and personal.</w:t>
      </w:r>
      <w:r>
        <w:rPr>
          <w:rStyle w:val="FootnoteReference"/>
        </w:rPr>
        <w:footnoteReference w:id="66"/>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7"/>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8"/>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9"/>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70"/>
      </w:r>
    </w:p>
    <w:p>
      <w:pPr>
        <w:pStyle w:val="Heading2"/>
      </w:pPr>
      <w:bookmarkStart w:id="71" w:name="Xc34201a822006b0e74427fc7f2ec56646c1c0d4"/>
      <w:r>
        <w:t xml:space="preserve">Supposition theory in two early British</w:t>
      </w:r>
      <w:r>
        <w:t xml:space="preserve"> </w:t>
      </w:r>
      <w:r>
        <w:rPr>
          <w:i/>
        </w:rPr>
        <w:t xml:space="preserve">De consequentiis</w:t>
      </w:r>
      <w:bookmarkEnd w:id="71"/>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72"/>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73"/>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4" w:name="X04eabb53a87c6fa4a2fa72048b81852fbe7f8a2"/>
      <w:r>
        <w:t xml:space="preserve">An alternative reading of personal supposition in the Parisian</w:t>
      </w:r>
      <w:r>
        <w:t xml:space="preserve"> </w:t>
      </w:r>
      <w:r>
        <w:rPr>
          <w:i/>
        </w:rPr>
        <w:t xml:space="preserve">De consequentiis</w:t>
      </w:r>
      <w:bookmarkEnd w:id="74"/>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5"/>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6"/>
      </w:r>
    </w:p>
    <w:p>
      <w:pPr>
        <w:pStyle w:val="FirstParagraph"/>
      </w:pPr>
      <w:r>
        <w:t xml:space="preserve">Here, the supposita themselves are not individuals, but forms or concepts.</w:t>
      </w:r>
    </w:p>
    <w:p>
      <w:pPr>
        <w:pStyle w:val="Heading2"/>
      </w:pPr>
      <w:bookmarkStart w:id="77" w:name="X0ee9b8ea25d3e347848ecf764162de6d31f57e3"/>
      <w:r>
        <w:t xml:space="preserve">Supposition in Burley’s</w:t>
      </w:r>
      <w:r>
        <w:t xml:space="preserve"> </w:t>
      </w:r>
      <w:r>
        <w:rPr>
          <w:i/>
        </w:rPr>
        <w:t xml:space="preserve">On the Core of the Art of Logic</w:t>
      </w:r>
      <w:bookmarkEnd w:id="77"/>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8"/>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80"/>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81"/>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82"/>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83"/>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4"/>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5" w:name="conclusion"/>
      <w:r>
        <w:t xml:space="preserve">Conclusion</w:t>
      </w:r>
      <w:bookmarkEnd w:id="85"/>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6"/>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36" w:name="refs"/>
    <w:bookmarkStart w:id="87"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7"/>
    <w:bookmarkStart w:id="88"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8"/>
    <w:bookmarkStart w:id="89" w:name="ref-Archambault2017d"/>
    <w:p>
      <w:pPr>
        <w:pStyle w:val="Bibliography"/>
      </w:pPr>
      <w:r>
        <w:t xml:space="preserve">———. “The Development of the Medieval Parisian Account of Formal Consequence.” PhD thesis, Fordham University, 2017.</w:t>
      </w:r>
    </w:p>
    <w:bookmarkEnd w:id="89"/>
    <w:bookmarkStart w:id="90" w:name="ref-BarcanMarcus1978"/>
    <w:p>
      <w:pPr>
        <w:pStyle w:val="Bibliography"/>
      </w:pPr>
      <w:r>
        <w:t xml:space="preserve">Barcan Marcus, Ruth. “Nominalism and the Substitutional Quantifier.”</w:t>
      </w:r>
      <w:r>
        <w:t xml:space="preserve"> </w:t>
      </w:r>
      <w:r>
        <w:rPr>
          <w:i/>
        </w:rPr>
        <w:t xml:space="preserve">Monist</w:t>
      </w:r>
      <w:r>
        <w:t xml:space="preserve"> </w:t>
      </w:r>
      <w:r>
        <w:t xml:space="preserve">61, no. 3 (1978): 351–62.</w:t>
      </w:r>
    </w:p>
    <w:bookmarkEnd w:id="90"/>
    <w:bookmarkStart w:id="91"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91"/>
    <w:bookmarkStart w:id="92" w:name="ref-BHS"/>
    <w:p>
      <w:pPr>
        <w:pStyle w:val="Bibliography"/>
      </w:pPr>
      <w:r>
        <w:t xml:space="preserve">———.</w:t>
      </w:r>
      <w:r>
        <w:t xml:space="preserve"> </w:t>
      </w:r>
      <w:r>
        <w:rPr>
          <w:i/>
        </w:rPr>
        <w:t xml:space="preserve">De Hypotheticis Syllogismis</w:t>
      </w:r>
      <w:r>
        <w:t xml:space="preserve">. Edited by L. Obertello. Brescia: Paideia, 1969.</w:t>
      </w:r>
    </w:p>
    <w:bookmarkEnd w:id="92"/>
    <w:bookmarkStart w:id="93"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93"/>
    <w:bookmarkStart w:id="94"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94"/>
    <w:bookmarkStart w:id="95"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5"/>
    <w:bookmarkStart w:id="96"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6"/>
    <w:bookmarkStart w:id="97"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7"/>
    <w:bookmarkStart w:id="98"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8"/>
    <w:bookmarkStart w:id="99"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9"/>
    <w:bookmarkStart w:id="100"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100"/>
    <w:bookmarkStart w:id="101"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101"/>
    <w:bookmarkStart w:id="102"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102"/>
    <w:bookmarkStart w:id="103" w:name="ref-Green-Pedersen1984"/>
    <w:p>
      <w:pPr>
        <w:pStyle w:val="Bibliography"/>
      </w:pPr>
      <w:r>
        <w:t xml:space="preserve">Green-Pedersen, Niels Jørgen.</w:t>
      </w:r>
      <w:r>
        <w:t xml:space="preserve"> </w:t>
      </w:r>
      <w:r>
        <w:rPr>
          <w:i/>
        </w:rPr>
        <w:t xml:space="preserve">The Tradition of the Topics in the Middle Ages: Commentaries on Aristotle’s and Boethius’ Topics</w:t>
      </w:r>
      <w:r>
        <w:t xml:space="preserve">. Munich: Philosophia Verlag, 1984.</w:t>
      </w:r>
    </w:p>
    <w:bookmarkEnd w:id="103"/>
    <w:bookmarkStart w:id="104" w:name="ref-Green-Pedersen1980a"/>
    <w:p>
      <w:pPr>
        <w:pStyle w:val="Bibliography"/>
      </w:pPr>
      <w:r>
        <w:t xml:space="preserve">———. “Two Early Anonymous Tracts on Consequences.”</w:t>
      </w:r>
      <w:r>
        <w:t xml:space="preserve"> </w:t>
      </w:r>
      <w:r>
        <w:rPr>
          <w:i/>
        </w:rPr>
        <w:t xml:space="preserve">Cahiers de L’Institut Du Moyen-Âge Grec et Latin</w:t>
      </w:r>
      <w:r>
        <w:t xml:space="preserve"> </w:t>
      </w:r>
      <w:r>
        <w:t xml:space="preserve">35 (1980): 1–28.</w:t>
      </w:r>
    </w:p>
    <w:bookmarkEnd w:id="104"/>
    <w:bookmarkStart w:id="105"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105"/>
    <w:bookmarkStart w:id="106" w:name="ref-Hjortland2009"/>
    <w:p>
      <w:pPr>
        <w:pStyle w:val="Bibliography"/>
      </w:pPr>
      <w:r>
        <w:t xml:space="preserve">Hjortland, Ole T. “The Structure of Logical Consequence: Proof-Theoretic Conceptions.” PhD thesis, University of St. Andrews, 2009.</w:t>
      </w:r>
    </w:p>
    <w:bookmarkEnd w:id="106"/>
    <w:bookmarkStart w:id="107"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7"/>
    <w:bookmarkStart w:id="108"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8"/>
    <w:bookmarkStart w:id="109"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9"/>
    <w:bookmarkStart w:id="110"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10"/>
    <w:bookmarkStart w:id="111"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11"/>
    <w:bookmarkStart w:id="112"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12"/>
    <w:bookmarkStart w:id="113"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13"/>
    <w:bookmarkStart w:id="114"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14"/>
    <w:bookmarkStart w:id="115"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15"/>
    <w:bookmarkStart w:id="116" w:name="ref-MacFarlane2000"/>
    <w:p>
      <w:pPr>
        <w:pStyle w:val="Bibliography"/>
      </w:pPr>
      <w:r>
        <w:t xml:space="preserve">MacFarlane, John. “What Does It Mean to Say That Logic Is Formal?” PhD thesis, University of Pittsburgh, 2000.</w:t>
      </w:r>
    </w:p>
    <w:bookmarkEnd w:id="116"/>
    <w:bookmarkStart w:id="117"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7"/>
    <w:bookmarkStart w:id="118"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8"/>
    <w:bookmarkStart w:id="119"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9"/>
    <w:bookmarkStart w:id="120"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20"/>
    <w:bookmarkStart w:id="121"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21"/>
    <w:bookmarkStart w:id="122"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22"/>
    <w:bookmarkStart w:id="123"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23"/>
    <w:bookmarkStart w:id="124"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24"/>
    <w:bookmarkStart w:id="125"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25"/>
    <w:bookmarkStart w:id="126"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26"/>
    <w:bookmarkStart w:id="127"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7"/>
    <w:bookmarkStart w:id="128" w:name="ref-Schnieder2019"/>
    <w:p>
      <w:pPr>
        <w:pStyle w:val="Bibliography"/>
      </w:pPr>
      <w:r>
        <w:t xml:space="preserve">Schnieder, Benjamin. “On Ground and Consequence.”</w:t>
      </w:r>
      <w:r>
        <w:t xml:space="preserve"> </w:t>
      </w:r>
      <w:r>
        <w:rPr>
          <w:i/>
        </w:rPr>
        <w:t xml:space="preserve">Synthese</w:t>
      </w:r>
      <w:r>
        <w:t xml:space="preserve">, n.d.</w:t>
      </w:r>
    </w:p>
    <w:bookmarkEnd w:id="128"/>
    <w:bookmarkStart w:id="129"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9"/>
    <w:bookmarkStart w:id="130" w:name="ref-StrodeConsequentiis"/>
    <w:p>
      <w:pPr>
        <w:pStyle w:val="Bibliography"/>
      </w:pPr>
      <w:r>
        <w:t xml:space="preserve">Seaton, Wallace Knight. “An Edition and Translation of the Tractatus de Consequentiis of Ralph Strode.” PhD thesis, University of California at Berkeley, 1973.</w:t>
      </w:r>
    </w:p>
    <w:bookmarkEnd w:id="130"/>
    <w:bookmarkStart w:id="131"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9">
        <w:r>
          <w:rPr>
            <w:rStyle w:val="Hyperlink"/>
          </w:rPr>
          <w:t xml:space="preserve">http://pvspade.com/Logic/docs/BurlNote.pdf</w:t>
        </w:r>
      </w:hyperlink>
      <w:r>
        <w:t xml:space="preserve">.</w:t>
      </w:r>
    </w:p>
    <w:bookmarkEnd w:id="131"/>
    <w:bookmarkStart w:id="132"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32"/>
    <w:bookmarkStart w:id="133"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33"/>
    <w:bookmarkStart w:id="134"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34"/>
    <w:bookmarkStart w:id="135"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Cf.</w:t>
      </w:r>
      <w:r>
        <w:t xml:space="preserve"> </w:t>
      </w:r>
      <w:r>
        <w:t xml:space="preserve">Ruth Barcan Marcus, “Nominalism and the Substitutional Quantifier,”</w:t>
      </w:r>
      <w:r>
        <w:t xml:space="preserve"> </w:t>
      </w:r>
      <w:r>
        <w:rPr>
          <w:i/>
        </w:rPr>
        <w:t xml:space="preserve">Monist</w:t>
      </w:r>
      <w:r>
        <w:t xml:space="preserve"> </w:t>
      </w:r>
      <w:r>
        <w:t xml:space="preserve">61, no. 3 (1978): 351–62</w:t>
      </w:r>
      <w:r>
        <w:t xml:space="preserve">. 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Niels Jørgen Green-Pedersen,</w:t>
      </w:r>
      <w:r>
        <w:t xml:space="preserve"> </w:t>
      </w:r>
      <w:r>
        <w:rPr>
          <w:i/>
        </w:rPr>
        <w:t xml:space="preserve">The Tradition of the Topics in the Middle Ages: Commentaries on Aristotle’s and Boethius’ Topics</w:t>
      </w:r>
      <w:r>
        <w:t xml:space="preserve"> </w:t>
      </w:r>
      <w:r>
        <w:t xml:space="preserve">(Munich: Philosophia Verlag, 1984)</w:t>
      </w:r>
      <w:r>
        <w:t xml:space="preserve">,</w:t>
      </w:r>
      <w:r>
        <w:t xml:space="preserve"> </w:t>
      </w:r>
      <w:r>
        <w:t xml:space="preserve">Archambault, “The Development of the Medieval Parisian Account of Formal Consequence.”</w:t>
      </w:r>
    </w:p>
  </w:footnote>
  <w:footnote w:id="44">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5">
    <w:p>
      <w:pPr>
        <w:pStyle w:val="FootnoteText"/>
      </w:pPr>
      <w:r>
        <w:rPr>
          <w:rStyle w:val="FootnoteReference"/>
        </w:rPr>
        <w:footnoteRef/>
      </w:r>
      <w:r>
        <w:t xml:space="preserve"> </w:t>
      </w:r>
      <w:r>
        <w:t xml:space="preserve">Ibid., 1174C.</w:t>
      </w:r>
    </w:p>
  </w:footnote>
  <w:footnote w:id="46">
    <w:p>
      <w:pPr>
        <w:pStyle w:val="FootnoteText"/>
      </w:pPr>
      <w:r>
        <w:rPr>
          <w:rStyle w:val="FootnoteReference"/>
        </w:rPr>
        <w:footnoteRef/>
      </w:r>
      <w:r>
        <w:t xml:space="preserve"> </w:t>
      </w:r>
      <w:r>
        <w:t xml:space="preserve">Ibid., 1180C.</w:t>
      </w:r>
    </w:p>
  </w:footnote>
  <w:footnote w:id="47">
    <w:p>
      <w:pPr>
        <w:pStyle w:val="FootnoteText"/>
      </w:pPr>
      <w:r>
        <w:rPr>
          <w:rStyle w:val="FootnoteReference"/>
        </w:rPr>
        <w:footnoteRef/>
      </w:r>
      <w:r>
        <w:t xml:space="preserve"> </w:t>
      </w:r>
      <w:r>
        <w:t xml:space="preserve">Ibid., 1181A–C.</w:t>
      </w:r>
    </w:p>
  </w:footnote>
  <w:footnote w:id="49">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52">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53">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4">
    <w:p>
      <w:pPr>
        <w:pStyle w:val="FootnoteText"/>
      </w:pPr>
      <w:r>
        <w:rPr>
          <w:rStyle w:val="FootnoteReference"/>
        </w:rPr>
        <w:footnoteRef/>
      </w:r>
      <w:r>
        <w:t xml:space="preserve"> </w:t>
      </w:r>
      <w:r>
        <w:t xml:space="preserve">Ibid., 1.3.6–1.3.7.</w:t>
      </w:r>
    </w:p>
  </w:footnote>
  <w:footnote w:id="55">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6">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7">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8">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9">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61">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62">
    <w:p>
      <w:pPr>
        <w:pStyle w:val="FootnoteText"/>
      </w:pPr>
      <w:r>
        <w:rPr>
          <w:rStyle w:val="FootnoteReference"/>
        </w:rPr>
        <w:footnoteRef/>
      </w:r>
      <w:r>
        <w:t xml:space="preserve"> </w:t>
      </w:r>
      <w:r>
        <w:t xml:space="preserve">Boethius, “De Differentiis Topicis,” 1191A–B.</w:t>
      </w:r>
    </w:p>
  </w:footnote>
  <w:footnote w:id="65">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6">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7">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8">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9">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70">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72">
    <w:p>
      <w:pPr>
        <w:pStyle w:val="FootnoteText"/>
      </w:pPr>
      <w:r>
        <w:rPr>
          <w:rStyle w:val="FootnoteReference"/>
        </w:rPr>
        <w:footnoteRef/>
      </w:r>
      <w:r>
        <w:t xml:space="preserve"> </w:t>
      </w:r>
      <w:r>
        <w:t xml:space="preserve">Ibid., 9, par. 27.</w:t>
      </w:r>
    </w:p>
  </w:footnote>
  <w:footnote w:id="73">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5">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6">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8">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9">
        <w:r>
          <w:rPr>
            <w:rStyle w:val="Hyperlink"/>
          </w:rPr>
          <w:t xml:space="preserve">http://pvspade.com/Logic/docs/BurlNote.pdf</w:t>
        </w:r>
      </w:hyperlink>
      <w:r>
        <w:t xml:space="preserve">.</w:t>
      </w:r>
    </w:p>
  </w:footnote>
  <w:footnote w:id="80">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81">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82">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83">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4">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6">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9"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2020-08-13T05:31:31Z</dcterms:created>
  <dcterms:modified xsi:type="dcterms:W3CDTF">2020-08-13T05:31:31Z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