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Grounding medieval consequence</w:t>
      </w:r>
    </w:p>
    <w:p>
      <w:pPr>
        <w:pStyle w:val="Author"/>
        <w:jc w:val="both"/>
        <w:rPr/>
      </w:pPr>
      <w:r>
        <w:rPr/>
        <w:t>Jacob Archambault</w:t>
      </w:r>
    </w:p>
    <w:p>
      <w:pPr>
        <w:pStyle w:val="Abstract"/>
        <w:jc w:val="both"/>
        <w:rPr/>
      </w:pPr>
      <w:r>
        <w:rPr/>
        <w:t xml:space="preserve">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 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 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jc w:val="both"/>
        <w:rPr/>
      </w:pPr>
      <w:r>
        <w:rPr>
          <w:b/>
        </w:rPr>
        <w:t>Keywords:</w:t>
      </w:r>
      <w:r>
        <w:rPr/>
        <w:t xml:space="preserve"> consequence, supposition, grounding, Boethius, Walter Burley, John Buridan</w:t>
      </w:r>
    </w:p>
    <w:p>
      <w:pPr>
        <w:pStyle w:val="Heading1"/>
        <w:jc w:val="both"/>
        <w:rPr/>
      </w:pPr>
      <w:bookmarkStart w:id="0" w:name="introduction"/>
      <w:r>
        <w:rPr/>
        <w:t>Introduction</w:t>
      </w:r>
      <w:bookmarkEnd w:id="0"/>
    </w:p>
    <w:p>
      <w:pPr>
        <w:pStyle w:val="FirstParagraph"/>
        <w:jc w:val="both"/>
        <w:rPr/>
      </w:pPr>
      <w:r>
        <w:rPr/>
        <w:t>In its broadest sense, a consequence is a relation obtaining between an antecedent and a consequent, signified by a sign of consequence;</w:t>
      </w:r>
      <w:r>
        <w:rPr>
          <w:rStyle w:val="FootnoteAnchor"/>
        </w:rPr>
        <w:footnoteReference w:id="2"/>
      </w:r>
      <w:r>
        <w:rPr/>
        <w:t xml:space="preserve"> an antecedent, a premise or set of premises from which a consequent follows; a consequent, a conclusion following from an antecedent, and a sign of consequence, a word, symbol, or phrase signifying a consequent’s following from an antecedent, including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and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jc w:val="both"/>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jc w:val="both"/>
        <w:rPr/>
      </w:pPr>
      <w:bookmarkStart w:id="1" w:name="Xf91979ef53e0cb82f638c087a0e804e441b016b"/>
      <w:r>
        <w:rPr/>
        <w:t>Grounding consequence in modern and later medieval logic</w:t>
      </w:r>
      <w:bookmarkEnd w:id="1"/>
    </w:p>
    <w:p>
      <w:pPr>
        <w:pStyle w:val="Heading2"/>
        <w:jc w:val="both"/>
        <w:rPr/>
      </w:pPr>
      <w:bookmarkStart w:id="2" w:name="grounding-consequence-today"/>
      <w:r>
        <w:rPr/>
        <w:t>Grounding consequence today</w:t>
      </w:r>
      <w:bookmarkEnd w:id="2"/>
    </w:p>
    <w:p>
      <w:pPr>
        <w:pStyle w:val="FirstParagraph"/>
        <w:jc w:val="both"/>
        <w:rPr/>
      </w:pPr>
      <w:r>
        <w:rPr/>
        <w:t>Since the early 20th century, research on consequence has centered on formal consequence, commonly identified with logical consequence.</w:t>
      </w:r>
      <w:r>
        <w:rPr>
          <w:rStyle w:val="FootnoteAnchor"/>
        </w:rPr>
        <w:footnoteReference w:id="3"/>
      </w:r>
      <w:r>
        <w:rPr/>
        <w:t xml:space="preserve"> Such a consequence is usually defined either proof-theoretically, e.g. as one where the consequent follows from the antecedent via the strict application of the rules of a given proof-system,</w:t>
      </w:r>
      <w:r>
        <w:rPr>
          <w:rStyle w:val="FootnoteAnchor"/>
        </w:rPr>
        <w:footnoteReference w:id="4"/>
      </w:r>
      <w:r>
        <w:rPr/>
        <w:t xml:space="preserve"> or model-theoretically as one where every model of the antecedent is a model of the consequent.</w:t>
      </w:r>
      <w:r>
        <w:rPr>
          <w:rStyle w:val="FootnoteAnchor"/>
        </w:rPr>
        <w:footnoteReference w:id="5"/>
      </w:r>
      <w:r>
        <w:rPr/>
        <w:t xml:space="preserve"> Though proof-theoretic definitions of consequence have become more popular in recent years, model-theoretic definitions remain the most common way of defining consequence today.</w:t>
      </w:r>
    </w:p>
    <w:p>
      <w:pPr>
        <w:pStyle w:val="TextBody"/>
        <w:jc w:val="both"/>
        <w:rPr/>
      </w:pPr>
      <w:r>
        <w:rPr/>
        <w:t xml:space="preserve">The most rigorous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6"/>
      </w:r>
      <w:r>
        <w:rPr/>
        <w:t xml:space="preserve"> and have added apparatus to handle phenomena including tense and possibility since the 1960’s.</w:t>
      </w:r>
      <w:r>
        <w:rPr>
          <w:rStyle w:val="FootnoteAnchor"/>
        </w:rPr>
        <w:footnoteReference w:id="7"/>
      </w:r>
    </w:p>
    <w:p>
      <w:pPr>
        <w:pStyle w:val="TextBody"/>
        <w:jc w:val="both"/>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jc w:val="both"/>
        <w:rPr/>
      </w:pPr>
      <w:r>
        <w:rPr/>
        <w:t xml:space="preserve">This centrality of formal consequence to modern thinking about the notion generally witnesses to that thinking’s dominant aim: that of providing a theory of </w:t>
      </w:r>
      <w:r>
        <w:rPr>
          <w:i/>
        </w:rPr>
        <w:t>validity</w:t>
      </w:r>
      <w:r>
        <w:rPr/>
        <w:t>, i.e. of which inference forms hold universally, regardless of their material content.</w:t>
      </w:r>
      <w:r>
        <w:rPr>
          <w:rStyle w:val="FootnoteAnchor"/>
        </w:rPr>
        <w:footnoteReference w:id="8"/>
      </w:r>
    </w:p>
    <w:p>
      <w:pPr>
        <w:pStyle w:val="Heading2"/>
        <w:jc w:val="both"/>
        <w:rPr/>
      </w:pPr>
      <w:bookmarkStart w:id="3" w:name="Xcd84fc7174ad974cf7934bedd631d961c31912d"/>
      <w:r>
        <w:rPr/>
        <w:t>Formal consequence in later medieval logic</w:t>
      </w:r>
      <w:bookmarkEnd w:id="3"/>
    </w:p>
    <w:p>
      <w:pPr>
        <w:pStyle w:val="FirstParagraph"/>
        <w:jc w:val="both"/>
        <w:rPr/>
      </w:pPr>
      <w:r>
        <w:rPr/>
        <w:t>The Tarskian approach to formal consequence outlined above is a modification of an earlier candidate Tarski rejects, condition (F), presented as follows in his ‘On the concept of Following Logically’:</w:t>
      </w:r>
    </w:p>
    <w:p>
      <w:pPr>
        <w:pStyle w:val="BlockText"/>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X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9"/>
      </w:r>
    </w:p>
    <w:p>
      <w:pPr>
        <w:pStyle w:val="FirstParagraph"/>
        <w:jc w:val="bot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0"/>
      </w:r>
    </w:p>
    <w:p>
      <w:pPr>
        <w:pStyle w:val="FirstParagraph"/>
        <w:jc w:val="bot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jc w:val="both"/>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1"/>
      </w:r>
    </w:p>
    <w:p>
      <w:pPr>
        <w:pStyle w:val="Heading2"/>
        <w:jc w:val="both"/>
        <w:rPr/>
      </w:pPr>
      <w:bookmarkStart w:id="4" w:name="Xc720b1ffe59aed2bf88b851b4441318dd085609"/>
      <w:r>
        <w:rPr/>
        <w:t>Comparing Buridan and post-Tarskian groundings of consequence</w:t>
      </w:r>
      <w:bookmarkEnd w:id="4"/>
    </w:p>
    <w:p>
      <w:pPr>
        <w:pStyle w:val="FirstParagraph"/>
        <w:jc w:val="bot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2"/>
      </w:r>
      <w:r>
        <w:rPr/>
        <w:t xml:space="preserve"> 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Anchor"/>
        </w:rPr>
        <w:footnoteReference w:id="13"/>
      </w:r>
      <w:r>
        <w:rPr/>
        <w:t xml:space="preserve"> - both traditions share a common interest in formal validity grounded in a (preferably sparse) domain of individuals.</w:t>
      </w:r>
    </w:p>
    <w:p>
      <w:pPr>
        <w:pStyle w:val="TextBody"/>
        <w:jc w:val="both"/>
        <w:rPr/>
      </w:pPr>
      <w:r>
        <w:rPr/>
        <w:t>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4"/>
      </w:r>
      <w:r>
        <w:rPr/>
        <w:t xml:space="preserve"> One can better understand the centrality of formally valid consequence to logic today by understanding the focus it replaced. And to do this, it’ll be useful to further inspect its font, the logic of Boethius.</w:t>
      </w:r>
    </w:p>
    <w:p>
      <w:pPr>
        <w:pStyle w:val="Heading1"/>
        <w:jc w:val="both"/>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jc w:val="both"/>
        <w:rPr/>
      </w:pPr>
      <w:r>
        <w:rPr/>
        <w:t>Among the earliest work which we might classify under the banner of consequence,</w:t>
      </w:r>
      <w:r>
        <w:rPr>
          <w:rStyle w:val="FootnoteAnchor"/>
        </w:rPr>
        <w:footnoteReference w:id="15"/>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jc w:val="both"/>
        <w:rPr/>
      </w:pPr>
      <w:bookmarkStart w:id="6" w:name="an-overview-of-boethian-topical-argument"/>
      <w:r>
        <w:rPr/>
        <w:t>An overview of Boethian topical argument</w:t>
      </w:r>
      <w:bookmarkEnd w:id="6"/>
    </w:p>
    <w:p>
      <w:pPr>
        <w:pStyle w:val="Heading3"/>
        <w:jc w:val="both"/>
        <w:rPr/>
      </w:pPr>
      <w:bookmarkStart w:id="7" w:name="the-boethian-concept-of-an-argument"/>
      <w:r>
        <w:rPr/>
        <w:t>The Boethian concept of an argument</w:t>
      </w:r>
      <w:bookmarkEnd w:id="7"/>
    </w:p>
    <w:p>
      <w:pPr>
        <w:pStyle w:val="FirstParagraph"/>
        <w:jc w:val="both"/>
        <w:rPr/>
      </w:pPr>
      <w:r>
        <w:rPr/>
        <w:t>Following Cicero, Boethius defines a topic as ‘the seat of an argument’, and an argument as ‘a reason granting credence to a doubtful matter.’</w:t>
      </w:r>
      <w:r>
        <w:rPr>
          <w:rStyle w:val="FootnoteAnchor"/>
        </w:rPr>
        <w:footnoteReference w:id="16"/>
      </w:r>
      <w:r>
        <w:rPr/>
        <w:t xml:space="preserve"> In his discussion of the term ‘argument’, Boethius distinguishes argument in the sense of </w:t>
      </w:r>
      <w:r>
        <w:rPr>
          <w:i/>
        </w:rPr>
        <w:t>what</w:t>
      </w:r>
      <w:r>
        <w:rPr/>
        <w:t xml:space="preserve"> is put forth (</w:t>
      </w:r>
      <w:r>
        <w:rPr>
          <w:i/>
        </w:rPr>
        <w:t>argumentum</w:t>
      </w:r>
      <w:r>
        <w:rPr/>
        <w:t>) from argument in the sense of a speech putting forth an argument (</w:t>
      </w:r>
      <w:r>
        <w:rPr>
          <w:i/>
        </w:rPr>
        <w:t>argumentatio</w:t>
      </w:r>
      <w:r>
        <w:rPr/>
        <w:t>).</w:t>
      </w:r>
      <w:r>
        <w:rPr>
          <w:rStyle w:val="FootnoteAnchor"/>
        </w:rPr>
        <w:footnoteReference w:id="17"/>
      </w:r>
      <w:r>
        <w:rPr/>
        <w:t xml:space="preserve"> Boethius means something different by the term than what we might mean by it today: he states, for instance, that a conclusion is a proposition established by arguments (note the plural);</w:t>
      </w:r>
      <w:r>
        <w:rPr>
          <w:rStyle w:val="FootnoteAnchor"/>
        </w:rPr>
        <w:footnoteReference w:id="18"/>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19"/>
      </w:r>
    </w:p>
    <w:p>
      <w:pPr>
        <w:pStyle w:val="Heading3"/>
        <w:jc w:val="both"/>
        <w:rPr/>
      </w:pPr>
      <w:bookmarkStart w:id="8" w:name="Xd93e74869a3951425d1fbdbf044448ea193023d"/>
      <w:r>
        <w:rPr/>
        <w:t>Maximal propositions as grounds of consequence</w:t>
      </w:r>
      <w:bookmarkEnd w:id="8"/>
    </w:p>
    <w:p>
      <w:pPr>
        <w:pStyle w:val="FirstParagraph"/>
        <w:jc w:val="both"/>
        <w:rPr/>
      </w:pPr>
      <w:r>
        <w:rPr/>
        <w:t xml:space="preserve">Boethius clears up this initial opaqueness in expounding the concept of a maximal proposition. For Boethius, the term </w:t>
      </w:r>
      <w:r>
        <w:rPr>
          <w:i/>
        </w:rPr>
        <w:t>argumentum</w:t>
      </w:r>
      <w:r>
        <w:rPr/>
        <w:t xml:space="preserve"> is ambiguous between two meanings: that of a maximal proposition, and that of the difference of such a proposition. By the first of these, he means a general proposition whose truth is grasped immediately, e.g. ‘equals subtracted from equals are equal’,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20"/>
      </w:r>
    </w:p>
    <w:p>
      <w:pPr>
        <w:pStyle w:val="TextBody"/>
        <w:jc w:val="both"/>
        <w:rPr/>
      </w:pPr>
      <w:r>
        <w:rPr/>
        <w:t>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jc w:val="both"/>
        <w:rPr/>
      </w:pPr>
      <w:bookmarkStart w:id="9" w:name="the-different-kinds-of-topical-argument"/>
      <w:r>
        <w:rPr/>
        <w:t>The different kinds of topical argument</w:t>
      </w:r>
      <w:bookmarkEnd w:id="9"/>
    </w:p>
    <w:p>
      <w:pPr>
        <w:pStyle w:val="FirstParagraph"/>
        <w:jc w:val="bot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Heading2"/>
        <w:jc w:val="both"/>
        <w:rPr/>
      </w:pPr>
      <w:bookmarkStart w:id="10" w:name="X2b11b65cbf1675cabd0cc034713e38631704cc1"/>
      <w:r>
        <w:rPr/>
        <w:t>Boethian topical theory as ground of hypothetical syllogistic</w:t>
      </w:r>
      <w:bookmarkEnd w:id="10"/>
    </w:p>
    <w:p>
      <w:pPr>
        <w:pStyle w:val="FirstParagraph"/>
        <w:jc w:val="both"/>
        <w:rPr/>
      </w:pPr>
      <w:r>
        <w:rPr/>
        <w:t xml:space="preserve">With this laid down, we can begin to inspect Boethius’ main source of his remarks on consequence, his </w:t>
      </w:r>
      <w:r>
        <w:rPr>
          <w:i/>
        </w:rPr>
        <w:t>On Hypothetical Syllogisms</w:t>
      </w:r>
      <w:r>
        <w:rPr/>
        <w:t>.</w:t>
      </w:r>
    </w:p>
    <w:p>
      <w:pPr>
        <w:pStyle w:val="TextBody"/>
        <w:jc w:val="both"/>
        <w:rPr/>
      </w:pPr>
      <w:r>
        <w:rPr/>
        <w:t>Though Boethius does not identify consequences with conditionals, he does strongly associate these concepts. Boethius takes the Latin ‘</w:t>
      </w:r>
      <w:r>
        <w:rPr>
          <w:i/>
        </w:rPr>
        <w:t>conditionalis</w:t>
      </w:r>
      <w:r>
        <w:rPr/>
        <w:t>’ to mean the same as the Greek ‘</w:t>
      </w:r>
      <w:r>
        <w:rPr>
          <w:i/>
        </w:rPr>
        <w:t>hypothetica</w:t>
      </w:r>
      <w:r>
        <w:rPr/>
        <w:t>.’</w:t>
      </w:r>
      <w:r>
        <w:rPr>
          <w:rStyle w:val="FootnoteAnchor"/>
        </w:rPr>
        <w:footnoteReference w:id="21"/>
      </w:r>
      <w:r>
        <w:rPr/>
        <w:t xml:space="preserve"> He distinguishes conditional from categorical propositions, stating that ‘in a conditional, the nature of a consequence’ rather than that of a predication, ‘is assumed from the condition,’</w:t>
      </w:r>
      <w:r>
        <w:rPr>
          <w:rStyle w:val="FootnoteAnchor"/>
        </w:rPr>
        <w:footnoteReference w:id="22"/>
      </w:r>
      <w:r>
        <w:rPr/>
        <w:t xml:space="preserve"> and further distinguishes consequences that follow only accidentally - his example is ‘if fire is hot, the heavens are round’ - from those, such as ‘if it’s a man, it’s an animal’ that follow naturally.</w:t>
      </w:r>
      <w:r>
        <w:rPr>
          <w:rStyle w:val="FootnoteAnchor"/>
        </w:rPr>
        <w:footnoteReference w:id="23"/>
      </w:r>
    </w:p>
    <w:p>
      <w:pPr>
        <w:pStyle w:val="TextBody"/>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4"/>
      </w:r>
      <w:r>
        <w:rPr/>
        <w:t xml:space="preserve"> Since it applies solely to hypothetical propositions whose immediate parts are atomic, the division is incomplete,</w:t>
      </w:r>
      <w:r>
        <w:rPr>
          <w:rStyle w:val="FootnoteAnchor"/>
        </w:rPr>
        <w:footnoteReference w:id="25"/>
      </w:r>
      <w:r>
        <w:rPr/>
        <w:t xml:space="preserve"> and even when restricted to these appears trivial at best. It’s not. Rather, the intent of this fourfold division can be seen from examining Boethius’ use of it in light of his theory of topical argument.</w:t>
      </w:r>
    </w:p>
    <w:p>
      <w:pPr>
        <w:pStyle w:val="TextBody"/>
        <w:jc w:val="both"/>
        <w:rPr/>
      </w:pPr>
      <w:r>
        <w:rPr/>
        <w:t>In discussing affirmations following from affirmations, Boethius writes the following:</w:t>
      </w:r>
    </w:p>
    <w:p>
      <w:pPr>
        <w:pStyle w:val="BlockText"/>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6"/>
      </w:r>
    </w:p>
    <w:p>
      <w:pPr>
        <w:pStyle w:val="FirstParagraph"/>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7"/>
      </w:r>
      <w:r>
        <w:rPr/>
        <w:t xml:space="preserve"> And considering arguments from a negative to an affirmative, Boethius writes:</w:t>
      </w:r>
    </w:p>
    <w:p>
      <w:pPr>
        <w:pStyle w:val="BlockText"/>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28"/>
      </w:r>
    </w:p>
    <w:p>
      <w:pPr>
        <w:pStyle w:val="FirstParagraph"/>
        <w:jc w:val="both"/>
        <w:rPr/>
      </w:pPr>
      <w:r>
        <w:rPr/>
        <w:t>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jc w:val="both"/>
        <w:rPr/>
      </w:pPr>
      <w:bookmarkStart w:id="11" w:name="Xb41bdbc71d5e896e3bd3cb8d80fdac9ffd7844a"/>
      <w:r>
        <w:rPr/>
        <w:t>The limits of Boethius’ grounding of consequence</w:t>
      </w:r>
      <w:bookmarkEnd w:id="11"/>
    </w:p>
    <w:p>
      <w:pPr>
        <w:pStyle w:val="FirstParagraph"/>
        <w:jc w:val="bot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29"/>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0"/>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jc w:val="both"/>
        <w:rPr/>
      </w:pPr>
      <w:bookmarkStart w:id="12" w:name="X929f9b1c647d2e48e079c53dcb8b6eba2c6cd31"/>
      <w:r>
        <w:rPr/>
        <w:t>Medieval consequence and the theory of supposition</w:t>
      </w:r>
      <w:bookmarkEnd w:id="12"/>
    </w:p>
    <w:p>
      <w:pPr>
        <w:pStyle w:val="Heading2"/>
        <w:jc w:val="both"/>
        <w:rPr/>
      </w:pPr>
      <w:bookmarkStart w:id="13" w:name="X69e353d37757516ca02a25cb370bbde90340933"/>
      <w:r>
        <w:rPr/>
        <w:t>Canonical supposition theory: Ockham and Buridan</w:t>
      </w:r>
      <w:bookmarkEnd w:id="13"/>
    </w:p>
    <w:p>
      <w:pPr>
        <w:pStyle w:val="FirstParagraph"/>
        <w:jc w:val="bot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31"/>
      </w:r>
    </w:p>
    <w:p>
      <w:pPr>
        <w:pStyle w:val="TextBody"/>
        <w:jc w:val="both"/>
        <w:rPr/>
      </w:pPr>
      <w:r>
        <w:rPr/>
        <w:t>On one of the best known accounts, that of William of Ockham, supposition divides into three types: simple, material, and personal.</w:t>
      </w:r>
      <w:r>
        <w:rPr>
          <w:rStyle w:val="FootnoteAnchor"/>
        </w:rPr>
        <w:footnoteReference w:id="32"/>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3"/>
      </w:r>
    </w:p>
    <w:p>
      <w:pPr>
        <w:pStyle w:val="TextBody"/>
        <w:jc w:val="both"/>
        <w:rPr/>
      </w:pPr>
      <w:r>
        <w:rPr/>
        <w:t xml:space="preserve">On these accounts, determinate supposition of a term able to stand for several individuals is interpreted in terms of the ability to descend </w:t>
      </w:r>
      <w:r>
        <w:rPr>
          <w:i/>
        </w:rPr>
        <w:t>salva veritate</w:t>
      </w:r>
      <w:r>
        <w:rPr/>
        <w:t xml:space="preserve"> 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 ‘some logic articles are dry’ have determinate supposition, while both terms of the universal negative proposition, ‘no knowledge is useless’ have confused distributed supposition.</w:t>
      </w:r>
      <w:r>
        <w:rPr>
          <w:rStyle w:val="FootnoteAnchor"/>
        </w:rPr>
        <w:footnoteReference w:id="34"/>
      </w:r>
    </w:p>
    <w:p>
      <w:pPr>
        <w:pStyle w:val="TextBody"/>
        <w:jc w:val="both"/>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5"/>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6"/>
      </w:r>
    </w:p>
    <w:p>
      <w:pPr>
        <w:pStyle w:val="Heading2"/>
        <w:jc w:val="both"/>
        <w:rPr/>
      </w:pPr>
      <w:bookmarkStart w:id="14" w:name="Xc34201a822006b0e74427fc7f2ec56646c1c0d4"/>
      <w:r>
        <w:rPr/>
        <w:t xml:space="preserve">Supposition theory in two early British </w:t>
      </w:r>
      <w:r>
        <w:rPr>
          <w:i/>
        </w:rPr>
        <w:t>De consequentiis</w:t>
      </w:r>
      <w:bookmarkEnd w:id="14"/>
    </w:p>
    <w:p>
      <w:pPr>
        <w:pStyle w:val="FirstParagraph"/>
        <w:jc w:val="bot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7"/>
      </w:r>
      <w:r>
        <w:rPr/>
        <w:t xml:space="preserve"> The same pattern is found in Burley’s </w:t>
      </w:r>
      <w:r>
        <w:rPr>
          <w:i/>
        </w:rPr>
        <w:t>de consequentiis</w:t>
      </w:r>
      <w:r>
        <w:rPr/>
        <w:t>. Consider, for instance, the following passage on exceptive propositions:</w:t>
      </w:r>
    </w:p>
    <w:p>
      <w:pPr>
        <w:pStyle w:val="BlockText"/>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38"/>
      </w:r>
      <w:r>
        <w:rPr/>
        <w:t>.</w:t>
      </w:r>
    </w:p>
    <w:p>
      <w:pPr>
        <w:pStyle w:val="FirstParagraph"/>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jc w:val="both"/>
        <w:rPr/>
      </w:pPr>
      <w:bookmarkStart w:id="15" w:name="X04eabb53a87c6fa4a2fa72048b81852fbe7f8a2"/>
      <w:r>
        <w:rPr/>
        <w:t xml:space="preserve">An alternative reading of personal supposition in the Parisian </w:t>
      </w:r>
      <w:r>
        <w:rPr>
          <w:i/>
        </w:rPr>
        <w:t>De consequentiis</w:t>
      </w:r>
      <w:bookmarkEnd w:id="15"/>
    </w:p>
    <w:p>
      <w:pPr>
        <w:pStyle w:val="FirstParagraph"/>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39"/>
      </w:r>
    </w:p>
    <w:p>
      <w:pPr>
        <w:pStyle w:val="FirstParagraph"/>
        <w:jc w:val="both"/>
        <w:rPr/>
      </w:pPr>
      <w:r>
        <w:rPr/>
        <w:t>As we can see, what is taken to supposit here is not individual white men, but the term or concept ‘white man’, which is ‘placed under’ the concept ‘man’.</w:t>
      </w:r>
    </w:p>
    <w:p>
      <w:pPr>
        <w:pStyle w:val="TextBody"/>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0"/>
      </w:r>
    </w:p>
    <w:p>
      <w:pPr>
        <w:pStyle w:val="FirstParagraph"/>
        <w:jc w:val="both"/>
        <w:rPr/>
      </w:pPr>
      <w:r>
        <w:rPr/>
        <w:t>Here, the supposita themselves are not individuals, but forms or concepts.</w:t>
      </w:r>
    </w:p>
    <w:p>
      <w:pPr>
        <w:pStyle w:val="Heading2"/>
        <w:jc w:val="both"/>
        <w:rPr/>
      </w:pPr>
      <w:bookmarkStart w:id="16" w:name="X0ee9b8ea25d3e347848ecf764162de6d31f57e3"/>
      <w:r>
        <w:rPr/>
        <w:t xml:space="preserve">Supposition in Burley’s </w:t>
      </w:r>
      <w:r>
        <w:rPr>
          <w:i/>
        </w:rPr>
        <w:t>On the Core of the Art of Logic</w:t>
      </w:r>
      <w:bookmarkEnd w:id="16"/>
    </w:p>
    <w:p>
      <w:pPr>
        <w:pStyle w:val="FirstParagraph"/>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1"/>
      </w:r>
      <w:r>
        <w:rPr/>
        <w:t xml:space="preserve"> Burley gives an example of the first where, in his fifth principal rule for consequences, he describes suppositional descent as licensing a descent from genus to species:</w:t>
      </w:r>
    </w:p>
    <w:p>
      <w:pPr>
        <w:pStyle w:val="BlockText"/>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2"/>
      </w:r>
    </w:p>
    <w:p>
      <w:pPr>
        <w:pStyle w:val="FirstParagraph"/>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3"/>
      </w:r>
      <w:r>
        <w:rPr/>
        <w:t xml:space="preserve"> Burley writes</w:t>
      </w:r>
    </w:p>
    <w:p>
      <w:pPr>
        <w:pStyle w:val="BlockText"/>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4"/>
      </w:r>
    </w:p>
    <w:p>
      <w:pPr>
        <w:pStyle w:val="FirstParagraph"/>
        <w:jc w:val="both"/>
        <w:rPr/>
      </w:pPr>
      <w:r>
        <w:rPr/>
        <w:t>Burley continues:</w:t>
      </w:r>
    </w:p>
    <w:p>
      <w:pPr>
        <w:pStyle w:val="BlockText"/>
        <w:jc w:val="both"/>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5"/>
      </w:r>
    </w:p>
    <w:p>
      <w:pPr>
        <w:pStyle w:val="FirstParagraph"/>
        <w:jc w:val="bot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6"/>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jc w:val="both"/>
        <w:rPr/>
      </w:pPr>
      <w:bookmarkStart w:id="17" w:name="conclusion"/>
      <w:r>
        <w:rPr/>
        <w:t>Conclusion</w:t>
      </w:r>
      <w:bookmarkEnd w:id="17"/>
    </w:p>
    <w:p>
      <w:pPr>
        <w:pStyle w:val="FirstParagraph"/>
        <w:jc w:val="both"/>
        <w:rPr/>
      </w:pPr>
      <w:r>
        <w:rPr/>
        <w:t>In the preceding, we’ve detailed two changes in the foundations of logic that ultimately affect our understanding of the nature of the discipline as such.</w:t>
      </w:r>
    </w:p>
    <w:p>
      <w:pPr>
        <w:pStyle w:val="TextBody"/>
        <w:jc w:val="both"/>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jc w:val="both"/>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TextBody"/>
        <w:jc w:val="both"/>
        <w:rPr/>
      </w:pPr>
      <w:r>
        <w:rP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7"/>
      </w:r>
      <w:r>
        <w:rPr/>
        <w:t xml:space="preserve"> And it seems to be this decision, if any, that sets the stage not only for the defects of nominalism, but also for the rise of ‘extreme realism’ to counter it.</w:t>
      </w:r>
    </w:p>
    <w:p>
      <w:pPr>
        <w:pStyle w:val="Bibliography"/>
        <w:jc w:val="both"/>
        <w:rPr/>
      </w:pPr>
      <w:r>
        <w:rPr/>
        <w:t xml:space="preserve">Archambault, Jacob. “Introduction: Consequences in Medieval Logic.” </w:t>
      </w:r>
      <w:r>
        <w:rPr>
          <w:i/>
        </w:rPr>
        <w:t>Vivarium</w:t>
      </w:r>
      <w:r>
        <w:rPr/>
        <w:t xml:space="preserve"> 56, nos. 3-4 (2018): 201–21.</w:t>
      </w:r>
      <w:bookmarkStart w:id="18" w:name="ref-Archambault2018a"/>
      <w:bookmarkEnd w:id="18"/>
    </w:p>
    <w:p>
      <w:pPr>
        <w:pStyle w:val="Bibliography"/>
        <w:jc w:val="both"/>
        <w:rPr/>
      </w:pPr>
      <w:r>
        <w:rPr/>
        <w:t>———</w:t>
      </w:r>
      <w:r>
        <w:rPr/>
        <w:t xml:space="preserve">. “Monotonic and Non-Monotonic Embeddings of Anselm’s Proof.” </w:t>
      </w:r>
      <w:r>
        <w:rPr>
          <w:i/>
        </w:rPr>
        <w:t>Logica Universalis</w:t>
      </w:r>
      <w:r>
        <w:rPr/>
        <w:t xml:space="preserve"> 11 (2017): 121–38.</w:t>
      </w:r>
      <w:bookmarkStart w:id="19" w:name="ref-Archambault2017e"/>
      <w:bookmarkEnd w:id="19"/>
    </w:p>
    <w:p>
      <w:pPr>
        <w:pStyle w:val="Bibliography"/>
        <w:jc w:val="both"/>
        <w:rPr/>
      </w:pPr>
      <w:r>
        <w:rPr/>
        <w:t>———</w:t>
      </w:r>
      <w:r>
        <w:rPr/>
        <w:t>. “The Development of the Medieval Parisian Account of Formal Consequence.” PhD thesis, Fordham University, 2017.</w:t>
      </w:r>
      <w:bookmarkStart w:id="20" w:name="ref-Archambault2017d"/>
      <w:bookmarkEnd w:id="20"/>
    </w:p>
    <w:p>
      <w:pPr>
        <w:pStyle w:val="Bibliography"/>
        <w:jc w:val="both"/>
        <w:rPr/>
      </w:pPr>
      <w:r>
        <w:rPr/>
        <w:t xml:space="preserve">Barcan Marcus, Ruth. “Nominalism and the Substitutional Quantifier.” </w:t>
      </w:r>
      <w:r>
        <w:rPr>
          <w:i/>
        </w:rPr>
        <w:t>Monist</w:t>
      </w:r>
      <w:r>
        <w:rPr/>
        <w:t xml:space="preserve"> 61, no. 3 (1978): 351–62.</w:t>
      </w:r>
      <w:bookmarkStart w:id="21" w:name="ref-BarcanMarcus1978"/>
      <w:bookmarkEnd w:id="21"/>
    </w:p>
    <w:p>
      <w:pPr>
        <w:pStyle w:val="Bibliography"/>
        <w:jc w:val="both"/>
        <w:rPr/>
      </w:pPr>
      <w:r>
        <w:rPr/>
        <w:t xml:space="preserve">Boethius. “De Differentiis Topicis.” In </w:t>
      </w:r>
      <w:r>
        <w:rPr>
          <w:i/>
        </w:rPr>
        <w:t>Patrologia Cursus Completus. Series Latina</w:t>
      </w:r>
      <w:r>
        <w:rPr/>
        <w:t>, 64:1173B–1216D. Paris: J. P. Migne, n.d.</w:t>
      </w:r>
      <w:bookmarkStart w:id="22" w:name="ref-BDT"/>
      <w:bookmarkEnd w:id="22"/>
    </w:p>
    <w:p>
      <w:pPr>
        <w:pStyle w:val="Bibliography"/>
        <w:jc w:val="both"/>
        <w:rPr/>
      </w:pPr>
      <w:r>
        <w:rPr/>
        <w:t>———</w:t>
      </w:r>
      <w:r>
        <w:rPr/>
        <w:t xml:space="preserve">. </w:t>
      </w:r>
      <w:r>
        <w:rPr>
          <w:i/>
        </w:rPr>
        <w:t>De Hypotheticis Syllogismis</w:t>
      </w:r>
      <w:r>
        <w:rPr/>
        <w:t>. Edited by L. Obertello. Brescia: Paideia, 1969.</w:t>
      </w:r>
      <w:bookmarkStart w:id="23" w:name="ref-BHS"/>
      <w:bookmarkEnd w:id="23"/>
    </w:p>
    <w:p>
      <w:pPr>
        <w:pStyle w:val="Bibliography"/>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24" w:name="ref-Bosman2018"/>
      <w:bookmarkEnd w:id="24"/>
    </w:p>
    <w:p>
      <w:pPr>
        <w:pStyle w:val="Bibliography"/>
        <w:jc w:val="both"/>
        <w:rPr/>
      </w:pPr>
      <w:r>
        <w:rPr/>
        <w:t xml:space="preserve">Dutilh Novaes, Catarina. “An Intensional Interpretation of Ockham’s Theory of Supposition.” </w:t>
      </w:r>
      <w:r>
        <w:rPr>
          <w:i/>
        </w:rPr>
        <w:t>Journal of the History of Philosophy</w:t>
      </w:r>
      <w:r>
        <w:rPr/>
        <w:t xml:space="preserve"> 46, no. 3 (2008): 365–93.</w:t>
      </w:r>
      <w:bookmarkStart w:id="25" w:name="ref-DutilhNovaes2008b"/>
      <w:bookmarkEnd w:id="25"/>
    </w:p>
    <w:p>
      <w:pPr>
        <w:pStyle w:val="Bibliography"/>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6" w:name="ref-DutilhNovaes2012c"/>
      <w:bookmarkEnd w:id="26"/>
    </w:p>
    <w:p>
      <w:pPr>
        <w:pStyle w:val="Bibliography"/>
        <w:jc w:val="both"/>
        <w:rPr/>
      </w:pPr>
      <w:r>
        <w:rPr/>
        <w:t>———</w:t>
      </w:r>
      <w:r>
        <w:rPr/>
        <w:t xml:space="preserve">. “The Different Ways in Which Logic Is (Said to Be) Formal.” </w:t>
      </w:r>
      <w:r>
        <w:rPr>
          <w:i/>
        </w:rPr>
        <w:t>History and Philosophy of Logic</w:t>
      </w:r>
      <w:r>
        <w:rPr/>
        <w:t xml:space="preserve"> 32, no. 4 (2011): 303–32.</w:t>
      </w:r>
      <w:bookmarkStart w:id="27" w:name="ref-DutilhNovaes2011"/>
      <w:bookmarkEnd w:id="27"/>
    </w:p>
    <w:p>
      <w:pPr>
        <w:pStyle w:val="Bibliography"/>
        <w:jc w:val="both"/>
        <w:rPr/>
      </w:pPr>
      <w:r>
        <w:rPr/>
        <w:t>———</w:t>
      </w:r>
      <w:r>
        <w:rPr/>
        <w:t xml:space="preserve">. “Theory of Supposition Vs. Theory of Fallacies in Ockham.” </w:t>
      </w:r>
      <w:r>
        <w:rPr>
          <w:i/>
        </w:rPr>
        <w:t>Vivarium</w:t>
      </w:r>
      <w:r>
        <w:rPr/>
        <w:t xml:space="preserve"> 45, nos. 2-3 (2007): 343–59.</w:t>
      </w:r>
      <w:bookmarkStart w:id="28" w:name="ref-DutilhNovaes2007"/>
      <w:bookmarkEnd w:id="28"/>
    </w:p>
    <w:p>
      <w:pPr>
        <w:pStyle w:val="Bibliography"/>
        <w:jc w:val="both"/>
        <w:rPr/>
      </w:pPr>
      <w:r>
        <w:rPr/>
        <w:t xml:space="preserve">Etchemendy, John. “Reflections on Consequence.” In </w:t>
      </w:r>
      <w:r>
        <w:rPr>
          <w:i/>
        </w:rPr>
        <w:t>New Essays on Tarski and Philosophy</w:t>
      </w:r>
      <w:r>
        <w:rPr/>
        <w:t>, edited by Douglas Patterson, 263–99. Oxford: Clarendon Press, 2008.</w:t>
      </w:r>
      <w:bookmarkStart w:id="29" w:name="ref-Etchemendy2008"/>
      <w:bookmarkEnd w:id="29"/>
    </w:p>
    <w:p>
      <w:pPr>
        <w:pStyle w:val="Bibliography"/>
        <w:jc w:val="both"/>
        <w:rPr/>
      </w:pPr>
      <w:r>
        <w:rPr/>
        <w:t xml:space="preserve">Franks, Curtis. “Cut as Consequence.” </w:t>
      </w:r>
      <w:r>
        <w:rPr>
          <w:i/>
        </w:rPr>
        <w:t>History and Philosophy of Logic</w:t>
      </w:r>
      <w:r>
        <w:rPr/>
        <w:t xml:space="preserve"> 31, no. 4 (2010): 349–79.</w:t>
      </w:r>
      <w:bookmarkStart w:id="30" w:name="ref-Franks2010"/>
      <w:bookmarkEnd w:id="30"/>
    </w:p>
    <w:p>
      <w:pPr>
        <w:pStyle w:val="Bibliography"/>
        <w:jc w:val="both"/>
        <w:rPr/>
      </w:pPr>
      <w:r>
        <w:rPr/>
        <w:t xml:space="preserve">Gómez-Torrente, Mario. “A Note on Formality and Logical Consequence.” </w:t>
      </w:r>
      <w:r>
        <w:rPr>
          <w:i/>
        </w:rPr>
        <w:t>Journal of Philosophical Logic</w:t>
      </w:r>
      <w:r>
        <w:rPr/>
        <w:t xml:space="preserve"> 29, no. 5 (2000): 529–39.</w:t>
      </w:r>
      <w:bookmarkStart w:id="31" w:name="ref-Gomez-Torrente2000"/>
      <w:bookmarkEnd w:id="31"/>
    </w:p>
    <w:p>
      <w:pPr>
        <w:pStyle w:val="Bibliography"/>
        <w:jc w:val="both"/>
        <w:rPr/>
      </w:pPr>
      <w:r>
        <w:rPr/>
        <w:t xml:space="preserve">Green-Pedersen, Niels Jørgen. </w:t>
      </w:r>
      <w:r>
        <w:rPr>
          <w:i/>
        </w:rPr>
        <w:t>The Tradition of the Topics in the Middle Ages: Commentaries on Aristotle’s and Boethius’ Topics</w:t>
      </w:r>
      <w:r>
        <w:rPr/>
        <w:t>. Munich: Philosophia Verlag, 1984.</w:t>
      </w:r>
      <w:bookmarkStart w:id="32" w:name="ref-Green-Pedersen1984"/>
      <w:bookmarkEnd w:id="32"/>
    </w:p>
    <w:p>
      <w:pPr>
        <w:pStyle w:val="Bibliography"/>
        <w:jc w:val="both"/>
        <w:rPr/>
      </w:pPr>
      <w:r>
        <w:rPr/>
        <w:t>———</w:t>
      </w:r>
      <w:r>
        <w:rPr/>
        <w:t xml:space="preserve">. “Two Early Anonymous Tracts on Consequences.” </w:t>
      </w:r>
      <w:r>
        <w:rPr>
          <w:i/>
        </w:rPr>
        <w:t>Cahiers de L’Institut Du Moyen-Âge Grec et Latin</w:t>
      </w:r>
      <w:r>
        <w:rPr/>
        <w:t xml:space="preserve"> 35 (1980): 1–28.</w:t>
      </w:r>
      <w:bookmarkStart w:id="33" w:name="ref-Green-Pedersen1980a"/>
      <w:bookmarkEnd w:id="33"/>
    </w:p>
    <w:p>
      <w:pPr>
        <w:pStyle w:val="Bibliography"/>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4" w:name="ref-Green-Pedersen1980b"/>
      <w:bookmarkEnd w:id="34"/>
    </w:p>
    <w:p>
      <w:pPr>
        <w:pStyle w:val="Bibliography"/>
        <w:jc w:val="both"/>
        <w:rPr/>
      </w:pPr>
      <w:r>
        <w:rPr/>
        <w:t>Hjortland, Ole T. “The Structure of Logical Consequence: Proof-Theoretic Conceptions.” PhD thesis, University of St. Andrews, 2009.</w:t>
      </w:r>
      <w:bookmarkStart w:id="35" w:name="ref-Hjortland2009"/>
      <w:bookmarkEnd w:id="35"/>
    </w:p>
    <w:p>
      <w:pPr>
        <w:pStyle w:val="Bibliography"/>
        <w:jc w:val="both"/>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6" w:name="ref-HodgesBurley"/>
      <w:bookmarkEnd w:id="36"/>
    </w:p>
    <w:p>
      <w:pPr>
        <w:pStyle w:val="Bibliography"/>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7" w:name="ref-Holopainen2007"/>
      <w:bookmarkEnd w:id="37"/>
    </w:p>
    <w:p>
      <w:pPr>
        <w:pStyle w:val="Bibliography"/>
        <w:jc w:val="both"/>
        <w:rPr/>
      </w:pPr>
      <w:r>
        <w:rPr/>
        <w:t xml:space="preserve">John Buridan. </w:t>
      </w:r>
      <w:r>
        <w:rPr>
          <w:i/>
        </w:rPr>
        <w:t>Tractatus de Consequentiis</w:t>
      </w:r>
      <w:r>
        <w:rPr/>
        <w:t>. Edited by Hubert Hubien. Philosophes Médiévaux 16. Louvain: Publications universitaires, 1976.</w:t>
      </w:r>
      <w:bookmarkStart w:id="38" w:name="ref-BuridanTC"/>
      <w:bookmarkEnd w:id="38"/>
    </w:p>
    <w:p>
      <w:pPr>
        <w:pStyle w:val="Bibliography"/>
        <w:jc w:val="both"/>
        <w:rPr/>
      </w:pPr>
      <w:r>
        <w:rPr/>
        <w:t>———</w:t>
      </w:r>
      <w:r>
        <w:rPr/>
        <w:t xml:space="preserve">. </w:t>
      </w:r>
      <w:r>
        <w:rPr>
          <w:i/>
        </w:rPr>
        <w:t>Treatise on Consequences</w:t>
      </w:r>
      <w:r>
        <w:rPr/>
        <w:t>. Translated by Stephen Read. Bronx, NY: Fordham University Press, 2015.</w:t>
      </w:r>
      <w:bookmarkStart w:id="39" w:name="ref-Buridan2015"/>
      <w:bookmarkEnd w:id="39"/>
    </w:p>
    <w:p>
      <w:pPr>
        <w:pStyle w:val="Bibliography"/>
        <w:jc w:val="both"/>
        <w:rPr/>
      </w:pPr>
      <w:r>
        <w:rPr/>
        <w:t xml:space="preserve">Kemeny, John G. “A New Approach to Semantics–Part I.” </w:t>
      </w:r>
      <w:r>
        <w:rPr>
          <w:i/>
        </w:rPr>
        <w:t>Journal of Symbolic Logic</w:t>
      </w:r>
      <w:r>
        <w:rPr/>
        <w:t xml:space="preserve"> 21, no. 1 (1956): 1–27.</w:t>
      </w:r>
      <w:bookmarkStart w:id="40" w:name="ref-Kemeny1956"/>
      <w:bookmarkEnd w:id="40"/>
    </w:p>
    <w:p>
      <w:pPr>
        <w:pStyle w:val="Bibliography"/>
        <w:jc w:val="both"/>
        <w:rPr/>
      </w:pPr>
      <w:r>
        <w:rPr/>
        <w:t>———</w:t>
      </w:r>
      <w:r>
        <w:rPr/>
        <w:t xml:space="preserve">. “A New Approach to Semantics–Part II.” </w:t>
      </w:r>
      <w:r>
        <w:rPr>
          <w:i/>
        </w:rPr>
        <w:t>Journal of Symbolic Logic</w:t>
      </w:r>
      <w:r>
        <w:rPr/>
        <w:t xml:space="preserve"> 22, no. 2 (1956): 149–61.</w:t>
      </w:r>
      <w:bookmarkStart w:id="41" w:name="ref-Kemeny1956b"/>
      <w:bookmarkEnd w:id="41"/>
    </w:p>
    <w:p>
      <w:pPr>
        <w:pStyle w:val="Bibliography"/>
        <w:jc w:val="both"/>
        <w:rPr/>
      </w:pPr>
      <w:r>
        <w:rPr/>
        <w:t xml:space="preserve">Klima, Gyula. </w:t>
      </w:r>
      <w:r>
        <w:rPr>
          <w:i/>
        </w:rPr>
        <w:t>Ars Artium: Essays in Philosophical Semantics, Medieval and Modern</w:t>
      </w:r>
      <w:r>
        <w:rPr/>
        <w:t>. Budapest: Institute of Philosophy of the Hungarian Academy of Sciences, 1988.</w:t>
      </w:r>
      <w:bookmarkStart w:id="42" w:name="ref-Klima1988"/>
      <w:bookmarkEnd w:id="42"/>
    </w:p>
    <w:p>
      <w:pPr>
        <w:pStyle w:val="Bibliography"/>
        <w:jc w:val="both"/>
        <w:rPr/>
      </w:pPr>
      <w:r>
        <w:rPr/>
        <w:t xml:space="preserve">Kripke, Saul A. “Semantical Analysis of Modal Logic I. Normal Propositional Calculi.” </w:t>
      </w:r>
      <w:r>
        <w:rPr>
          <w:i/>
        </w:rPr>
        <w:t>Zeitschrift Fur Mathematische Logik Und Grundlagen Der Mathematik</w:t>
      </w:r>
      <w:r>
        <w:rPr/>
        <w:t xml:space="preserve"> 9, nos. 5-6 (1963): 67–96.</w:t>
      </w:r>
      <w:bookmarkStart w:id="43" w:name="ref-Kripke1963a"/>
      <w:bookmarkEnd w:id="43"/>
    </w:p>
    <w:p>
      <w:pPr>
        <w:pStyle w:val="Bibliography"/>
        <w:jc w:val="both"/>
        <w:rPr/>
      </w:pPr>
      <w:r>
        <w:rPr/>
        <w:t>MacFarlane, John. “What Does It Mean to Say That Logic Is Formal?” PhD thesis, University of Pittsburgh, 2000.</w:t>
      </w:r>
      <w:bookmarkStart w:id="44" w:name="ref-MacFarlane2000"/>
      <w:bookmarkEnd w:id="44"/>
    </w:p>
    <w:p>
      <w:pPr>
        <w:pStyle w:val="Bibliography"/>
        <w:jc w:val="both"/>
        <w:rPr/>
      </w:pPr>
      <w:r>
        <w:rPr/>
        <w:t xml:space="preserve">Martin, Christopher J. “Denying Conditionals: Abaelard and the Failure of Boethius’ Account of the Hypothetical Syllogism.” </w:t>
      </w:r>
      <w:r>
        <w:rPr>
          <w:i/>
        </w:rPr>
        <w:t>Vivarium</w:t>
      </w:r>
      <w:r>
        <w:rPr/>
        <w:t xml:space="preserve"> 45 (2007): 153–68.</w:t>
      </w:r>
      <w:bookmarkStart w:id="45" w:name="ref-Martin2007"/>
      <w:bookmarkEnd w:id="45"/>
    </w:p>
    <w:p>
      <w:pPr>
        <w:pStyle w:val="Bibliography"/>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6" w:name="ref-Martin2004"/>
      <w:bookmarkEnd w:id="46"/>
    </w:p>
    <w:p>
      <w:pPr>
        <w:pStyle w:val="Bibliography"/>
        <w:jc w:val="both"/>
        <w:rPr/>
      </w:pPr>
      <w:r>
        <w:rPr/>
        <w:t>———</w:t>
      </w:r>
      <w:r>
        <w:rPr/>
        <w:t xml:space="preserve">. “The Theory of Natural Consequence.” </w:t>
      </w:r>
      <w:r>
        <w:rPr>
          <w:i/>
        </w:rPr>
        <w:t>Vivarium</w:t>
      </w:r>
      <w:r>
        <w:rPr/>
        <w:t xml:space="preserve"> 56, nos. 3-4 (2018): 340–66.</w:t>
      </w:r>
      <w:bookmarkStart w:id="47" w:name="ref-Martin2018"/>
      <w:bookmarkEnd w:id="47"/>
    </w:p>
    <w:p>
      <w:pPr>
        <w:pStyle w:val="Bibliography"/>
        <w:jc w:val="both"/>
        <w:rPr/>
      </w:pPr>
      <w:r>
        <w:rPr/>
        <w:t xml:space="preserve">Parsons, Terence. </w:t>
      </w:r>
      <w:r>
        <w:rPr>
          <w:i/>
        </w:rPr>
        <w:t>Articulating Medieval Logic</w:t>
      </w:r>
      <w:r>
        <w:rPr/>
        <w:t>. Oxford: Oxford University Press, 2014.</w:t>
      </w:r>
      <w:bookmarkStart w:id="48" w:name="ref-Parsons2014"/>
      <w:bookmarkEnd w:id="48"/>
    </w:p>
    <w:p>
      <w:pPr>
        <w:pStyle w:val="Bibliography"/>
        <w:jc w:val="both"/>
        <w:rPr/>
      </w:pPr>
      <w:r>
        <w:rPr/>
        <w:t xml:space="preserve">Prawitz, Dag. “Remarks on Some Approaches to the Concept of Logical Consequence.” </w:t>
      </w:r>
      <w:r>
        <w:rPr>
          <w:i/>
        </w:rPr>
        <w:t>Synthese</w:t>
      </w:r>
      <w:r>
        <w:rPr/>
        <w:t xml:space="preserve"> 62, no. 2 (1985): 153–71.</w:t>
      </w:r>
      <w:bookmarkStart w:id="49" w:name="ref-Prawitz1985"/>
      <w:bookmarkEnd w:id="49"/>
    </w:p>
    <w:p>
      <w:pPr>
        <w:pStyle w:val="Bibliography"/>
        <w:jc w:val="both"/>
        <w:rPr/>
      </w:pPr>
      <w:r>
        <w:rPr/>
        <w:t xml:space="preserve">Priest, Graham, and Stephen Read. “The Formalization of Ockham’s Theory of Supposition.” </w:t>
      </w:r>
      <w:r>
        <w:rPr>
          <w:i/>
        </w:rPr>
        <w:t>Mind</w:t>
      </w:r>
      <w:r>
        <w:rPr/>
        <w:t xml:space="preserve"> 86, no. 341 (1977): 109–13.</w:t>
      </w:r>
      <w:bookmarkStart w:id="50" w:name="ref-PriestRead1977"/>
      <w:bookmarkEnd w:id="50"/>
    </w:p>
    <w:p>
      <w:pPr>
        <w:pStyle w:val="Bibliography"/>
        <w:jc w:val="both"/>
        <w:rPr/>
      </w:pPr>
      <w:r>
        <w:rPr/>
        <w:t xml:space="preserve">Pseudo-Scotus. </w:t>
      </w:r>
      <w:r>
        <w:rPr>
          <w:i/>
        </w:rPr>
        <w:t>Quaestiones Super Libros Ii Priorum Analyticorum</w:t>
      </w:r>
      <w:r>
        <w:rPr/>
        <w:t>. Joannis Duns Scoti Doctoris Subtilis Ordinis Minorum Opera Omnia, vol. 2. Paris: Wadding-Vives, 1891.</w:t>
      </w:r>
      <w:bookmarkStart w:id="51" w:name="ref-Pseudo-Scotus1891"/>
      <w:bookmarkEnd w:id="51"/>
    </w:p>
    <w:p>
      <w:pPr>
        <w:pStyle w:val="Bibliography"/>
        <w:jc w:val="both"/>
        <w:rPr/>
      </w:pPr>
      <w:r>
        <w:rPr/>
        <w:t xml:space="preserve">Read, Stephen. “William of Ockham’s </w:t>
      </w:r>
      <w:r>
        <w:rPr>
          <w:i/>
        </w:rPr>
        <w:t>the Sum of Logic</w:t>
      </w:r>
      <w:r>
        <w:rPr/>
        <w:t xml:space="preserve">.” </w:t>
      </w:r>
      <w:r>
        <w:rPr>
          <w:i/>
        </w:rPr>
        <w:t>Topoi</w:t>
      </w:r>
      <w:r>
        <w:rPr/>
        <w:t xml:space="preserve"> 26, no. 2 (2007): 271–77.</w:t>
      </w:r>
      <w:bookmarkStart w:id="52" w:name="ref-Read2007"/>
      <w:bookmarkEnd w:id="52"/>
    </w:p>
    <w:p>
      <w:pPr>
        <w:pStyle w:val="Bibliography"/>
        <w:jc w:val="both"/>
        <w:rPr/>
      </w:pPr>
      <w:r>
        <w:rPr/>
        <w:t xml:space="preserve">Schiemer, Georg, and Erich H. Reck. “Logic in the 1930s: Type Theory and Model Theory.” </w:t>
      </w:r>
      <w:r>
        <w:rPr>
          <w:i/>
        </w:rPr>
        <w:t>Bulletin of Symbolic Logic</w:t>
      </w:r>
      <w:r>
        <w:rPr/>
        <w:t xml:space="preserve"> 19, no. 4 (2013): 433–72.</w:t>
      </w:r>
      <w:bookmarkStart w:id="53" w:name="ref-Schiemer2013"/>
      <w:bookmarkEnd w:id="53"/>
    </w:p>
    <w:p>
      <w:pPr>
        <w:pStyle w:val="Bibliography"/>
        <w:jc w:val="both"/>
        <w:rPr/>
      </w:pPr>
      <w:r>
        <w:rPr/>
        <w:t xml:space="preserve">Schroeder-Heister, Peter. “Validity Concepts in Proof-Theoretic Semantics.” </w:t>
      </w:r>
      <w:r>
        <w:rPr>
          <w:i/>
        </w:rPr>
        <w:t>Synthese</w:t>
      </w:r>
      <w:r>
        <w:rPr/>
        <w:t xml:space="preserve"> 148, no. 3 (2006): 525–71.</w:t>
      </w:r>
      <w:bookmarkStart w:id="54" w:name="ref-Schroeder-Heister2006"/>
      <w:bookmarkEnd w:id="54"/>
    </w:p>
    <w:p>
      <w:pPr>
        <w:pStyle w:val="Bibliography"/>
        <w:jc w:val="both"/>
        <w:rPr/>
      </w:pPr>
      <w:r>
        <w:rPr/>
        <w:t>Seaton, Wallace Knight. “An Edition and Translation of the Tractatus de Consequentiis of Ralph Strode.” PhD thesis, University of California at Berkeley, 1973.</w:t>
      </w:r>
      <w:bookmarkStart w:id="55" w:name="ref-StrodeConsequentiis"/>
      <w:bookmarkEnd w:id="55"/>
    </w:p>
    <w:p>
      <w:pPr>
        <w:pStyle w:val="Bibliography"/>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56" w:name="ref-SpadeMenn"/>
      <w:bookmarkEnd w:id="56"/>
    </w:p>
    <w:p>
      <w:pPr>
        <w:pStyle w:val="Bibliography"/>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57" w:name="ref-Tarski2002"/>
      <w:bookmarkEnd w:id="57"/>
    </w:p>
    <w:p>
      <w:pPr>
        <w:pStyle w:val="Bibliography"/>
        <w:jc w:val="both"/>
        <w:rPr/>
      </w:pPr>
      <w:r>
        <w:rPr/>
        <w:t xml:space="preserve">Walter Burleigh. </w:t>
      </w:r>
      <w:r>
        <w:rPr>
          <w:i/>
        </w:rPr>
        <w:t>De Puritate Artis Logicae</w:t>
      </w:r>
      <w:r>
        <w:rPr/>
        <w:t>. Edited by Philotheus Boehner. St Bonaventure, NY: Franciscan Institute, 1955.</w:t>
      </w:r>
      <w:bookmarkStart w:id="58" w:name="ref-BurleyDPAL"/>
      <w:bookmarkEnd w:id="58"/>
    </w:p>
    <w:p>
      <w:pPr>
        <w:pStyle w:val="Bibliography"/>
        <w:jc w:val="both"/>
        <w:rPr/>
      </w:pPr>
      <w:r>
        <w:rPr/>
        <w:t xml:space="preserve">William of Ockham. “Elementarium Logicae.” In </w:t>
      </w:r>
      <w:r>
        <w:rPr>
          <w:i/>
        </w:rPr>
        <w:t>Opera Philosophica: Opera Dubia et Spuria</w:t>
      </w:r>
      <w:r>
        <w:rPr/>
        <w:t>, edited by Eligius M. Buytaert, 7:59–304. St. Bonaventure, NY: Franciscan Institute, 1988.</w:t>
      </w:r>
      <w:bookmarkStart w:id="59" w:name="ref-OckhamEL"/>
      <w:bookmarkEnd w:id="59"/>
    </w:p>
    <w:p>
      <w:pPr>
        <w:pStyle w:val="Bibliography"/>
        <w:spacing w:before="0" w:after="200"/>
        <w:jc w:val="both"/>
        <w:rPr/>
      </w:pPr>
      <w:r>
        <w:rPr/>
        <w:t>———</w:t>
      </w:r>
      <w:r>
        <w:rPr/>
        <w:t xml:space="preserve">.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440" w:right="1440" w:header="0" w:top="1440" w:footer="0" w:bottom="1440" w:gutter="0"/>
      <w:pgNumType w:fmt="decimal"/>
      <w:cols w:num="2" w:space="14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3">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4">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5">
    <w:p>
      <w:pPr>
        <w:pStyle w:val="Footnote"/>
        <w:spacing w:before="0" w:after="200"/>
        <w:rPr/>
      </w:pPr>
      <w:r>
        <w:rPr>
          <w:rStyle w:val="FootnoteCharacters"/>
        </w:rPr>
        <w:footnoteRef/>
      </w:r>
      <w:r>
        <w:rPr/>
        <w:t xml:space="preserve"> </w:t>
      </w:r>
      <w:r>
        <w:rPr/>
        <w:t>Tarski, “On the Concept of Following Logically.”</w:t>
      </w:r>
    </w:p>
  </w:footnote>
  <w:footnote w:id="6">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7">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Fur Mathematische Logik Und Grundlagen Der Mathematik</w:t>
      </w:r>
      <w:r>
        <w:rPr/>
        <w:t xml:space="preserve"> 9, nos. 5-6 (1963): 67–96.</w:t>
      </w:r>
    </w:p>
  </w:footnote>
  <w:footnote w:id="8">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9">
    <w:p>
      <w:pPr>
        <w:pStyle w:val="Footnote"/>
        <w:spacing w:before="0" w:after="200"/>
        <w:rPr/>
      </w:pPr>
      <w:r>
        <w:rPr>
          <w:rStyle w:val="FootnoteCharacters"/>
        </w:rPr>
        <w:footnoteRef/>
      </w:r>
      <w:r>
        <w:rPr/>
        <w:t xml:space="preserve"> </w:t>
      </w:r>
      <w:r>
        <w:rPr/>
        <w:t>Tarski, “On the Concept of Following Logically,” 183–84.</w:t>
      </w:r>
    </w:p>
  </w:footnote>
  <w:footnote w:id="10">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1">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2">
    <w:p>
      <w:pPr>
        <w:pStyle w:val="Footnote"/>
        <w:spacing w:before="0" w:after="200"/>
        <w:rPr/>
      </w:pPr>
      <w:r>
        <w:rPr>
          <w:rStyle w:val="FootnoteCharacters"/>
        </w:rPr>
        <w:footnoteRef/>
      </w:r>
      <w:r>
        <w:rPr/>
        <w:t xml:space="preserve"> </w:t>
      </w:r>
      <w:r>
        <w:rPr/>
        <w:t>Dutilh Novaes, “The Different Ways in Which Logic Is (Said to Be) Formal,” 314–21.</w:t>
      </w:r>
    </w:p>
  </w:footnote>
  <w:footnote w:id="13">
    <w:p>
      <w:pPr>
        <w:pStyle w:val="Footnote"/>
        <w:spacing w:before="0" w:after="200"/>
        <w:rPr/>
      </w:pPr>
      <w:r>
        <w:rPr>
          <w:rStyle w:val="FootnoteCharacters"/>
        </w:rPr>
        <w:footnoteRef/>
      </w:r>
      <w:r>
        <w:rPr/>
        <w:t xml:space="preserve"> </w:t>
      </w:r>
      <w:r>
        <w:rPr/>
        <w:t xml:space="preserve">Cf. Ruth Barcan Marcus, “Nominalism and the Substitutional Quantifier,” </w:t>
      </w:r>
      <w:r>
        <w:rPr>
          <w:i/>
        </w:rPr>
        <w:t>Monist</w:t>
      </w:r>
      <w:r>
        <w:rPr/>
        <w:t xml:space="preserve"> 61, no. 3 (1978): 351–62. For an in-depth comparison of Buridan and Tarski’s accounts, see Jacob Archambault, “The Development of the Medieval Parisian Account of Formal Consequence” (Fordham University, 2017) ch. 2.</w:t>
      </w:r>
    </w:p>
  </w:footnote>
  <w:footnote w:id="14">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5">
    <w:p>
      <w:pPr>
        <w:pStyle w:val="Footnote"/>
        <w:spacing w:before="0" w:after="200"/>
        <w:rPr/>
      </w:pPr>
      <w:r>
        <w:rPr>
          <w:rStyle w:val="FootnoteCharacters"/>
        </w:rPr>
        <w:footnoteRef/>
      </w:r>
      <w:r>
        <w:rPr/>
        <w:t xml:space="preserve"> </w:t>
      </w:r>
      <w:r>
        <w:rPr/>
        <w:t xml:space="preserve">Early medieval logicians themselves did not: the earliest treaties dedicated to the concept of consequence as such don’t appear until turn of the fourteenth century. See Niels Jørgen Green-Pedersen, </w:t>
      </w:r>
      <w:r>
        <w:rPr>
          <w:i/>
        </w:rPr>
        <w:t>The Tradition of the Topics in the Middle Ages: Commentaries on Aristotle’s and Boethius’ Topics</w:t>
      </w:r>
      <w:r>
        <w:rPr/>
        <w:t xml:space="preserve"> (Munich: Philosophia Verlag, 1984), Archambault, “The Development of the Medieval Parisian Account of Formal Consequence.”</w:t>
      </w:r>
    </w:p>
  </w:footnote>
  <w:footnote w:id="16">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7">
    <w:p>
      <w:pPr>
        <w:pStyle w:val="Footnote"/>
        <w:spacing w:before="0" w:after="200"/>
        <w:rPr/>
      </w:pPr>
      <w:r>
        <w:rPr>
          <w:rStyle w:val="FootnoteCharacters"/>
        </w:rPr>
        <w:footnoteRef/>
      </w:r>
      <w:r>
        <w:rPr/>
        <w:t xml:space="preserve"> </w:t>
      </w:r>
      <w:r>
        <w:rPr/>
        <w:t>Ibid., 1174C.</w:t>
      </w:r>
    </w:p>
  </w:footnote>
  <w:footnote w:id="18">
    <w:p>
      <w:pPr>
        <w:pStyle w:val="Footnote"/>
        <w:spacing w:before="0" w:after="200"/>
        <w:rPr/>
      </w:pPr>
      <w:r>
        <w:rPr>
          <w:rStyle w:val="FootnoteCharacters"/>
        </w:rPr>
        <w:footnoteRef/>
      </w:r>
      <w:r>
        <w:rPr/>
        <w:t xml:space="preserve"> </w:t>
      </w:r>
      <w:r>
        <w:rPr/>
        <w:t>Ibid., 1180C.</w:t>
      </w:r>
    </w:p>
  </w:footnote>
  <w:footnote w:id="19">
    <w:p>
      <w:pPr>
        <w:pStyle w:val="Footnote"/>
        <w:spacing w:before="0" w:after="200"/>
        <w:rPr/>
      </w:pPr>
      <w:r>
        <w:rPr>
          <w:rStyle w:val="FootnoteCharacters"/>
        </w:rPr>
        <w:footnoteRef/>
      </w:r>
      <w:r>
        <w:rPr/>
        <w:t xml:space="preserve"> </w:t>
      </w:r>
      <w:r>
        <w:rPr/>
        <w:t>Ibid., 1181A–C.</w:t>
      </w:r>
    </w:p>
  </w:footnote>
  <w:footnote w:id="20">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1">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2">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3">
    <w:p>
      <w:pPr>
        <w:pStyle w:val="Footnote"/>
        <w:spacing w:before="0" w:after="200"/>
        <w:rPr/>
      </w:pPr>
      <w:r>
        <w:rPr>
          <w:rStyle w:val="FootnoteCharacters"/>
        </w:rPr>
        <w:footnoteRef/>
      </w:r>
      <w:r>
        <w:rPr/>
        <w:t xml:space="preserve"> </w:t>
      </w:r>
      <w:r>
        <w:rPr/>
        <w:t>Ibid., 1.3.6–1.3.7.</w:t>
      </w:r>
    </w:p>
  </w:footnote>
  <w:footnote w:id="24">
    <w:p>
      <w:pPr>
        <w:pStyle w:val="Footnote"/>
        <w:spacing w:before="0" w:after="200"/>
        <w:rPr/>
      </w:pPr>
      <w:r>
        <w:rPr>
          <w:rStyle w:val="FootnoteCharacters"/>
        </w:rPr>
        <w:footnoteRef/>
      </w:r>
      <w:r>
        <w:rPr/>
        <w:t xml:space="preserve"> </w:t>
      </w:r>
      <w:r>
        <w:rPr/>
        <w:t>ibid., 1.3.5. Boethius, “De Differentiis Topicis,” 1176B–C</w:t>
      </w:r>
    </w:p>
  </w:footnote>
  <w:footnote w:id="25">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6">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7">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28">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29">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0">
    <w:p>
      <w:pPr>
        <w:pStyle w:val="Footnote"/>
        <w:spacing w:before="0" w:after="200"/>
        <w:rPr/>
      </w:pPr>
      <w:r>
        <w:rPr>
          <w:rStyle w:val="FootnoteCharacters"/>
        </w:rPr>
        <w:footnoteRef/>
      </w:r>
      <w:r>
        <w:rPr/>
        <w:t xml:space="preserve"> </w:t>
      </w:r>
      <w:r>
        <w:rPr/>
        <w:t>Boethius, “De Differentiis Topicis,” 1191A–B.</w:t>
      </w:r>
    </w:p>
  </w:footnote>
  <w:footnote w:id="31">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2">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3">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4">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5">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6">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7">
    <w:p>
      <w:pPr>
        <w:pStyle w:val="Footnote"/>
        <w:spacing w:before="0" w:after="200"/>
        <w:rPr/>
      </w:pPr>
      <w:r>
        <w:rPr>
          <w:rStyle w:val="FootnoteCharacters"/>
        </w:rPr>
        <w:footnoteRef/>
      </w:r>
      <w:r>
        <w:rPr/>
        <w:t xml:space="preserve"> </w:t>
      </w:r>
      <w:r>
        <w:rPr/>
        <w:t>Ibid., 9, par. 27.</w:t>
      </w:r>
    </w:p>
  </w:footnote>
  <w:footnote w:id="38">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39">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0">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1">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2">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3">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4">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5">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6">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7">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LibreOffice/6.4.5.2$Linux_X86_64 LibreOffice_project/40$Build-2</Application>
  <Pages>18</Pages>
  <Words>8089</Words>
  <Characters>44362</Characters>
  <CharactersWithSpaces>52269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2020-08-13T01:44:32Z</dcterms:created>
  <dc:creator>Jacob Archambault</dc:creator>
  <dc:description/>
  <dc:language>en-US</dc:language>
  <cp:lastModifiedBy/>
  <dcterms:modified xsi:type="dcterms:W3CDTF">2020-08-13T00:01:06Z</dcterms:modified>
  <cp:revision>3</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 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 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