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r>
        <w:t xml:space="preserve"> </w:t>
      </w: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r>
        <w:t xml:space="preserve"> </w:t>
      </w: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In its broadest sense, a consequence is a relation obtaining between an antecedent and a consequent, signified by a sign of consequence;</w:t>
      </w:r>
      <w:r>
        <w:rPr>
          <w:rStyle w:val="FootnoteReference"/>
        </w:rPr>
        <w:footnoteReference w:id="21"/>
      </w:r>
      <w:r>
        <w:t xml:space="preserve"> </w:t>
      </w:r>
      <w:r>
        <w:t xml:space="preserve">an antecedent, a premise or set of premises from which a consequent follows; a consequent, a conclusion following from an antecedent, and a sign of consequence, a word, symbol, or phrase signifying a consequent’s following from an antecedent, including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and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2" w:name="Xf91979ef53e0cb82f638c087a0e804e441b016b"/>
      <w:r>
        <w:t xml:space="preserve">Grounding consequence in modern and later medieval logic</w:t>
      </w:r>
      <w:bookmarkEnd w:id="22"/>
    </w:p>
    <w:p>
      <w:pPr>
        <w:pStyle w:val="Heading2"/>
      </w:pPr>
      <w:bookmarkStart w:id="23" w:name="grounding-consequence-today"/>
      <w:r>
        <w:t xml:space="preserve">Grounding consequence today</w:t>
      </w:r>
      <w:bookmarkEnd w:id="23"/>
    </w:p>
    <w:p>
      <w:pPr>
        <w:pStyle w:val="FirstParagraph"/>
      </w:pPr>
      <w:r>
        <w:t xml:space="preserve">Since the early 20th century, research on consequence has centered on formal consequence, commonly identified with logical consequence.</w:t>
      </w:r>
      <w:r>
        <w:rPr>
          <w:rStyle w:val="FootnoteReference"/>
        </w:rPr>
        <w:footnoteReference w:id="24"/>
      </w:r>
      <w:r>
        <w:t xml:space="preserve"> </w:t>
      </w:r>
      <w:r>
        <w:t xml:space="preserve">Such a consequence is usually defined either proof-theoretically, e.g. as one where the consequent follows from the antecedent via the strict application of the rules of a given proof-system,</w:t>
      </w:r>
      <w:r>
        <w:rPr>
          <w:rStyle w:val="FootnoteReference"/>
        </w:rPr>
        <w:footnoteReference w:id="25"/>
      </w:r>
      <w:r>
        <w:t xml:space="preserve"> </w:t>
      </w:r>
      <w:r>
        <w:t xml:space="preserve">or model-theoretically as one where every model of the antecedent is a model of the consequent.</w:t>
      </w:r>
      <w:r>
        <w:rPr>
          <w:rStyle w:val="FootnoteReference"/>
        </w:rPr>
        <w:footnoteReference w:id="26"/>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The most rigorous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 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7"/>
      </w:r>
      <w:r>
        <w:t xml:space="preserve"> </w:t>
      </w:r>
      <w:r>
        <w:t xml:space="preserve">and have added apparatus to handle phenomena including tense and possibility since the 1960’s.</w:t>
      </w:r>
      <w:r>
        <w:rPr>
          <w:rStyle w:val="FootnoteReference"/>
        </w:rPr>
        <w:footnoteReference w:id="28"/>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29"/>
      </w:r>
    </w:p>
    <w:p>
      <w:pPr>
        <w:pStyle w:val="Heading2"/>
      </w:pPr>
      <w:bookmarkStart w:id="30" w:name="Xcd84fc7174ad974cf7934bedd631d961c31912d"/>
      <w:r>
        <w:t xml:space="preserve">Formal consequence in later medieval logic</w:t>
      </w:r>
      <w:bookmarkEnd w:id="30"/>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 X 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1"/>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2"/>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3"/>
      </w:r>
    </w:p>
    <w:p>
      <w:pPr>
        <w:pStyle w:val="Heading2"/>
      </w:pPr>
      <w:bookmarkStart w:id="34" w:name="Xc720b1ffe59aed2bf88b851b4441318dd085609"/>
      <w:r>
        <w:t xml:space="preserve">Comparing Buridan and post-Tarskian groundings of consequence</w:t>
      </w:r>
      <w:bookmarkEnd w:id="34"/>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5"/>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Reference"/>
        </w:rPr>
        <w:footnoteReference w:id="36"/>
      </w:r>
      <w:r>
        <w:t xml:space="preserve"> </w:t>
      </w:r>
      <w:r>
        <w:t xml:space="preserve">- both traditions share a common interest in formal validity grounded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7"/>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38"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38"/>
    </w:p>
    <w:p>
      <w:pPr>
        <w:pStyle w:val="FirstParagraph"/>
      </w:pPr>
      <w:r>
        <w:t xml:space="preserve">Among the earliest work which we might classify under the banner of consequence,</w:t>
      </w:r>
      <w:r>
        <w:rPr>
          <w:rStyle w:val="FootnoteReference"/>
        </w:rPr>
        <w:footnoteReference w:id="39"/>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0" w:name="an-overview-of-boethian-topical-argument"/>
      <w:r>
        <w:t xml:space="preserve">An overview of Boethian topical argument</w:t>
      </w:r>
      <w:bookmarkEnd w:id="40"/>
    </w:p>
    <w:p>
      <w:pPr>
        <w:pStyle w:val="Heading3"/>
      </w:pPr>
      <w:bookmarkStart w:id="41" w:name="the-boethian-concept-of-an-argument"/>
      <w:r>
        <w:t xml:space="preserve">The Boethian concept of an argument</w:t>
      </w:r>
      <w:bookmarkEnd w:id="41"/>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2"/>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3"/>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4"/>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5"/>
      </w:r>
    </w:p>
    <w:p>
      <w:pPr>
        <w:pStyle w:val="Heading3"/>
      </w:pPr>
      <w:bookmarkStart w:id="46" w:name="Xd93e74869a3951425d1fbdbf044448ea193023d"/>
      <w:r>
        <w:t xml:space="preserve">Maximal propositions as grounds of consequence</w:t>
      </w:r>
      <w:bookmarkEnd w:id="46"/>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47"/>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8" w:name="the-different-kinds-of-topical-argument"/>
      <w:r>
        <w:t xml:space="preserve">The different kinds of topical argument</w:t>
      </w:r>
      <w:bookmarkEnd w:id="48"/>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9" w:name="X2b11b65cbf1675cabd0cc034713e38631704cc1"/>
      <w:r>
        <w:t xml:space="preserve">Boethian topical theory as ground of hypothetical syllogistic</w:t>
      </w:r>
      <w:bookmarkEnd w:id="49"/>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0"/>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1"/>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2"/>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3"/>
      </w:r>
      <w:r>
        <w:t xml:space="preserve"> </w:t>
      </w:r>
      <w:r>
        <w:t xml:space="preserve">Since it applies solely to hypothetical propositions whose immediate parts are atomic, the division is incomplete,</w:t>
      </w:r>
      <w:r>
        <w:rPr>
          <w:rStyle w:val="FootnoteReference"/>
        </w:rPr>
        <w:footnoteReference w:id="54"/>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5"/>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6"/>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7"/>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58" w:name="Xb41bdbc71d5e896e3bd3cb8d80fdac9ffd7844a"/>
      <w:r>
        <w:t xml:space="preserve">The limits of Boethius’ grounding of consequence</w:t>
      </w:r>
      <w:bookmarkEnd w:id="58"/>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9"/>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0"/>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1" w:name="X929f9b1c647d2e48e079c53dcb8b6eba2c6cd31"/>
      <w:r>
        <w:t xml:space="preserve">Medieval consequence and the theory of supposition</w:t>
      </w:r>
      <w:bookmarkEnd w:id="61"/>
    </w:p>
    <w:p>
      <w:pPr>
        <w:pStyle w:val="Heading2"/>
      </w:pPr>
      <w:bookmarkStart w:id="62" w:name="X69e353d37757516ca02a25cb370bbde90340933"/>
      <w:r>
        <w:t xml:space="preserve">Canonical supposition theory: Ockham and Buridan</w:t>
      </w:r>
      <w:bookmarkEnd w:id="62"/>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3"/>
      </w:r>
    </w:p>
    <w:p>
      <w:pPr>
        <w:pStyle w:val="BodyText"/>
      </w:pPr>
      <w:r>
        <w:t xml:space="preserve">On one of the best known accounts, that of William of Ockham, supposition divides into three types: simple, material, and personal.</w:t>
      </w:r>
      <w:r>
        <w:rPr>
          <w:rStyle w:val="FootnoteReference"/>
        </w:rPr>
        <w:footnoteReference w:id="64"/>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5"/>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6"/>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7"/>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8"/>
      </w:r>
    </w:p>
    <w:p>
      <w:pPr>
        <w:pStyle w:val="Heading2"/>
      </w:pPr>
      <w:bookmarkStart w:id="69" w:name="Xc34201a822006b0e74427fc7f2ec56646c1c0d4"/>
      <w:r>
        <w:t xml:space="preserve">Supposition theory in two early British</w:t>
      </w:r>
      <w:r>
        <w:t xml:space="preserve"> </w:t>
      </w:r>
      <w:r>
        <w:rPr>
          <w:i/>
        </w:rPr>
        <w:t xml:space="preserve">De consequentiis</w:t>
      </w:r>
      <w:bookmarkEnd w:id="69"/>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0"/>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1"/>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2" w:name="X04eabb53a87c6fa4a2fa72048b81852fbe7f8a2"/>
      <w:r>
        <w:t xml:space="preserve">An alternative reading of personal supposition in the Parisian</w:t>
      </w:r>
      <w:r>
        <w:t xml:space="preserve"> </w:t>
      </w:r>
      <w:r>
        <w:rPr>
          <w:i/>
        </w:rPr>
        <w:t xml:space="preserve">De consequentiis</w:t>
      </w:r>
      <w:bookmarkEnd w:id="72"/>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3"/>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4"/>
      </w:r>
    </w:p>
    <w:p>
      <w:pPr>
        <w:pStyle w:val="FirstParagraph"/>
      </w:pPr>
      <w:r>
        <w:t xml:space="preserve">Here, the supposita themselves are not individuals, but forms or concepts.</w:t>
      </w:r>
    </w:p>
    <w:p>
      <w:pPr>
        <w:pStyle w:val="Heading2"/>
      </w:pPr>
      <w:bookmarkStart w:id="75" w:name="X0ee9b8ea25d3e347848ecf764162de6d31f57e3"/>
      <w:r>
        <w:t xml:space="preserve">Supposition in Burley’s</w:t>
      </w:r>
      <w:r>
        <w:t xml:space="preserve"> </w:t>
      </w:r>
      <w:r>
        <w:rPr>
          <w:i/>
        </w:rPr>
        <w:t xml:space="preserve">On the Core of the Art of Logic</w:t>
      </w:r>
      <w:bookmarkEnd w:id="75"/>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6"/>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8"/>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9"/>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0"/>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1"/>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2"/>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3" w:name="conclusion"/>
      <w:r>
        <w:t xml:space="preserve">Conclusion</w:t>
      </w:r>
      <w:bookmarkEnd w:id="83"/>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4"/>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8" w:name="refs"/>
    <w:bookmarkStart w:id="85"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5"/>
    <w:bookmarkStart w:id="86"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6"/>
    <w:bookmarkStart w:id="87" w:name="ref-Archambault2017d"/>
    <w:p>
      <w:pPr>
        <w:pStyle w:val="Bibliography"/>
      </w:pPr>
      <w:r>
        <w:t xml:space="preserve">———. “The Development of the Medieval Parisian Account of Formal Consequence.” PhD thesis, Fordham University, 2017.</w:t>
      </w:r>
    </w:p>
    <w:bookmarkEnd w:id="87"/>
    <w:bookmarkStart w:id="88" w:name="ref-BarcanMarcus1978"/>
    <w:p>
      <w:pPr>
        <w:pStyle w:val="Bibliography"/>
      </w:pPr>
      <w:r>
        <w:t xml:space="preserve">Barcan Marcus, Ruth. “Nominalism and the Substitutional Quantifier.”</w:t>
      </w:r>
      <w:r>
        <w:t xml:space="preserve"> </w:t>
      </w:r>
      <w:r>
        <w:rPr>
          <w:i/>
        </w:rPr>
        <w:t xml:space="preserve">Monist</w:t>
      </w:r>
      <w:r>
        <w:t xml:space="preserve"> </w:t>
      </w:r>
      <w:r>
        <w:t xml:space="preserve">61, no. 3 (1978): 351–62.</w:t>
      </w:r>
    </w:p>
    <w:bookmarkEnd w:id="88"/>
    <w:bookmarkStart w:id="89"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9"/>
    <w:bookmarkStart w:id="90" w:name="ref-BHS"/>
    <w:p>
      <w:pPr>
        <w:pStyle w:val="Bibliography"/>
      </w:pPr>
      <w:r>
        <w:t xml:space="preserve">———.</w:t>
      </w:r>
      <w:r>
        <w:t xml:space="preserve"> </w:t>
      </w:r>
      <w:r>
        <w:rPr>
          <w:i/>
        </w:rPr>
        <w:t xml:space="preserve">De Hypotheticis Syllogismis</w:t>
      </w:r>
      <w:r>
        <w:t xml:space="preserve">. Edited by L. Obertello. Brescia: Paideia, 1969.</w:t>
      </w:r>
    </w:p>
    <w:bookmarkEnd w:id="90"/>
    <w:bookmarkStart w:id="91"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1"/>
    <w:bookmarkStart w:id="92"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2"/>
    <w:bookmarkStart w:id="93"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3"/>
    <w:bookmarkStart w:id="94"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4"/>
    <w:bookmarkStart w:id="95"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5"/>
    <w:bookmarkStart w:id="96"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6"/>
    <w:bookmarkStart w:id="97"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7"/>
    <w:bookmarkStart w:id="98"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8"/>
    <w:bookmarkStart w:id="99"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99"/>
    <w:bookmarkStart w:id="100"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0"/>
    <w:bookmarkStart w:id="101"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1"/>
    <w:bookmarkStart w:id="102" w:name="ref-Hjortland2009"/>
    <w:p>
      <w:pPr>
        <w:pStyle w:val="Bibliography"/>
      </w:pPr>
      <w:r>
        <w:t xml:space="preserve">Hjortland, Ole T. “The Structure of Logical Consequence: Proof-Theoretic Conceptions.” PhD thesis, University of St. Andrews, 2009.</w:t>
      </w:r>
    </w:p>
    <w:bookmarkEnd w:id="102"/>
    <w:bookmarkStart w:id="103"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3"/>
    <w:bookmarkStart w:id="104"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4"/>
    <w:bookmarkStart w:id="105"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5"/>
    <w:bookmarkStart w:id="106"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6"/>
    <w:bookmarkStart w:id="107"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7"/>
    <w:bookmarkStart w:id="108"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8"/>
    <w:bookmarkStart w:id="109"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9"/>
    <w:bookmarkStart w:id="110" w:name="ref-Kripke1963a"/>
    <w:p>
      <w:pPr>
        <w:pStyle w:val="Bibliography"/>
      </w:pPr>
      <w:r>
        <w:t xml:space="preserve">Kripke, Saul A.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0"/>
    <w:bookmarkStart w:id="111" w:name="ref-MacFarlane2000"/>
    <w:p>
      <w:pPr>
        <w:pStyle w:val="Bibliography"/>
      </w:pPr>
      <w:r>
        <w:t xml:space="preserve">MacFarlane, John. “What Does It Mean to Say That Logic Is Formal?” PhD thesis, University of Pittsburgh, 2000.</w:t>
      </w:r>
    </w:p>
    <w:bookmarkEnd w:id="111"/>
    <w:bookmarkStart w:id="112"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2"/>
    <w:bookmarkStart w:id="113"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3"/>
    <w:bookmarkStart w:id="114"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4"/>
    <w:bookmarkStart w:id="115"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5"/>
    <w:bookmarkStart w:id="116"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6"/>
    <w:bookmarkStart w:id="117"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7"/>
    <w:bookmarkStart w:id="118"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8"/>
    <w:bookmarkStart w:id="119"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9"/>
    <w:bookmarkStart w:id="120"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0"/>
    <w:bookmarkStart w:id="121"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1"/>
    <w:bookmarkStart w:id="122" w:name="ref-StrodeConsequentiis"/>
    <w:p>
      <w:pPr>
        <w:pStyle w:val="Bibliography"/>
      </w:pPr>
      <w:r>
        <w:t xml:space="preserve">Seaton, Wallace Knight. “An Edition and Translation of the Tractatus de Consequentiis of Ralph Strode.” PhD thesis, University of California at Berkeley, 1973.</w:t>
      </w:r>
    </w:p>
    <w:bookmarkEnd w:id="122"/>
    <w:bookmarkStart w:id="123"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7">
        <w:r>
          <w:rPr>
            <w:rStyle w:val="Hyperlink"/>
          </w:rPr>
          <w:t xml:space="preserve">http://pvspade.com/Logic/docs/BurlNote.pdf</w:t>
        </w:r>
      </w:hyperlink>
      <w:r>
        <w:t xml:space="preserve">.</w:t>
      </w:r>
    </w:p>
    <w:bookmarkEnd w:id="123"/>
    <w:bookmarkStart w:id="124"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4"/>
    <w:bookmarkStart w:id="125"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5"/>
    <w:bookmarkStart w:id="126"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6"/>
    <w:bookmarkStart w:id="127"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4">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5">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6">
    <w:p>
      <w:pPr>
        <w:pStyle w:val="FootnoteText"/>
      </w:pPr>
      <w:r>
        <w:rPr>
          <w:rStyle w:val="FootnoteReference"/>
        </w:rPr>
        <w:footnoteRef/>
      </w:r>
      <w:r>
        <w:t xml:space="preserve"> </w:t>
      </w:r>
      <w:r>
        <w:t xml:space="preserve">Tarski, “On the Concept of Following Logically.”</w:t>
      </w:r>
    </w:p>
  </w:footnote>
  <w:footnote w:id="27">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28">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29">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1">
    <w:p>
      <w:pPr>
        <w:pStyle w:val="FootnoteText"/>
      </w:pPr>
      <w:r>
        <w:rPr>
          <w:rStyle w:val="FootnoteReference"/>
        </w:rPr>
        <w:footnoteRef/>
      </w:r>
      <w:r>
        <w:t xml:space="preserve"> </w:t>
      </w:r>
      <w:r>
        <w:t xml:space="preserve">Tarski, “On the Concept of Following Logically,” 183–84.</w:t>
      </w:r>
    </w:p>
  </w:footnote>
  <w:footnote w:id="32">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3">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5">
    <w:p>
      <w:pPr>
        <w:pStyle w:val="FootnoteText"/>
      </w:pPr>
      <w:r>
        <w:rPr>
          <w:rStyle w:val="FootnoteReference"/>
        </w:rPr>
        <w:footnoteRef/>
      </w:r>
      <w:r>
        <w:t xml:space="preserve"> </w:t>
      </w:r>
      <w:r>
        <w:t xml:space="preserve">Dutilh Novaes, “The Different Ways in Which Logic Is (Said to Be) Formal,” 314–21.</w:t>
      </w:r>
    </w:p>
  </w:footnote>
  <w:footnote w:id="36">
    <w:p>
      <w:pPr>
        <w:pStyle w:val="FootnoteText"/>
      </w:pPr>
      <w:r>
        <w:rPr>
          <w:rStyle w:val="FootnoteReference"/>
        </w:rPr>
        <w:footnoteRef/>
      </w:r>
      <w:r>
        <w:t xml:space="preserve"> </w:t>
      </w:r>
      <w:r>
        <w:t xml:space="preserve">Cf.</w:t>
      </w:r>
      <w:r>
        <w:t xml:space="preserve"> </w:t>
      </w:r>
      <w:r>
        <w:t xml:space="preserve">Ruth Barcan Marcus, “Nominalism and the Substitutional Quantifier,”</w:t>
      </w:r>
      <w:r>
        <w:t xml:space="preserve"> </w:t>
      </w:r>
      <w:r>
        <w:rPr>
          <w:i/>
        </w:rPr>
        <w:t xml:space="preserve">Monist</w:t>
      </w:r>
      <w:r>
        <w:t xml:space="preserve"> </w:t>
      </w:r>
      <w:r>
        <w:t xml:space="preserve">61, no. 3 (1978): 351–62</w:t>
      </w:r>
      <w:r>
        <w:t xml:space="preserve">. 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7">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39">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2">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3">
    <w:p>
      <w:pPr>
        <w:pStyle w:val="FootnoteText"/>
      </w:pPr>
      <w:r>
        <w:rPr>
          <w:rStyle w:val="FootnoteReference"/>
        </w:rPr>
        <w:footnoteRef/>
      </w:r>
      <w:r>
        <w:t xml:space="preserve"> </w:t>
      </w:r>
      <w:r>
        <w:t xml:space="preserve">Ibid., 1174C.</w:t>
      </w:r>
    </w:p>
  </w:footnote>
  <w:footnote w:id="44">
    <w:p>
      <w:pPr>
        <w:pStyle w:val="FootnoteText"/>
      </w:pPr>
      <w:r>
        <w:rPr>
          <w:rStyle w:val="FootnoteReference"/>
        </w:rPr>
        <w:footnoteRef/>
      </w:r>
      <w:r>
        <w:t xml:space="preserve"> </w:t>
      </w:r>
      <w:r>
        <w:t xml:space="preserve">Ibid., 1180C.</w:t>
      </w:r>
    </w:p>
  </w:footnote>
  <w:footnote w:id="45">
    <w:p>
      <w:pPr>
        <w:pStyle w:val="FootnoteText"/>
      </w:pPr>
      <w:r>
        <w:rPr>
          <w:rStyle w:val="FootnoteReference"/>
        </w:rPr>
        <w:footnoteRef/>
      </w:r>
      <w:r>
        <w:t xml:space="preserve"> </w:t>
      </w:r>
      <w:r>
        <w:t xml:space="preserve">Ibid., 1181A–C.</w:t>
      </w:r>
    </w:p>
  </w:footnote>
  <w:footnote w:id="47">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0">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1">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2">
    <w:p>
      <w:pPr>
        <w:pStyle w:val="FootnoteText"/>
      </w:pPr>
      <w:r>
        <w:rPr>
          <w:rStyle w:val="FootnoteReference"/>
        </w:rPr>
        <w:footnoteRef/>
      </w:r>
      <w:r>
        <w:t xml:space="preserve"> </w:t>
      </w:r>
      <w:r>
        <w:t xml:space="preserve">Ibid., 1.3.6–1.3.7.</w:t>
      </w:r>
    </w:p>
  </w:footnote>
  <w:footnote w:id="53">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4">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5">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6">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7">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9">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0">
    <w:p>
      <w:pPr>
        <w:pStyle w:val="FootnoteText"/>
      </w:pPr>
      <w:r>
        <w:rPr>
          <w:rStyle w:val="FootnoteReference"/>
        </w:rPr>
        <w:footnoteRef/>
      </w:r>
      <w:r>
        <w:t xml:space="preserve"> </w:t>
      </w:r>
      <w:r>
        <w:t xml:space="preserve">Boethius, “De Differentiis Topicis,” 1191A–B.</w:t>
      </w:r>
    </w:p>
  </w:footnote>
  <w:footnote w:id="63">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4">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5">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6">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7">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8">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0">
    <w:p>
      <w:pPr>
        <w:pStyle w:val="FootnoteText"/>
      </w:pPr>
      <w:r>
        <w:rPr>
          <w:rStyle w:val="FootnoteReference"/>
        </w:rPr>
        <w:footnoteRef/>
      </w:r>
      <w:r>
        <w:t xml:space="preserve"> </w:t>
      </w:r>
      <w:r>
        <w:t xml:space="preserve">Ibid., 9, par. 27.</w:t>
      </w:r>
    </w:p>
  </w:footnote>
  <w:footnote w:id="71">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3">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4">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6">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7">
        <w:r>
          <w:rPr>
            <w:rStyle w:val="Hyperlink"/>
          </w:rPr>
          <w:t xml:space="preserve">http://pvspade.com/Logic/docs/BurlNote.pdf</w:t>
        </w:r>
      </w:hyperlink>
      <w:r>
        <w:t xml:space="preserve">.</w:t>
      </w:r>
    </w:p>
  </w:footnote>
  <w:footnote w:id="78">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9">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1">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2">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4">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7"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2020-08-13T01:44:32Z</dcterms:created>
  <dcterms:modified xsi:type="dcterms:W3CDTF">2020-08-13T01:44:32Z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 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 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