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Grounding</w:t>
      </w:r>
      <w:r>
        <w:t xml:space="preserve"> </w:t>
      </w:r>
      <w:r>
        <w:t xml:space="preserve">medieval</w:t>
      </w:r>
      <w:r>
        <w:t xml:space="preserve"> </w:t>
      </w:r>
      <w:r>
        <w:t xml:space="preserve">consequence</w:t>
      </w:r>
    </w:p>
    <w:p>
      <w:pPr>
        <w:pStyle w:val="Author"/>
      </w:pPr>
      <w:r>
        <w:t xml:space="preserve">Jacob</w:t>
      </w:r>
      <w:r>
        <w:t xml:space="preserve"> </w:t>
      </w:r>
      <w:r>
        <w:t xml:space="preserve">Archambault</w:t>
      </w:r>
    </w:p>
    <w:p>
      <w:pPr>
        <w:pStyle w:val="Abstract"/>
      </w:pPr>
      <w:r>
        <w:t xml:space="preserve">Developed</w:t>
      </w:r>
      <w:r>
        <w:t xml:space="preserve"> </w:t>
      </w:r>
      <w:r>
        <w:t xml:space="preserve">out</w:t>
      </w:r>
      <w:r>
        <w:t xml:space="preserve"> </w:t>
      </w:r>
      <w:r>
        <w:t xml:space="preserve">of</w:t>
      </w:r>
      <w:r>
        <w:t xml:space="preserve"> </w:t>
      </w:r>
      <w:r>
        <w:t xml:space="preserve">earlier</w:t>
      </w:r>
      <w:r>
        <w:t xml:space="preserve"> </w:t>
      </w:r>
      <w:r>
        <w:t xml:space="preserve">work</w:t>
      </w:r>
      <w:r>
        <w:t xml:space="preserve"> </w:t>
      </w:r>
      <w:r>
        <w:t xml:space="preserve">on</w:t>
      </w:r>
      <w:r>
        <w:t xml:space="preserve"> </w:t>
      </w:r>
      <w:r>
        <w:t xml:space="preserve">Aristotelian</w:t>
      </w:r>
      <w:r>
        <w:t xml:space="preserve"> </w:t>
      </w:r>
      <w:r>
        <w:t xml:space="preserve">topics,</w:t>
      </w:r>
      <w:r>
        <w:t xml:space="preserve"> </w:t>
      </w:r>
      <w:r>
        <w:t xml:space="preserve">syllogistic,</w:t>
      </w:r>
      <w:r>
        <w:t xml:space="preserve"> </w:t>
      </w:r>
      <w:r>
        <w:t xml:space="preserve">and</w:t>
      </w:r>
      <w:r>
        <w:t xml:space="preserve"> </w:t>
      </w:r>
      <w:r>
        <w:t xml:space="preserve">fallacies,</w:t>
      </w:r>
      <w:r>
        <w:t xml:space="preserve"> </w:t>
      </w:r>
      <w:r>
        <w:t xml:space="preserve">by</w:t>
      </w:r>
      <w:r>
        <w:t xml:space="preserve"> </w:t>
      </w:r>
      <w:r>
        <w:t xml:space="preserve">the</w:t>
      </w:r>
      <w:r>
        <w:t xml:space="preserve"> </w:t>
      </w:r>
      <w:r>
        <w:t xml:space="preserve">early</w:t>
      </w:r>
      <w:r>
        <w:t xml:space="preserve"> </w:t>
      </w:r>
      <w:r>
        <w:t xml:space="preserve">fourteenth</w:t>
      </w:r>
      <w:r>
        <w:t xml:space="preserve"> </w:t>
      </w:r>
      <w:r>
        <w:t xml:space="preserve">century</w:t>
      </w:r>
      <w:r>
        <w:t xml:space="preserve"> </w:t>
      </w:r>
      <w:r>
        <w:t xml:space="preserve">the</w:t>
      </w:r>
      <w:r>
        <w:t xml:space="preserve"> </w:t>
      </w:r>
      <w:r>
        <w:t xml:space="preserve">medieval</w:t>
      </w:r>
      <w:r>
        <w:t xml:space="preserve"> </w:t>
      </w:r>
      <w:r>
        <w:t xml:space="preserve">theory</w:t>
      </w:r>
      <w:r>
        <w:t xml:space="preserve"> </w:t>
      </w:r>
      <w:r>
        <w:t xml:space="preserve">of</w:t>
      </w:r>
      <w:r>
        <w:t xml:space="preserve"> </w:t>
      </w:r>
      <w:r>
        <w:t xml:space="preserve">consequence</w:t>
      </w:r>
      <w:r>
        <w:t xml:space="preserve"> </w:t>
      </w:r>
      <w:r>
        <w:t xml:space="preserve">came</w:t>
      </w:r>
      <w:r>
        <w:t xml:space="preserve"> </w:t>
      </w:r>
      <w:r>
        <w:t xml:space="preserve">to</w:t>
      </w:r>
      <w:r>
        <w:t xml:space="preserve"> </w:t>
      </w:r>
      <w:r>
        <w:t xml:space="preserve">provide</w:t>
      </w:r>
      <w:r>
        <w:t xml:space="preserve"> </w:t>
      </w:r>
      <w:r>
        <w:t xml:space="preserve">the</w:t>
      </w:r>
      <w:r>
        <w:t xml:space="preserve"> </w:t>
      </w:r>
      <w:r>
        <w:t xml:space="preserve">first</w:t>
      </w:r>
      <w:r>
        <w:t xml:space="preserve"> </w:t>
      </w:r>
      <w:r>
        <w:t xml:space="preserve">unified</w:t>
      </w:r>
      <w:r>
        <w:t xml:space="preserve"> </w:t>
      </w:r>
      <w:r>
        <w:t xml:space="preserve">framework</w:t>
      </w:r>
      <w:r>
        <w:t xml:space="preserve"> </w:t>
      </w:r>
      <w:r>
        <w:t xml:space="preserve">for</w:t>
      </w:r>
      <w:r>
        <w:t xml:space="preserve"> </w:t>
      </w:r>
      <w:r>
        <w:t xml:space="preserve">the</w:t>
      </w:r>
      <w:r>
        <w:t xml:space="preserve"> </w:t>
      </w:r>
      <w:r>
        <w:t xml:space="preserve">treatment</w:t>
      </w:r>
      <w:r>
        <w:t xml:space="preserve"> </w:t>
      </w:r>
      <w:r>
        <w:t xml:space="preserve">of</w:t>
      </w:r>
      <w:r>
        <w:t xml:space="preserve"> </w:t>
      </w:r>
      <w:r>
        <w:t xml:space="preserve">inference</w:t>
      </w:r>
      <w:r>
        <w:t xml:space="preserve"> </w:t>
      </w:r>
      <w:r>
        <w:t xml:space="preserve">as</w:t>
      </w:r>
      <w:r>
        <w:t xml:space="preserve"> </w:t>
      </w:r>
      <w:r>
        <w:t xml:space="preserve">such.</w:t>
      </w:r>
      <w:r>
        <w:t xml:space="preserve"> </w:t>
      </w:r>
      <w:r>
        <w:t xml:space="preserve">With</w:t>
      </w:r>
      <w:r>
        <w:t xml:space="preserve"> </w:t>
      </w:r>
      <w:r>
        <w:t xml:space="preserve">this</w:t>
      </w:r>
      <w:r>
        <w:t xml:space="preserve"> </w:t>
      </w:r>
      <w:r>
        <w:t xml:space="preserve">development</w:t>
      </w:r>
      <w:r>
        <w:t xml:space="preserve"> </w:t>
      </w:r>
      <w:r>
        <w:t xml:space="preserve">came</w:t>
      </w:r>
      <w:r>
        <w:t xml:space="preserve"> </w:t>
      </w:r>
      <w:r>
        <w:t xml:space="preserve">the</w:t>
      </w:r>
      <w:r>
        <w:t xml:space="preserve"> </w:t>
      </w:r>
      <w:r>
        <w:t xml:space="preserve">task</w:t>
      </w:r>
      <w:r>
        <w:t xml:space="preserve"> </w:t>
      </w:r>
      <w:r>
        <w:t xml:space="preserve">of</w:t>
      </w:r>
      <w:r>
        <w:t xml:space="preserve"> </w:t>
      </w:r>
      <w:r>
        <w:t xml:space="preserve">unifying</w:t>
      </w:r>
      <w:r>
        <w:t xml:space="preserve"> </w:t>
      </w:r>
      <w:r>
        <w:t xml:space="preserve">the</w:t>
      </w:r>
      <w:r>
        <w:t xml:space="preserve"> </w:t>
      </w:r>
      <w:r>
        <w:t xml:space="preserve">various</w:t>
      </w:r>
      <w:r>
        <w:t xml:space="preserve"> </w:t>
      </w:r>
      <w:r>
        <w:t xml:space="preserve">justifications</w:t>
      </w:r>
      <w:r>
        <w:t xml:space="preserve"> </w:t>
      </w:r>
      <w:r>
        <w:t xml:space="preserve">for</w:t>
      </w:r>
      <w:r>
        <w:t xml:space="preserve"> </w:t>
      </w:r>
      <w:r>
        <w:t xml:space="preserve">inferences</w:t>
      </w:r>
      <w:r>
        <w:t xml:space="preserve"> </w:t>
      </w:r>
      <w:r>
        <w:t xml:space="preserve">treated</w:t>
      </w:r>
      <w:r>
        <w:t xml:space="preserve"> </w:t>
      </w:r>
      <w:r>
        <w:t xml:space="preserve">in</w:t>
      </w:r>
      <w:r>
        <w:t xml:space="preserve"> </w:t>
      </w:r>
      <w:r>
        <w:t xml:space="preserve">earlier</w:t>
      </w:r>
      <w:r>
        <w:t xml:space="preserve"> </w:t>
      </w:r>
      <w:r>
        <w:t xml:space="preserve">frameworks.</w:t>
      </w:r>
    </w:p>
    <w:p>
      <w:pPr>
        <w:pStyle w:val="Abstract"/>
      </w:pPr>
      <w:r>
        <w:t xml:space="preserve">Prior</w:t>
      </w:r>
      <w:r>
        <w:t xml:space="preserve"> </w:t>
      </w:r>
      <w:r>
        <w:t xml:space="preserve">to</w:t>
      </w:r>
      <w:r>
        <w:t xml:space="preserve"> </w:t>
      </w:r>
      <w:r>
        <w:t xml:space="preserve">the</w:t>
      </w:r>
      <w:r>
        <w:t xml:space="preserve"> </w:t>
      </w:r>
      <w:r>
        <w:t xml:space="preserve">appearance</w:t>
      </w:r>
      <w:r>
        <w:t xml:space="preserve"> </w:t>
      </w:r>
      <w:r>
        <w:t xml:space="preserve">of</w:t>
      </w:r>
      <w:r>
        <w:t xml:space="preserve"> </w:t>
      </w:r>
      <w:r>
        <w:t xml:space="preserve">theories</w:t>
      </w:r>
      <w:r>
        <w:t xml:space="preserve"> </w:t>
      </w:r>
      <w:r>
        <w:t xml:space="preserve">of</w:t>
      </w:r>
      <w:r>
        <w:t xml:space="preserve"> </w:t>
      </w:r>
      <w:r>
        <w:t xml:space="preserve">consequences,</w:t>
      </w:r>
      <w:r>
        <w:t xml:space="preserve"> </w:t>
      </w:r>
      <w:r>
        <w:t xml:space="preserve">the</w:t>
      </w:r>
      <w:r>
        <w:t xml:space="preserve"> </w:t>
      </w:r>
      <w:r>
        <w:t xml:space="preserve">task</w:t>
      </w:r>
      <w:r>
        <w:t xml:space="preserve"> </w:t>
      </w:r>
      <w:r>
        <w:t xml:space="preserve">of</w:t>
      </w:r>
      <w:r>
        <w:t xml:space="preserve"> </w:t>
      </w:r>
      <w:r>
        <w:t xml:space="preserve">providing</w:t>
      </w:r>
      <w:r>
        <w:t xml:space="preserve"> </w:t>
      </w:r>
      <w:r>
        <w:t xml:space="preserve">a</w:t>
      </w:r>
      <w:r>
        <w:t xml:space="preserve"> </w:t>
      </w:r>
      <w:r>
        <w:t xml:space="preserve">real</w:t>
      </w:r>
      <w:r>
        <w:t xml:space="preserve"> </w:t>
      </w:r>
      <w:r>
        <w:t xml:space="preserve">foundation,</w:t>
      </w:r>
      <w:r>
        <w:t xml:space="preserve"> </w:t>
      </w:r>
      <w:r>
        <w:t xml:space="preserve">or</w:t>
      </w:r>
      <w:r>
        <w:t xml:space="preserve"> </w:t>
      </w:r>
      <w:r>
        <w:t xml:space="preserve">grounding,</w:t>
      </w:r>
      <w:r>
        <w:t xml:space="preserve"> </w:t>
      </w:r>
      <w:r>
        <w:t xml:space="preserve">for</w:t>
      </w:r>
      <w:r>
        <w:t xml:space="preserve"> </w:t>
      </w:r>
      <w:r>
        <w:t xml:space="preserve">good</w:t>
      </w:r>
      <w:r>
        <w:t xml:space="preserve"> </w:t>
      </w:r>
      <w:r>
        <w:t xml:space="preserve">inferences</w:t>
      </w:r>
      <w:r>
        <w:t xml:space="preserve"> </w:t>
      </w:r>
      <w:r>
        <w:t xml:space="preserve">is</w:t>
      </w:r>
      <w:r>
        <w:t xml:space="preserve"> </w:t>
      </w:r>
      <w:r>
        <w:t xml:space="preserve">shared</w:t>
      </w:r>
      <w:r>
        <w:t xml:space="preserve"> </w:t>
      </w:r>
      <w:r>
        <w:t xml:space="preserve">between</w:t>
      </w:r>
      <w:r>
        <w:t xml:space="preserve"> </w:t>
      </w:r>
      <w:r>
        <w:t xml:space="preserve">theories</w:t>
      </w:r>
      <w:r>
        <w:t xml:space="preserve"> </w:t>
      </w:r>
      <w:r>
        <w:t xml:space="preserve">of</w:t>
      </w:r>
      <w:r>
        <w:t xml:space="preserve"> </w:t>
      </w:r>
      <w:r>
        <w:t xml:space="preserve">demonstration,</w:t>
      </w:r>
      <w:r>
        <w:t xml:space="preserve"> </w:t>
      </w:r>
      <w:r>
        <w:t xml:space="preserve">such</w:t>
      </w:r>
      <w:r>
        <w:t xml:space="preserve"> </w:t>
      </w:r>
      <w:r>
        <w:t xml:space="preserve">as</w:t>
      </w:r>
      <w:r>
        <w:t xml:space="preserve"> </w:t>
      </w:r>
      <w:r>
        <w:t xml:space="preserve">those</w:t>
      </w:r>
      <w:r>
        <w:t xml:space="preserve"> </w:t>
      </w:r>
      <w:r>
        <w:t xml:space="preserve">provided</w:t>
      </w:r>
      <w:r>
        <w:t xml:space="preserve"> </w:t>
      </w:r>
      <w:r>
        <w:t xml:space="preserve">in</w:t>
      </w:r>
      <w:r>
        <w:t xml:space="preserve"> </w:t>
      </w:r>
      <w:r>
        <w:t xml:space="preserve">commentaries</w:t>
      </w:r>
      <w:r>
        <w:t xml:space="preserve"> </w:t>
      </w:r>
      <w:r>
        <w:t xml:space="preserve">on</w:t>
      </w:r>
      <w:r>
        <w:t xml:space="preserve"> </w:t>
      </w:r>
      <w:r>
        <w:t xml:space="preserve">Aristotle’s</w:t>
      </w:r>
      <w:r>
        <w:t xml:space="preserve"> </w:t>
      </w:r>
      <w:r>
        <w:t xml:space="preserve">Posterior</w:t>
      </w:r>
      <w:r>
        <w:t xml:space="preserve"> </w:t>
      </w:r>
      <w:r>
        <w:t xml:space="preserve">Analytics,</w:t>
      </w:r>
      <w:r>
        <w:t xml:space="preserve"> </w:t>
      </w:r>
      <w:r>
        <w:t xml:space="preserve">and</w:t>
      </w:r>
      <w:r>
        <w:t xml:space="preserve"> </w:t>
      </w:r>
      <w:r>
        <w:t xml:space="preserve">theories</w:t>
      </w:r>
      <w:r>
        <w:t xml:space="preserve"> </w:t>
      </w:r>
      <w:r>
        <w:t xml:space="preserve">of</w:t>
      </w:r>
      <w:r>
        <w:t xml:space="preserve"> </w:t>
      </w:r>
      <w:r>
        <w:t xml:space="preserve">topical</w:t>
      </w:r>
      <w:r>
        <w:t xml:space="preserve"> </w:t>
      </w:r>
      <w:r>
        <w:t xml:space="preserve">inference,</w:t>
      </w:r>
      <w:r>
        <w:t xml:space="preserve"> </w:t>
      </w:r>
      <w:r>
        <w:t xml:space="preserve">passed</w:t>
      </w:r>
      <w:r>
        <w:t xml:space="preserve"> </w:t>
      </w:r>
      <w:r>
        <w:t xml:space="preserve">on</w:t>
      </w:r>
      <w:r>
        <w:t xml:space="preserve"> </w:t>
      </w:r>
      <w:r>
        <w:t xml:space="preserve">to</w:t>
      </w:r>
      <w:r>
        <w:t xml:space="preserve"> </w:t>
      </w:r>
      <w:r>
        <w:t xml:space="preserve">the</w:t>
      </w:r>
      <w:r>
        <w:t xml:space="preserve"> </w:t>
      </w:r>
      <w:r>
        <w:t xml:space="preserve">medievals</w:t>
      </w:r>
      <w:r>
        <w:t xml:space="preserve"> </w:t>
      </w:r>
      <w:r>
        <w:t xml:space="preserve">via</w:t>
      </w:r>
      <w:r>
        <w:t xml:space="preserve"> </w:t>
      </w:r>
      <w:r>
        <w:t xml:space="preserve">Boethius.</w:t>
      </w:r>
      <w:r>
        <w:t xml:space="preserve"> </w:t>
      </w:r>
      <w:r>
        <w:t xml:space="preserve">But</w:t>
      </w:r>
      <w:r>
        <w:t xml:space="preserve"> </w:t>
      </w:r>
      <w:r>
        <w:t xml:space="preserve">by</w:t>
      </w:r>
      <w:r>
        <w:t xml:space="preserve"> </w:t>
      </w:r>
      <w:r>
        <w:t xml:space="preserve">the</w:t>
      </w:r>
      <w:r>
        <w:t xml:space="preserve"> </w:t>
      </w:r>
      <w:r>
        <w:t xml:space="preserve">time</w:t>
      </w:r>
      <w:r>
        <w:t xml:space="preserve"> </w:t>
      </w:r>
      <w:r>
        <w:t xml:space="preserve">of</w:t>
      </w:r>
      <w:r>
        <w:t xml:space="preserve"> </w:t>
      </w:r>
      <w:r>
        <w:t xml:space="preserve">the</w:t>
      </w:r>
      <w:r>
        <w:t xml:space="preserve"> </w:t>
      </w:r>
      <w:r>
        <w:t xml:space="preserve">earliest</w:t>
      </w:r>
      <w:r>
        <w:t xml:space="preserve"> </w:t>
      </w:r>
      <w:r>
        <w:rPr>
          <w:i/>
        </w:rPr>
        <w:t xml:space="preserve">consequentiae</w:t>
      </w:r>
      <w:r>
        <w:t xml:space="preserve">,</w:t>
      </w:r>
      <w:r>
        <w:t xml:space="preserve"> </w:t>
      </w:r>
      <w:r>
        <w:t xml:space="preserve">most</w:t>
      </w:r>
      <w:r>
        <w:t xml:space="preserve"> </w:t>
      </w:r>
      <w:r>
        <w:t xml:space="preserve">consequences</w:t>
      </w:r>
      <w:r>
        <w:t xml:space="preserve"> </w:t>
      </w:r>
      <w:r>
        <w:t xml:space="preserve">were</w:t>
      </w:r>
      <w:r>
        <w:t xml:space="preserve"> </w:t>
      </w:r>
      <w:r>
        <w:t xml:space="preserve">grounded</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supposition,</w:t>
      </w:r>
      <w:r>
        <w:t xml:space="preserve"> </w:t>
      </w:r>
      <w:r>
        <w:t xml:space="preserve">which</w:t>
      </w:r>
      <w:r>
        <w:t xml:space="preserve"> </w:t>
      </w:r>
      <w:r>
        <w:t xml:space="preserve">began</w:t>
      </w:r>
      <w:r>
        <w:t xml:space="preserve"> </w:t>
      </w:r>
      <w:r>
        <w:t xml:space="preserve">its</w:t>
      </w:r>
      <w:r>
        <w:t xml:space="preserve"> </w:t>
      </w:r>
      <w:r>
        <w:t xml:space="preserve">own</w:t>
      </w:r>
      <w:r>
        <w:t xml:space="preserve"> </w:t>
      </w:r>
      <w:r>
        <w:t xml:space="preserve">development</w:t>
      </w:r>
      <w:r>
        <w:t xml:space="preserve"> </w:t>
      </w:r>
      <w:r>
        <w:t xml:space="preserve">in</w:t>
      </w:r>
      <w:r>
        <w:t xml:space="preserve"> </w:t>
      </w:r>
      <w:r>
        <w:t xml:space="preserve">the</w:t>
      </w:r>
      <w:r>
        <w:t xml:space="preserve"> </w:t>
      </w:r>
      <w:r>
        <w:t xml:space="preserve">twelfth</w:t>
      </w:r>
      <w:r>
        <w:t xml:space="preserve"> </w:t>
      </w:r>
      <w:r>
        <w:t xml:space="preserve">century.</w:t>
      </w:r>
    </w:p>
    <w:p>
      <w:pPr>
        <w:pStyle w:val="Abstract"/>
      </w:pPr>
      <w:r>
        <w:t xml:space="preserve">Secondary</w:t>
      </w:r>
      <w:r>
        <w:t xml:space="preserve"> </w:t>
      </w:r>
      <w:r>
        <w:t xml:space="preserve">literature</w:t>
      </w:r>
      <w:r>
        <w:t xml:space="preserve"> </w:t>
      </w:r>
      <w:r>
        <w:t xml:space="preserve">on</w:t>
      </w:r>
      <w:r>
        <w:t xml:space="preserve"> </w:t>
      </w:r>
      <w:r>
        <w:t xml:space="preserve">supposition</w:t>
      </w:r>
      <w:r>
        <w:t xml:space="preserve"> </w:t>
      </w:r>
      <w:r>
        <w:t xml:space="preserve">has</w:t>
      </w:r>
      <w:r>
        <w:t xml:space="preserve"> </w:t>
      </w:r>
      <w:r>
        <w:t xml:space="preserve">generally</w:t>
      </w:r>
      <w:r>
        <w:t xml:space="preserve"> </w:t>
      </w:r>
      <w:r>
        <w:t xml:space="preserve">held</w:t>
      </w:r>
      <w:r>
        <w:t xml:space="preserve"> </w:t>
      </w:r>
      <w:r>
        <w:t xml:space="preserve">that</w:t>
      </w:r>
      <w:r>
        <w:t xml:space="preserve"> </w:t>
      </w:r>
      <w:r>
        <w:t xml:space="preserve">in</w:t>
      </w:r>
      <w:r>
        <w:t xml:space="preserve"> </w:t>
      </w:r>
      <w:r>
        <w:t xml:space="preserve">the</w:t>
      </w:r>
      <w:r>
        <w:t xml:space="preserve"> </w:t>
      </w:r>
      <w:r>
        <w:t xml:space="preserve">most</w:t>
      </w:r>
      <w:r>
        <w:t xml:space="preserve"> </w:t>
      </w:r>
      <w:r>
        <w:t xml:space="preserve">common</w:t>
      </w:r>
      <w:r>
        <w:t xml:space="preserve"> </w:t>
      </w:r>
      <w:r>
        <w:t xml:space="preserve">form</w:t>
      </w:r>
      <w:r>
        <w:t xml:space="preserve"> </w:t>
      </w:r>
      <w:r>
        <w:t xml:space="preserve">of</w:t>
      </w:r>
      <w:r>
        <w:t xml:space="preserve"> </w:t>
      </w:r>
      <w:r>
        <w:t xml:space="preserve">supposition,</w:t>
      </w:r>
      <w:r>
        <w:t xml:space="preserve"> </w:t>
      </w:r>
      <w:r>
        <w:t xml:space="preserve">personal</w:t>
      </w:r>
      <w:r>
        <w:t xml:space="preserve"> </w:t>
      </w:r>
      <w:r>
        <w:t xml:space="preserve">supposition,</w:t>
      </w:r>
      <w:r>
        <w:t xml:space="preserve"> </w:t>
      </w:r>
      <w:r>
        <w:t xml:space="preserve">a</w:t>
      </w:r>
      <w:r>
        <w:t xml:space="preserve"> </w:t>
      </w:r>
      <w:r>
        <w:t xml:space="preserve">term</w:t>
      </w:r>
      <w:r>
        <w:t xml:space="preserve"> </w:t>
      </w:r>
      <w:r>
        <w:t xml:space="preserve">is</w:t>
      </w:r>
      <w:r>
        <w:t xml:space="preserve"> </w:t>
      </w:r>
      <w:r>
        <w:t xml:space="preserve">taken</w:t>
      </w:r>
      <w:r>
        <w:t xml:space="preserve"> </w:t>
      </w:r>
      <w:r>
        <w:t xml:space="preserve">to</w:t>
      </w:r>
      <w:r>
        <w:t xml:space="preserve"> </w:t>
      </w:r>
      <w:r>
        <w:t xml:space="preserve">stand</w:t>
      </w:r>
      <w:r>
        <w:t xml:space="preserve"> </w:t>
      </w:r>
      <w:r>
        <w:t xml:space="preserve">for</w:t>
      </w:r>
      <w:r>
        <w:t xml:space="preserve"> </w:t>
      </w:r>
      <w:r>
        <w:t xml:space="preserve">individuals</w:t>
      </w:r>
      <w:r>
        <w:t xml:space="preserve"> </w:t>
      </w:r>
      <w:r>
        <w:t xml:space="preserve">falling</w:t>
      </w:r>
      <w:r>
        <w:t xml:space="preserve"> </w:t>
      </w:r>
      <w:r>
        <w:t xml:space="preserve">under</w:t>
      </w:r>
      <w:r>
        <w:t xml:space="preserve"> </w:t>
      </w:r>
      <w:r>
        <w:t xml:space="preserve">it.</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show</w:t>
      </w:r>
      <w:r>
        <w:t xml:space="preserve"> </w:t>
      </w:r>
      <w:r>
        <w:t xml:space="preserve">that</w:t>
      </w:r>
      <w:r>
        <w:t xml:space="preserve"> </w:t>
      </w:r>
      <w:r>
        <w:t xml:space="preserve">for</w:t>
      </w:r>
      <w:r>
        <w:t xml:space="preserve"> </w:t>
      </w:r>
      <w:r>
        <w:t xml:space="preserve">the</w:t>
      </w:r>
      <w:r>
        <w:t xml:space="preserve"> </w:t>
      </w:r>
      <w:r>
        <w:t xml:space="preserve">earliest</w:t>
      </w:r>
      <w:r>
        <w:t xml:space="preserve"> </w:t>
      </w:r>
      <w:r>
        <w:rPr>
          <w:i/>
        </w:rPr>
        <w:t xml:space="preserve">consequentiae</w:t>
      </w:r>
      <w:r>
        <w:t xml:space="preserve"> </w:t>
      </w:r>
      <w:r>
        <w:t xml:space="preserve">this</w:t>
      </w:r>
      <w:r>
        <w:t xml:space="preserve"> </w:t>
      </w:r>
      <w:r>
        <w:t xml:space="preserve">is</w:t>
      </w:r>
      <w:r>
        <w:t xml:space="preserve"> </w:t>
      </w:r>
      <w:r>
        <w:t xml:space="preserve">false:</w:t>
      </w:r>
      <w:r>
        <w:t xml:space="preserve"> </w:t>
      </w:r>
      <w:r>
        <w:t xml:space="preserve">prior</w:t>
      </w:r>
      <w:r>
        <w:t xml:space="preserve"> </w:t>
      </w:r>
      <w:r>
        <w:t xml:space="preserve">to</w:t>
      </w:r>
      <w:r>
        <w:t xml:space="preserve"> </w:t>
      </w:r>
      <w:r>
        <w:t xml:space="preserve">William</w:t>
      </w:r>
      <w:r>
        <w:t xml:space="preserve"> </w:t>
      </w:r>
      <w:r>
        <w:t xml:space="preserve">of</w:t>
      </w:r>
      <w:r>
        <w:t xml:space="preserve"> </w:t>
      </w:r>
      <w:r>
        <w:t xml:space="preserve">Ockham’s</w:t>
      </w:r>
      <w:r>
        <w:t xml:space="preserve"> </w:t>
      </w:r>
      <w:r>
        <w:t xml:space="preserve">work,</w:t>
      </w:r>
      <w:r>
        <w:t xml:space="preserve"> </w:t>
      </w:r>
      <w:r>
        <w:t xml:space="preserve">personal</w:t>
      </w:r>
      <w:r>
        <w:t xml:space="preserve"> </w:t>
      </w:r>
      <w:r>
        <w:t xml:space="preserve">supposition</w:t>
      </w:r>
      <w:r>
        <w:t xml:space="preserve"> </w:t>
      </w:r>
      <w:r>
        <w:t xml:space="preserve">could</w:t>
      </w:r>
      <w:r>
        <w:t xml:space="preserve"> </w:t>
      </w:r>
      <w:r>
        <w:t xml:space="preserve">also</w:t>
      </w:r>
      <w:r>
        <w:t xml:space="preserve"> </w:t>
      </w:r>
      <w:r>
        <w:t xml:space="preserve">involve</w:t>
      </w:r>
      <w:r>
        <w:t xml:space="preserve"> </w:t>
      </w:r>
      <w:r>
        <w:t xml:space="preserve">descent</w:t>
      </w:r>
      <w:r>
        <w:t xml:space="preserve"> </w:t>
      </w:r>
      <w:r>
        <w:t xml:space="preserve">to</w:t>
      </w:r>
      <w:r>
        <w:t xml:space="preserve"> </w:t>
      </w:r>
      <w:r>
        <w:t xml:space="preserve">concepts</w:t>
      </w:r>
      <w:r>
        <w:t xml:space="preserve"> </w:t>
      </w:r>
      <w:r>
        <w:t xml:space="preserve">or</w:t>
      </w:r>
      <w:r>
        <w:t xml:space="preserve"> </w:t>
      </w:r>
      <w:r>
        <w:t xml:space="preserve">types</w:t>
      </w:r>
      <w:r>
        <w:t xml:space="preserve"> </w:t>
      </w:r>
      <w:r>
        <w:t xml:space="preserve">falling</w:t>
      </w:r>
      <w:r>
        <w:t xml:space="preserve"> </w:t>
      </w:r>
      <w:r>
        <w:t xml:space="preserve">under</w:t>
      </w:r>
      <w:r>
        <w:t xml:space="preserve"> </w:t>
      </w:r>
      <w:r>
        <w:t xml:space="preserve">a</w:t>
      </w:r>
      <w:r>
        <w:t xml:space="preserve"> </w:t>
      </w:r>
      <w:r>
        <w:t xml:space="preserve">term,</w:t>
      </w:r>
      <w:r>
        <w:t xml:space="preserve"> </w:t>
      </w:r>
      <w:r>
        <w:t xml:space="preserve">previously</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exclusive</w:t>
      </w:r>
      <w:r>
        <w:t xml:space="preserve"> </w:t>
      </w:r>
      <w:r>
        <w:t xml:space="preserve">provision</w:t>
      </w:r>
      <w:r>
        <w:t xml:space="preserve"> </w:t>
      </w:r>
      <w:r>
        <w:t xml:space="preserve">of</w:t>
      </w:r>
      <w:r>
        <w:t xml:space="preserve"> </w:t>
      </w:r>
      <w:r>
        <w:t xml:space="preserve">simple</w:t>
      </w:r>
      <w:r>
        <w:t xml:space="preserve"> </w:t>
      </w:r>
      <w:r>
        <w:t xml:space="preserve">supposition.</w:t>
      </w:r>
      <w:r>
        <w:t xml:space="preserve"> </w:t>
      </w:r>
      <w:r>
        <w:t xml:space="preserve">As</w:t>
      </w:r>
      <w:r>
        <w:t xml:space="preserve"> </w:t>
      </w:r>
      <w:r>
        <w:t xml:space="preserve">such,</w:t>
      </w:r>
      <w:r>
        <w:t xml:space="preserve"> </w:t>
      </w:r>
      <w:r>
        <w:t xml:space="preserve">a</w:t>
      </w:r>
      <w:r>
        <w:t xml:space="preserve"> </w:t>
      </w:r>
      <w:r>
        <w:t xml:space="preserve">greater</w:t>
      </w:r>
      <w:r>
        <w:t xml:space="preserve"> </w:t>
      </w:r>
      <w:r>
        <w:t xml:space="preserve">variety</w:t>
      </w:r>
      <w:r>
        <w:t xml:space="preserve"> </w:t>
      </w:r>
      <w:r>
        <w:t xml:space="preserve">of</w:t>
      </w:r>
      <w:r>
        <w:t xml:space="preserve"> </w:t>
      </w:r>
      <w:r>
        <w:t xml:space="preserve">ways</w:t>
      </w:r>
      <w:r>
        <w:t xml:space="preserve"> </w:t>
      </w:r>
      <w:r>
        <w:t xml:space="preserve">of</w:t>
      </w:r>
      <w:r>
        <w:t xml:space="preserve"> </w:t>
      </w:r>
      <w:r>
        <w:t xml:space="preserve">grounding</w:t>
      </w:r>
      <w:r>
        <w:t xml:space="preserve"> </w:t>
      </w:r>
      <w:r>
        <w:t xml:space="preserve">consequence</w:t>
      </w:r>
      <w:r>
        <w:t xml:space="preserve"> </w:t>
      </w:r>
      <w:r>
        <w:t xml:space="preserve">exists</w:t>
      </w:r>
      <w:r>
        <w:t xml:space="preserve"> </w:t>
      </w:r>
      <w:r>
        <w:t xml:space="preserve">in</w:t>
      </w:r>
      <w:r>
        <w:t xml:space="preserve"> </w:t>
      </w:r>
      <w:r>
        <w:t xml:space="preserve">the</w:t>
      </w:r>
      <w:r>
        <w:t xml:space="preserve"> </w:t>
      </w:r>
      <w:r>
        <w:t xml:space="preserve">period</w:t>
      </w:r>
      <w:r>
        <w:t xml:space="preserve"> </w:t>
      </w:r>
      <w:r>
        <w:t xml:space="preserve">than</w:t>
      </w:r>
      <w:r>
        <w:t xml:space="preserve"> </w:t>
      </w:r>
      <w:r>
        <w:t xml:space="preserve">has</w:t>
      </w:r>
      <w:r>
        <w:t xml:space="preserve"> </w:t>
      </w:r>
      <w:r>
        <w:t xml:space="preserve">hitherto</w:t>
      </w:r>
      <w:r>
        <w:t xml:space="preserve"> </w:t>
      </w:r>
      <w:r>
        <w:t xml:space="preserve">been</w:t>
      </w:r>
      <w:r>
        <w:t xml:space="preserve"> </w:t>
      </w:r>
      <w:r>
        <w:t xml:space="preserve">recognized.</w:t>
      </w:r>
    </w:p>
    <w:p>
      <w:pPr>
        <w:pStyle w:val="Abstract"/>
      </w:pPr>
      <w:r>
        <w:rPr>
          <w:b/>
        </w:rPr>
        <w:t xml:space="preserve">Keywords:</w:t>
      </w:r>
      <w:r>
        <w:t xml:space="preserve"> </w:t>
      </w:r>
      <w:r>
        <w:t xml:space="preserve">consequence,</w:t>
      </w:r>
      <w:r>
        <w:t xml:space="preserve"> </w:t>
      </w:r>
      <w:r>
        <w:t xml:space="preserve">supposition,</w:t>
      </w:r>
      <w:r>
        <w:t xml:space="preserve"> </w:t>
      </w:r>
      <w:r>
        <w:t xml:space="preserve">grounding,</w:t>
      </w:r>
      <w:r>
        <w:t xml:space="preserve"> </w:t>
      </w:r>
      <w:r>
        <w:t xml:space="preserve">Boethius,</w:t>
      </w:r>
      <w:r>
        <w:t xml:space="preserve"> </w:t>
      </w:r>
      <w:r>
        <w:t xml:space="preserve">Walter</w:t>
      </w:r>
      <w:r>
        <w:t xml:space="preserve"> </w:t>
      </w:r>
      <w:r>
        <w:t xml:space="preserve">Burley,</w:t>
      </w:r>
      <w:r>
        <w:t xml:space="preserve"> </w:t>
      </w:r>
      <w:r>
        <w:t xml:space="preserve">William</w:t>
      </w:r>
      <w:r>
        <w:t xml:space="preserve"> </w:t>
      </w:r>
      <w:r>
        <w:t xml:space="preserve">of</w:t>
      </w:r>
      <w:r>
        <w:t xml:space="preserve"> </w:t>
      </w:r>
      <w:r>
        <w:t xml:space="preserve">Ockham,</w:t>
      </w:r>
      <w:r>
        <w:t xml:space="preserve"> </w:t>
      </w:r>
      <w:r>
        <w:t xml:space="preserve">John</w:t>
      </w:r>
      <w:r>
        <w:t xml:space="preserve"> </w:t>
      </w:r>
      <w:r>
        <w:t xml:space="preserve">Buridan</w:t>
      </w:r>
    </w:p>
    <w:p>
      <w:pPr>
        <w:pStyle w:val="Heading1"/>
      </w:pPr>
      <w:bookmarkStart w:id="20" w:name="introduction"/>
      <w:r>
        <w:t xml:space="preserve">Introduction</w:t>
      </w:r>
      <w:bookmarkEnd w:id="20"/>
    </w:p>
    <w:p>
      <w:pPr>
        <w:pStyle w:val="FirstParagraph"/>
      </w:pPr>
      <w:r>
        <w:t xml:space="preserve">Grounding is an irreflexive, assymetric, and transitive relation between different elements within an ontology, according to which one or several elements serve as grounds for another.</w:t>
      </w:r>
      <w:r>
        <w:rPr>
          <w:rStyle w:val="FootnoteReference"/>
        </w:rPr>
        <w:footnoteReference w:id="21"/>
      </w:r>
      <w:r>
        <w:t xml:space="preserve"> </w:t>
      </w:r>
      <w:r>
        <w:t xml:space="preserve">The notion of grounding is meant to capture that expressed in non-causal uses of phrases like</w:t>
      </w:r>
      <w:r>
        <w:t xml:space="preserve"> </w:t>
      </w:r>
      <w:r>
        <w:t xml:space="preserve">‘</w:t>
      </w:r>
      <w:r>
        <w:t xml:space="preserve">because</w:t>
      </w:r>
      <w:r>
        <w:t xml:space="preserve">’</w:t>
      </w:r>
      <w:r>
        <w:t xml:space="preserve"> </w:t>
      </w:r>
      <w:r>
        <w:t xml:space="preserve">or</w:t>
      </w:r>
      <w:r>
        <w:t xml:space="preserve"> </w:t>
      </w:r>
      <w:r>
        <w:t xml:space="preserve">‘</w:t>
      </w:r>
      <w:r>
        <w:t xml:space="preserve">in virtue of,</w:t>
      </w:r>
      <w:r>
        <w:t xml:space="preserve">’</w:t>
      </w:r>
      <w:r>
        <w:rPr>
          <w:rStyle w:val="FootnoteReference"/>
        </w:rPr>
        <w:footnoteReference w:id="22"/>
      </w:r>
      <w:r>
        <w:t xml:space="preserve"> </w:t>
      </w:r>
      <w:r>
        <w:t xml:space="preserve">and commonly invoked examples of grounding include that of true statements in facts, of true non-atomic propositions in their atomic constituents, of qualities in substances, and of sets in their members. On one currently widespread understanding of metaphysics, the basic problem of metaphysics is to determine what beings are fundamental, and how other beings are grounded in them.</w:t>
      </w:r>
      <w:r>
        <w:rPr>
          <w:rStyle w:val="FootnoteReference"/>
        </w:rPr>
        <w:footnoteReference w:id="23"/>
      </w:r>
    </w:p>
    <w:p>
      <w:pPr>
        <w:pStyle w:val="BodyText"/>
      </w:pPr>
      <w:r>
        <w:t xml:space="preserve">In its broadest sense, a consequence is a relation obtaining between an antecedent and a consequent, signified by a sign of consequence;</w:t>
      </w:r>
      <w:r>
        <w:rPr>
          <w:rStyle w:val="FootnoteReference"/>
        </w:rPr>
        <w:footnoteReference w:id="24"/>
      </w:r>
      <w:r>
        <w:t xml:space="preserve"> </w:t>
      </w:r>
      <w:r>
        <w:t xml:space="preserve">an antecedent, a premise or set of premises from which a consequent follows; a consequent, a conclusion following from an antecedent; a sign of consequence, a word, symbol, or phrase signifying a consequent’s following from an antecedent, e.g.</w:t>
      </w:r>
      <w:r>
        <w:t xml:space="preserve"> </w:t>
      </w:r>
      <w:r>
        <w:t xml:space="preserve">‘</w:t>
      </w:r>
      <w:r>
        <w:t xml:space="preserve">if</w:t>
      </w:r>
      <w:r>
        <w:t xml:space="preserve">’</w:t>
      </w:r>
      <w:r>
        <w:t xml:space="preserve">,</w:t>
      </w:r>
      <w:r>
        <w:t xml:space="preserve"> </w:t>
      </w:r>
      <w:r>
        <w:t xml:space="preserve">‘</w:t>
      </w:r>
      <w:r>
        <w:t xml:space="preserve">therefore</w:t>
      </w:r>
      <w:r>
        <w:t xml:space="preserve">’</w:t>
      </w:r>
      <w:r>
        <w:t xml:space="preserve">,</w:t>
      </w:r>
      <w:r>
        <w:t xml:space="preserve"> </w:t>
      </w:r>
      <w:r>
        <w:t xml:space="preserve">‘</w:t>
      </w:r>
      <w:r>
        <w:t xml:space="preserve">because</w:t>
      </w:r>
      <w:r>
        <w:t xml:space="preserve">’</w:t>
      </w:r>
      <w:r>
        <w:t xml:space="preserve"> </w:t>
      </w:r>
      <w:r>
        <w:t xml:space="preserve">and their analogues in other natural languages, the</w:t>
      </w:r>
      <w:r>
        <w:t xml:space="preserve"> </w:t>
      </w:r>
      <m:oMath>
        <m:r>
          <m:t>⊨</m:t>
        </m:r>
      </m:oMath>
      <w:r>
        <w:t xml:space="preserve"> </w:t>
      </w:r>
      <w:r>
        <w:t xml:space="preserve">of model theory, or the proof-theoretic</w:t>
      </w:r>
      <w:r>
        <w:t xml:space="preserve"> </w:t>
      </w:r>
      <m:oMath>
        <m:r>
          <m:t>⊢</m:t>
        </m:r>
      </m:oMath>
      <w:r>
        <w:t xml:space="preserve">. Though elements that would enter into the theory may be found in earlier work on Aristotelian syllogistic, fallacies, and topical argument, the theory of consequence proper first arises in the later medieval period.</w:t>
      </w:r>
    </w:p>
    <w:p>
      <w:pPr>
        <w:pStyle w:val="BodyText"/>
      </w:pPr>
      <w:r>
        <w:t xml:space="preserve">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pPr>
      <w:bookmarkStart w:id="25" w:name="Xf91979ef53e0cb82f638c087a0e804e441b016b"/>
      <w:r>
        <w:t xml:space="preserve">Grounding consequence in modern and later medieval logic</w:t>
      </w:r>
      <w:bookmarkEnd w:id="25"/>
    </w:p>
    <w:p>
      <w:pPr>
        <w:pStyle w:val="Heading2"/>
      </w:pPr>
      <w:bookmarkStart w:id="26" w:name="grounding-consequence-today"/>
      <w:r>
        <w:t xml:space="preserve">Grounding consequence today</w:t>
      </w:r>
      <w:bookmarkEnd w:id="26"/>
    </w:p>
    <w:p>
      <w:pPr>
        <w:pStyle w:val="FirstParagraph"/>
      </w:pPr>
      <w:r>
        <w:t xml:space="preserve">Since the early 20th century, research on consequence has centered on formal consequence, commonly identified with logical consequence. Such a consequence is usually defined either proof-theoretically, e.g. as one where the consequent follows from the antecedent via the strict application of the rules of a given proof-system,</w:t>
      </w:r>
      <w:r>
        <w:rPr>
          <w:rStyle w:val="FootnoteReference"/>
        </w:rPr>
        <w:footnoteReference w:id="27"/>
      </w:r>
      <w:r>
        <w:t xml:space="preserve"> </w:t>
      </w:r>
      <w:r>
        <w:t xml:space="preserve">or model-theoretically as one where every model of the antecedent is a model of the consequent.</w:t>
      </w:r>
      <w:r>
        <w:rPr>
          <w:rStyle w:val="FootnoteReference"/>
        </w:rPr>
        <w:footnoteReference w:id="28"/>
      </w:r>
      <w:r>
        <w:t xml:space="preserve"> </w:t>
      </w:r>
      <w:r>
        <w:t xml:space="preserve">Though proof-theoretic definitions of consequence have become more popular in recent years, model-theoretic definitions remain the most common way of defining consequence today.</w:t>
      </w:r>
    </w:p>
    <w:p>
      <w:pPr>
        <w:pStyle w:val="BodyText"/>
      </w:pPr>
      <w:r>
        <w:t xml:space="preserve">Modern model-theoretic definitions of consequence trace their lineage back to the work of Alfred Tarski. The most philosophically uncompromising attempts to ground consequence, e.g. that of Tarski himself, take the domain</w:t>
      </w:r>
      <w:r>
        <w:t xml:space="preserve"> </w:t>
      </w:r>
      <m:oMath>
        <m:r>
          <m:t>D</m:t>
        </m:r>
      </m:oMath>
      <w:r>
        <w:t xml:space="preserve"> </w:t>
      </w:r>
      <w:r>
        <w:t xml:space="preserve">of all existents as their foundation and, given a formal language</w:t>
      </w:r>
      <w:r>
        <w:t xml:space="preserve"> </w:t>
      </w:r>
      <m:oMath>
        <m:r>
          <m:t>L</m:t>
        </m:r>
      </m:oMath>
      <w:r>
        <w:t xml:space="preserve"> </w:t>
      </w:r>
      <w:r>
        <w:t xml:space="preserve">with a stock of non-logical constants as names for certain elements in the domain, determine whether a sentence</w:t>
      </w:r>
      <w:r>
        <w:t xml:space="preserve"> </w:t>
      </w:r>
      <m:oMath>
        <m:r>
          <m:t>A</m:t>
        </m:r>
      </m:oMath>
      <w:r>
        <w:t xml:space="preserve"> </w:t>
      </w:r>
      <w:r>
        <w:t xml:space="preserve">follows from a class of sentences</w:t>
      </w:r>
      <w:r>
        <w:t xml:space="preserve"> </w:t>
      </w:r>
      <m:oMath>
        <m:r>
          <m:t>Γ</m:t>
        </m:r>
      </m:oMath>
      <w:r>
        <w:t xml:space="preserve"> </w:t>
      </w:r>
      <w:r>
        <w:t xml:space="preserve">by obtaining from</w:t>
      </w:r>
      <w:r>
        <w:t xml:space="preserve"> </w:t>
      </w:r>
      <m:oMath>
        <m:r>
          <m:t>Γ</m:t>
        </m:r>
        <m:r>
          <m:t>∪</m:t>
        </m:r>
        <m:r>
          <m:t>A</m:t>
        </m:r>
      </m:oMath>
      <w:r>
        <w:t xml:space="preserve"> </w:t>
      </w:r>
      <w:r>
        <w:t xml:space="preserve">a class</w:t>
      </w:r>
      <w:r>
        <w:t xml:space="preserve"> </w:t>
      </w:r>
      <m:oMath>
        <m:r>
          <m:t>K</m:t>
        </m:r>
      </m:oMath>
      <w:r>
        <w:t xml:space="preserve"> </w:t>
      </w:r>
      <w:r>
        <w:t xml:space="preserve">of</w:t>
      </w:r>
      <w:r>
        <w:t xml:space="preserve"> </w:t>
      </w:r>
      <w:r>
        <w:rPr>
          <w:i/>
        </w:rPr>
        <w:t xml:space="preserve">sentential functions</w:t>
      </w:r>
      <w:r>
        <w:t xml:space="preserve">: functions which are like sentences, but replace like non-logical constants naming various objects with like variables. These in turn are said to be</w:t>
      </w:r>
      <w:r>
        <w:t xml:space="preserve"> </w:t>
      </w:r>
      <w:r>
        <w:rPr>
          <w:i/>
        </w:rPr>
        <w:t xml:space="preserve">satisfied</w:t>
      </w:r>
      <w:r>
        <w:t xml:space="preserve"> </w:t>
      </w:r>
      <w:r>
        <w:t xml:space="preserve">(or not) by sequences of objects called</w:t>
      </w:r>
      <w:r>
        <w:t xml:space="preserve"> </w:t>
      </w:r>
      <w:r>
        <w:rPr>
          <w:i/>
        </w:rPr>
        <w:t xml:space="preserve">models</w:t>
      </w:r>
      <w:r>
        <w:t xml:space="preserve"> </w:t>
      </w:r>
      <w:r>
        <w:t xml:space="preserve">which, when taken as arguments of said functions, evaluate to true (or false). On the Tarskian account, if every sequence of objects satisfying the sentential functions obtained from a collection of sentences</w:t>
      </w:r>
      <w:r>
        <w:t xml:space="preserve"> </w:t>
      </w:r>
      <m:oMath>
        <m:r>
          <m:t>Γ</m:t>
        </m:r>
      </m:oMath>
      <w:r>
        <w:t xml:space="preserve"> </w:t>
      </w:r>
      <w:r>
        <w:t xml:space="preserve">in a language</w:t>
      </w:r>
      <w:r>
        <w:t xml:space="preserve"> </w:t>
      </w:r>
      <m:oMath>
        <m:r>
          <m:t>L</m:t>
        </m:r>
      </m:oMath>
      <w:r>
        <w:t xml:space="preserve"> </w:t>
      </w:r>
      <w:r>
        <w:t xml:space="preserve">at the same time satisfies that obtained from a sentence</w:t>
      </w:r>
      <w:r>
        <w:t xml:space="preserve"> </w:t>
      </w:r>
      <m:oMath>
        <m:r>
          <m:t>A</m:t>
        </m:r>
      </m:oMath>
      <w:r>
        <w:t xml:space="preserve">, then</w:t>
      </w:r>
      <w:r>
        <w:t xml:space="preserve"> </w:t>
      </w:r>
      <m:oMath>
        <m:r>
          <m:t>Γ</m:t>
        </m:r>
        <m:r>
          <m:t>⊨</m:t>
        </m:r>
        <m:r>
          <m:t>A</m:t>
        </m:r>
      </m:oMath>
      <w:r>
        <w:t xml:space="preserve"> </w:t>
      </w:r>
      <w:r>
        <w:t xml:space="preserve">is valid.</w:t>
      </w:r>
    </w:p>
    <w:p>
      <w:pPr>
        <w:pStyle w:val="BodyText"/>
      </w:pPr>
      <w:r>
        <w:t xml:space="preserve">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Reference"/>
        </w:rPr>
        <w:footnoteReference w:id="29"/>
      </w:r>
      <w:r>
        <w:t xml:space="preserve"> </w:t>
      </w:r>
      <w:r>
        <w:t xml:space="preserve">and have added apparatus to handle phenomena including tense and possibility since the 1960’s.</w:t>
      </w:r>
      <w:r>
        <w:rPr>
          <w:rStyle w:val="FootnoteReference"/>
        </w:rPr>
        <w:footnoteReference w:id="30"/>
      </w:r>
    </w:p>
    <w:p>
      <w:pPr>
        <w:pStyle w:val="BodyText"/>
      </w:pPr>
      <w:r>
        <w:t xml:space="preserve">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While there is widespread debate over the correct semantics for logical constants, over whether and how to include the referents in tensed and modal propositions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BodyText"/>
      </w:pPr>
      <w:r>
        <w:t xml:space="preserve">This centrality of formal consequence to modern thinking about the notion generally witnesses to that thinking’s dominant aim: that of providing a theory of</w:t>
      </w:r>
      <w:r>
        <w:t xml:space="preserve"> </w:t>
      </w:r>
      <w:r>
        <w:rPr>
          <w:i/>
        </w:rPr>
        <w:t xml:space="preserve">formal validity</w:t>
      </w:r>
      <w:r>
        <w:t xml:space="preserve">, i.e. of which inference forms hold universally, regardless of their material content.</w:t>
      </w:r>
      <w:r>
        <w:rPr>
          <w:rStyle w:val="FootnoteReference"/>
        </w:rPr>
        <w:footnoteReference w:id="31"/>
      </w:r>
    </w:p>
    <w:p>
      <w:pPr>
        <w:pStyle w:val="Heading2"/>
      </w:pPr>
      <w:bookmarkStart w:id="32" w:name="Xcd84fc7174ad974cf7934bedd631d961c31912d"/>
      <w:r>
        <w:t xml:space="preserve">Formal consequence in later medieval logic</w:t>
      </w:r>
      <w:bookmarkEnd w:id="32"/>
    </w:p>
    <w:p>
      <w:pPr>
        <w:pStyle w:val="FirstParagraph"/>
      </w:pPr>
      <w:r>
        <w:t xml:space="preserve">The Tarskian approach to formal consequence outlined above is a modification of an earlier candidate Tarski rejects, condition (F), presented as follows in his</w:t>
      </w:r>
      <w:r>
        <w:t xml:space="preserve"> </w:t>
      </w:r>
      <w:r>
        <w:t xml:space="preserve">‘</w:t>
      </w:r>
      <w:r>
        <w:t xml:space="preserve">On the concept of Following Logically</w:t>
      </w:r>
      <w:r>
        <w:t xml:space="preserve">’</w:t>
      </w:r>
      <w:r>
        <w:t xml:space="preserve">:</w:t>
      </w:r>
    </w:p>
    <w:p>
      <w:pPr>
        <w:pStyle w:val="BlockText"/>
      </w:pPr>
      <w:r>
        <w:t xml:space="preserve">If in sentences of the class</w:t>
      </w:r>
      <w:r>
        <w:t xml:space="preserve"> </w:t>
      </w:r>
      <m:oMath>
        <m:r>
          <m:t>K</m:t>
        </m:r>
      </m:oMath>
      <w:r>
        <w:t xml:space="preserve"> </w:t>
      </w:r>
      <w:r>
        <w:t xml:space="preserve">and in the sentence</w:t>
      </w:r>
      <w:r>
        <w:t xml:space="preserve"> </w:t>
      </w:r>
      <m:oMath>
        <m:r>
          <m:t>X</m:t>
        </m:r>
      </m:oMath>
      <w:r>
        <w:t xml:space="preserve"> </w:t>
      </w:r>
      <w:r>
        <w:t xml:space="preserve">we replace the constant terms which are not general-logical terms correspondingly by arbitrary other constant terms (where we replace equiform constants everywhere by equiform constants ) and in this way we obtain a new class of sentences</w:t>
      </w:r>
      <w:r>
        <w:t xml:space="preserve"> </w:t>
      </w:r>
      <m:oMath>
        <m:r>
          <m:t>K</m:t>
        </m:r>
        <m:r>
          <m:t>′</m:t>
        </m:r>
      </m:oMath>
      <w:r>
        <w:t xml:space="preserve"> </w:t>
      </w:r>
      <w:r>
        <w:t xml:space="preserve">and a new sentence</w:t>
      </w:r>
      <w:r>
        <w:t xml:space="preserve"> </w:t>
      </w:r>
      <m:oMath>
        <m:r>
          <m:t>X</m:t>
        </m:r>
        <m:r>
          <m:t>′</m:t>
        </m:r>
      </m:oMath>
      <w:r>
        <w:t xml:space="preserve"> </w:t>
      </w:r>
      <w:r>
        <w:t xml:space="preserve">, then the sentence</w:t>
      </w:r>
      <w:r>
        <w:t xml:space="preserve"> </w:t>
      </w:r>
      <m:oMath>
        <m:r>
          <m:t>X</m:t>
        </m:r>
        <m:r>
          <m:t>′</m:t>
        </m:r>
      </m:oMath>
      <w:r>
        <w:t xml:space="preserve"> </w:t>
      </w:r>
      <w:r>
        <w:t xml:space="preserve">must be true if only all sentences of the class</w:t>
      </w:r>
      <w:r>
        <w:t xml:space="preserve"> </w:t>
      </w:r>
      <m:oMath>
        <m:r>
          <m:t>K</m:t>
        </m:r>
        <m:r>
          <m:t>′</m:t>
        </m:r>
      </m:oMath>
      <w:r>
        <w:t xml:space="preserve"> </w:t>
      </w:r>
      <w:r>
        <w:t xml:space="preserve">are true.</w:t>
      </w:r>
      <w:r>
        <w:rPr>
          <w:rStyle w:val="FootnoteReference"/>
        </w:rPr>
        <w:footnoteReference w:id="33"/>
      </w:r>
    </w:p>
    <w:p>
      <w:pPr>
        <w:pStyle w:val="FirstParagraph"/>
      </w:pPr>
      <w:r>
        <w:t xml:space="preserve">(F),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pPr>
      <w:r>
        <w:t xml:space="preserve">A consequence is called formal if it is valid in all terms retaining a similar form. Or if you want to put it explicitly, a formal consequence is one where every proposition similar in form that might be formed would be a good consequence, e.g.</w:t>
      </w:r>
      <w:r>
        <w:t xml:space="preserve"> </w:t>
      </w:r>
      <w:r>
        <w:t xml:space="preserve">‘</w:t>
      </w:r>
      <w:r>
        <w:t xml:space="preserve">That which is A is B, so that which is B is A.</w:t>
      </w:r>
      <w:r>
        <w:t xml:space="preserve">’</w:t>
      </w:r>
      <w:r>
        <w:rPr>
          <w:rStyle w:val="FootnoteReference"/>
        </w:rPr>
        <w:footnoteReference w:id="34"/>
      </w:r>
    </w:p>
    <w:p>
      <w:pPr>
        <w:pStyle w:val="FirstParagraph"/>
      </w:pPr>
      <w:r>
        <w:t xml:space="preserve">Buridan goes on to hash out propositions</w:t>
      </w:r>
      <w:r>
        <w:t xml:space="preserve"> </w:t>
      </w:r>
      <w:r>
        <w:t xml:space="preserve">‘</w:t>
      </w:r>
      <w:r>
        <w:t xml:space="preserve">retaining a similar form</w:t>
      </w:r>
      <w:r>
        <w:t xml:space="preserve">’</w:t>
      </w:r>
      <w:r>
        <w:t xml:space="preserve"> </w:t>
      </w:r>
      <w:r>
        <w:t xml:space="preserve">to another proposition as those only differing from it in their</w:t>
      </w:r>
      <w:r>
        <w:t xml:space="preserve"> </w:t>
      </w:r>
      <w:r>
        <w:rPr>
          <w:i/>
        </w:rPr>
        <w:t xml:space="preserve">categorematic</w:t>
      </w:r>
      <w:r>
        <w:t xml:space="preserve"> </w:t>
      </w:r>
      <w:r>
        <w:t xml:space="preserve">terms - those terms whose primary function is to signify some being, in contrast with</w:t>
      </w:r>
      <w:r>
        <w:t xml:space="preserve"> </w:t>
      </w:r>
      <w:r>
        <w:rPr>
          <w:i/>
        </w:rPr>
        <w:t xml:space="preserve">syncategorematic</w:t>
      </w:r>
      <w:r>
        <w:t xml:space="preserve"> </w:t>
      </w:r>
      <w:r>
        <w:t xml:space="preserve">terms like</w:t>
      </w:r>
      <w:r>
        <w:t xml:space="preserve"> </w:t>
      </w:r>
      <w:r>
        <w:t xml:space="preserve">‘</w:t>
      </w:r>
      <w:r>
        <w:t xml:space="preserve">and</w:t>
      </w:r>
      <w:r>
        <w:t xml:space="preserve">’</w:t>
      </w:r>
      <w:r>
        <w:t xml:space="preserve"> </w:t>
      </w:r>
      <w:r>
        <w:t xml:space="preserve">and</w:t>
      </w:r>
      <w:r>
        <w:t xml:space="preserve"> </w:t>
      </w:r>
      <w:r>
        <w:t xml:space="preserve">‘</w:t>
      </w:r>
      <w:r>
        <w:t xml:space="preserve">not</w:t>
      </w:r>
      <w:r>
        <w:t xml:space="preserve">’</w:t>
      </w:r>
      <w:r>
        <w:t xml:space="preserve"> </w:t>
      </w:r>
      <w:r>
        <w:t xml:space="preserve">which provide structure to other elements in a proposition. He writes:</w:t>
      </w:r>
    </w:p>
    <w:p>
      <w:pPr>
        <w:pStyle w:val="BlockText"/>
      </w:pPr>
      <w:r>
        <w:t xml:space="preserve">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Reference"/>
        </w:rPr>
        <w:footnoteReference w:id="35"/>
      </w:r>
    </w:p>
    <w:p>
      <w:pPr>
        <w:pStyle w:val="Heading2"/>
      </w:pPr>
      <w:bookmarkStart w:id="36" w:name="Xc720b1ffe59aed2bf88b851b4441318dd085609"/>
      <w:r>
        <w:t xml:space="preserve">Comparing Buridan and post-Tarskian groundings of consequence</w:t>
      </w:r>
      <w:bookmarkEnd w:id="36"/>
    </w:p>
    <w:p>
      <w:pPr>
        <w:pStyle w:val="FirstParagraph"/>
      </w:pPr>
      <w:r>
        <w:t xml:space="preserve">Both 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Reference"/>
        </w:rPr>
        <w:footnoteReference w:id="37"/>
      </w:r>
      <w:r>
        <w:t xml:space="preserve"> </w:t>
      </w:r>
      <w:r>
        <w:t xml:space="preserve">While there are important differences between the two traditions - for Buridan, for instance, this partitioning takes place at the level of the individual inference, whereas for Tarski and his successors it takes place at the level of the language,</w:t>
      </w:r>
      <w:r>
        <w:rPr>
          <w:rStyle w:val="FootnoteReference"/>
        </w:rPr>
        <w:footnoteReference w:id="38"/>
      </w:r>
      <w:r>
        <w:t xml:space="preserve"> </w:t>
      </w:r>
      <w:r>
        <w:t xml:space="preserve">- both traditions share a common interest in grounding formally valid consequence in a (preferably sparse) domain of individuals.</w:t>
      </w:r>
    </w:p>
    <w:p>
      <w:pPr>
        <w:pStyle w:val="BodyText"/>
      </w:pPr>
      <w:r>
        <w:t xml:space="preserve">It may come as a surprise, then, that this focus on formal validity only arises fairly late in medieval logic - instead, from its roots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Reference"/>
        </w:rPr>
        <w:footnoteReference w:id="39"/>
      </w:r>
      <w:r>
        <w:t xml:space="preserve"> </w:t>
      </w:r>
      <w:r>
        <w:t xml:space="preserve">One can better understand the centrality of formally valid consequence to logic today by understanding the focus it replaced. And to do this, it’ll be useful to further inspect its font, the logic of Boethius.</w:t>
      </w:r>
    </w:p>
    <w:p>
      <w:pPr>
        <w:pStyle w:val="Heading1"/>
      </w:pPr>
      <w:bookmarkStart w:id="40" w:name="X058d36cdbf4e8e0530c42ebb99825a38966dd1b"/>
      <w:r>
        <w:t xml:space="preserve">The sources of medieval</w:t>
      </w:r>
      <w:r>
        <w:t xml:space="preserve"> </w:t>
      </w:r>
      <w:r>
        <w:rPr>
          <w:i/>
        </w:rPr>
        <w:t xml:space="preserve">consequentiae</w:t>
      </w:r>
      <w:r>
        <w:t xml:space="preserve"> </w:t>
      </w:r>
      <w:r>
        <w:t xml:space="preserve">in hypothetical syllogistic and topical argument</w:t>
      </w:r>
      <w:bookmarkEnd w:id="40"/>
    </w:p>
    <w:p>
      <w:pPr>
        <w:pStyle w:val="FirstParagraph"/>
      </w:pPr>
      <w:r>
        <w:t xml:space="preserve">Among the earliest material which we might classify under the banner of consequence,</w:t>
      </w:r>
      <w:r>
        <w:rPr>
          <w:rStyle w:val="FootnoteReference"/>
        </w:rPr>
        <w:footnoteReference w:id="41"/>
      </w:r>
      <w:r>
        <w:t xml:space="preserve"> </w:t>
      </w:r>
      <w:r>
        <w:t xml:space="preserve">one finds work on categorical syllogisms, hypothetical syllogisms, topical argument, and fallacies. Though neither</w:t>
      </w:r>
      <w:r>
        <w:t xml:space="preserve"> </w:t>
      </w:r>
      <w:r>
        <w:t xml:space="preserve">‘</w:t>
      </w:r>
      <w:r>
        <w:rPr>
          <w:i/>
        </w:rPr>
        <w:t xml:space="preserve">consequentia</w:t>
      </w:r>
      <w:r>
        <w:t xml:space="preserve">’</w:t>
      </w:r>
      <w:r>
        <w:t xml:space="preserve"> </w:t>
      </w:r>
      <w:r>
        <w:t xml:space="preserve">nor its variants occur in Boethius’</w:t>
      </w:r>
      <w:r>
        <w:t xml:space="preserve"> </w:t>
      </w:r>
      <w:r>
        <w:rPr>
          <w:i/>
        </w:rPr>
        <w:t xml:space="preserve">On the Categorical Syllogism</w:t>
      </w:r>
      <w:r>
        <w:t xml:space="preserve">, the terms occur frequently in Boethius’</w:t>
      </w:r>
      <w:r>
        <w:t xml:space="preserve"> </w:t>
      </w:r>
      <w:r>
        <w:rPr>
          <w:i/>
        </w:rPr>
        <w:t xml:space="preserve">On Differential Topics</w:t>
      </w:r>
      <w:r>
        <w:t xml:space="preserve"> </w:t>
      </w:r>
      <w:r>
        <w:t xml:space="preserve">and especially his</w:t>
      </w:r>
      <w:r>
        <w:t xml:space="preserve"> </w:t>
      </w:r>
      <w:r>
        <w:rPr>
          <w:i/>
        </w:rPr>
        <w:t xml:space="preserve">On Hypothetical Syllogisms</w:t>
      </w:r>
      <w:r>
        <w:t xml:space="preserve">. In what follows, we’ll first introduce the theory of topics later medievals inherited through Boethius, then we’ll show how the theory was applied in Boethius’ hypothetical syllogistic.</w:t>
      </w:r>
    </w:p>
    <w:p>
      <w:pPr>
        <w:pStyle w:val="Heading2"/>
      </w:pPr>
      <w:bookmarkStart w:id="42" w:name="Xd93e74869a3951425d1fbdbf044448ea193023d"/>
      <w:r>
        <w:t xml:space="preserve">Maximal propositions as grounds of consequence</w:t>
      </w:r>
      <w:bookmarkEnd w:id="42"/>
    </w:p>
    <w:p>
      <w:pPr>
        <w:pStyle w:val="FirstParagraph"/>
      </w:pPr>
      <w:r>
        <w:t xml:space="preserve">Following Cicero, Boethius defines a topic as</w:t>
      </w:r>
      <w:r>
        <w:t xml:space="preserve"> </w:t>
      </w:r>
      <w:r>
        <w:t xml:space="preserve">‘</w:t>
      </w:r>
      <w:r>
        <w:t xml:space="preserve">the seat of an argument</w:t>
      </w:r>
      <w:r>
        <w:t xml:space="preserve">’</w:t>
      </w:r>
      <w:r>
        <w:t xml:space="preserve">, and an argument as</w:t>
      </w:r>
      <w:r>
        <w:t xml:space="preserve"> </w:t>
      </w:r>
      <w:r>
        <w:t xml:space="preserve">‘</w:t>
      </w:r>
      <w:r>
        <w:t xml:space="preserve">a reason granting credence to a doubtful matter.</w:t>
      </w:r>
      <w:r>
        <w:t xml:space="preserve">’</w:t>
      </w:r>
      <w:r>
        <w:rPr>
          <w:rStyle w:val="FootnoteReference"/>
        </w:rPr>
        <w:footnoteReference w:id="43"/>
      </w:r>
      <w:r>
        <w:t xml:space="preserve"> </w:t>
      </w:r>
      <w:r>
        <w:t xml:space="preserve">For Boethius, the term</w:t>
      </w:r>
      <w:r>
        <w:t xml:space="preserve"> </w:t>
      </w:r>
      <w:r>
        <w:t xml:space="preserve">‘</w:t>
      </w:r>
      <w:r>
        <w:t xml:space="preserve">argument</w:t>
      </w:r>
      <w:r>
        <w:t xml:space="preserve">’</w:t>
      </w:r>
      <w:r>
        <w:t xml:space="preserve"> </w:t>
      </w:r>
      <w:r>
        <w:t xml:space="preserve">(</w:t>
      </w:r>
      <w:r>
        <w:rPr>
          <w:i/>
        </w:rPr>
        <w:t xml:space="preserve">argumentum</w:t>
      </w:r>
      <w:r>
        <w:t xml:space="preserve">) is ambiguous between two meanings: that of a maximal proposition, and that of the difference of such a proposition. By the first of these, he means a general proposition, whose truth is immediately grasped or whose plausibility is sufficiently vouched for (e.g. by an artisan within his proper domain), used to derive more specific claims less sure than itself, e.g.</w:t>
      </w:r>
      <w:r>
        <w:t xml:space="preserve"> </w:t>
      </w:r>
      <w:r>
        <w:t xml:space="preserve">‘</w:t>
      </w:r>
      <w:r>
        <w:t xml:space="preserve">equals subtracted from equals are equal</w:t>
      </w:r>
      <w:r>
        <w:t xml:space="preserve">’</w:t>
      </w:r>
      <w:r>
        <w:t xml:space="preserve">. In its second sense, an argument is that feature, thing, or relation principally appealed to in the formulation of a maximal proposition, e.g. equality.</w:t>
      </w:r>
      <w:r>
        <w:rPr>
          <w:rStyle w:val="FootnoteReference"/>
        </w:rPr>
        <w:footnoteReference w:id="44"/>
      </w:r>
    </w:p>
    <w:p>
      <w:pPr>
        <w:pStyle w:val="BodyText"/>
      </w:pPr>
      <w:r>
        <w:t xml:space="preserve">The above will be better understood by examining Boethius’ division of topics with some examples. Following the Aristotelian commentator Themistius, Boethius divides topics into intrinsic, extrinsic and middle topics, in accordance with the kinds of media, or</w:t>
      </w:r>
      <w:r>
        <w:t xml:space="preserve"> </w:t>
      </w:r>
      <w:r>
        <w:rPr>
          <w:i/>
        </w:rPr>
        <w:t xml:space="preserve">middles</w:t>
      </w:r>
      <w: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w:t>
      </w:r>
      <w:r>
        <w:t xml:space="preserve"> </w:t>
      </w:r>
      <w:r>
        <w:t xml:space="preserve">‘</w:t>
      </w:r>
      <w:r>
        <w:t xml:space="preserve">Adam is a man, therefore he is an animal</w:t>
      </w:r>
      <w:r>
        <w:t xml:space="preserve">’</w:t>
      </w:r>
      <w:r>
        <w:t xml:space="preserve">), from a predication of a description to what follows from it (e.g.</w:t>
      </w:r>
      <w:r>
        <w:t xml:space="preserve"> </w:t>
      </w:r>
      <w:r>
        <w:t xml:space="preserve">‘</w:t>
      </w:r>
      <w:r>
        <w:t xml:space="preserve">God is that than which nothing greater can be thought, therefore God exists</w:t>
      </w:r>
      <w:r>
        <w:t xml:space="preserve">’</w:t>
      </w:r>
      <w:r>
        <w:t xml:space="preserve">) or from the existence of a whole to that of its parts (e.g.</w:t>
      </w:r>
      <w:r>
        <w:t xml:space="preserve"> </w:t>
      </w:r>
      <w:r>
        <w:t xml:space="preserve">‘</w:t>
      </w:r>
      <w:r>
        <w:t xml:space="preserve">If there’s a house, there’s a roof, walls, and a foundation</w:t>
      </w:r>
      <w:r>
        <w:t xml:space="preserve">’</w:t>
      </w:r>
      <w:r>
        <w:t xml:space="preserve">).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w:t>
      </w:r>
      <w:r>
        <w:t xml:space="preserve"> </w:t>
      </w:r>
      <w:r>
        <w:rPr>
          <w:i/>
        </w:rPr>
        <w:t xml:space="preserve">a fortiori</w:t>
      </w:r>
      <w:r>
        <w:t xml:space="preserve">/</w:t>
      </w:r>
      <w:r>
        <w:rPr>
          <w:i/>
        </w:rPr>
        <w:t xml:space="preserve">a minori</w:t>
      </w:r>
      <w:r>
        <w:t xml:space="preserve"> </w:t>
      </w:r>
      <w:r>
        <w:t xml:space="preserve">arguments.</w:t>
      </w:r>
    </w:p>
    <w:p>
      <w:pPr>
        <w:pStyle w:val="BodyText"/>
      </w:pPr>
      <w:r>
        <w:t xml:space="preserve">In this way, the Boethian theory of topics aims to ground good inferences by providing an account of the fundamental propositions to be appealed to in an argument, and the real features on account of which these hold in whatever way they do.</w:t>
      </w:r>
    </w:p>
    <w:p>
      <w:pPr>
        <w:pStyle w:val="Heading2"/>
      </w:pPr>
      <w:bookmarkStart w:id="45" w:name="X2b11b65cbf1675cabd0cc034713e38631704cc1"/>
      <w:r>
        <w:t xml:space="preserve">Boethian topical theory as ground of hypothetical syllogistic</w:t>
      </w:r>
      <w:bookmarkEnd w:id="45"/>
    </w:p>
    <w:p>
      <w:pPr>
        <w:pStyle w:val="FirstParagraph"/>
      </w:pPr>
      <w:r>
        <w:t xml:space="preserve">With this laid down, we can begin to inspect Boethius’ main source of his remarks on consequence, his</w:t>
      </w:r>
      <w:r>
        <w:t xml:space="preserve"> </w:t>
      </w:r>
      <w:r>
        <w:rPr>
          <w:i/>
        </w:rPr>
        <w:t xml:space="preserve">On Hypothetical Syllogisms</w:t>
      </w:r>
      <w:r>
        <w:t xml:space="preserve">.</w:t>
      </w:r>
    </w:p>
    <w:p>
      <w:pPr>
        <w:pStyle w:val="BodyText"/>
      </w:pPr>
      <w:r>
        <w:t xml:space="preserve">Though Boethius does not identify consequences with hypothetical or conditional propositions, he does strongly associate these concepts,</w:t>
      </w:r>
      <w:r>
        <w:rPr>
          <w:rStyle w:val="FootnoteReference"/>
        </w:rPr>
        <w:footnoteReference w:id="46"/>
      </w:r>
      <w:r>
        <w:t xml:space="preserve"> </w:t>
      </w:r>
      <w:r>
        <w:t xml:space="preserve">distinguishing conditional from categorical propositions by stating that</w:t>
      </w:r>
      <w:r>
        <w:t xml:space="preserve"> </w:t>
      </w:r>
      <w:r>
        <w:t xml:space="preserve">‘</w:t>
      </w:r>
      <w:r>
        <w:t xml:space="preserve">in a conditional, the nature of a consequence</w:t>
      </w:r>
      <w:r>
        <w:t xml:space="preserve">’</w:t>
      </w:r>
      <w:r>
        <w:t xml:space="preserve"> </w:t>
      </w:r>
      <w:r>
        <w:t xml:space="preserve">rather than that of a predication,</w:t>
      </w:r>
      <w:r>
        <w:t xml:space="preserve"> </w:t>
      </w:r>
      <w:r>
        <w:t xml:space="preserve">‘</w:t>
      </w:r>
      <w:r>
        <w:t xml:space="preserve">is assumed from the condition.</w:t>
      </w:r>
      <w:r>
        <w:t xml:space="preserve">’</w:t>
      </w:r>
      <w:r>
        <w:rPr>
          <w:rStyle w:val="FootnoteReference"/>
        </w:rPr>
        <w:footnoteReference w:id="47"/>
      </w:r>
    </w:p>
    <w:p>
      <w:pPr>
        <w:pStyle w:val="BodyText"/>
      </w:pPr>
      <w:r>
        <w:t xml:space="preserve">In both the</w:t>
      </w:r>
      <w:r>
        <w:t xml:space="preserve"> </w:t>
      </w:r>
      <w:r>
        <w:rPr>
          <w:i/>
        </w:rPr>
        <w:t xml:space="preserve">On Hypothetical Syllogisms</w:t>
      </w:r>
      <w:r>
        <w:t xml:space="preserve"> </w:t>
      </w:r>
      <w:r>
        <w:t xml:space="preserve">and the</w:t>
      </w:r>
      <w:r>
        <w:t xml:space="preserve"> </w:t>
      </w:r>
      <w:r>
        <w:rPr>
          <w:i/>
        </w:rPr>
        <w:t xml:space="preserve">On Differential Topics</w:t>
      </w:r>
      <w:r>
        <w:t xml:space="preserve">,</w:t>
      </w:r>
      <w:r>
        <w:t xml:space="preserve"> </w:t>
      </w:r>
      <w:r>
        <w:t xml:space="preserve">Boethius divides the hypothetical proposition into four types according to the quality of its antecedent and consequent:</w:t>
      </w:r>
      <w:r>
        <w:t xml:space="preserve"> </w:t>
      </w:r>
      <w:r>
        <w:t xml:space="preserve">a positive proposition following from a positive,</w:t>
      </w:r>
      <w:r>
        <w:t xml:space="preserve"> </w:t>
      </w:r>
      <w:r>
        <w:t xml:space="preserve">a negative from a negative,</w:t>
      </w:r>
      <w:r>
        <w:t xml:space="preserve"> </w:t>
      </w:r>
      <w:r>
        <w:t xml:space="preserve">a negative from a positive,</w:t>
      </w:r>
      <w:r>
        <w:t xml:space="preserve"> </w:t>
      </w:r>
      <w:r>
        <w:t xml:space="preserve">and a positive from a negative.</w:t>
      </w:r>
      <w:r>
        <w:rPr>
          <w:rStyle w:val="FootnoteReference"/>
        </w:rPr>
        <w:footnoteReference w:id="48"/>
      </w:r>
      <w:r>
        <w:t xml:space="preserve"> </w:t>
      </w:r>
      <w:r>
        <w:t xml:space="preserve">Since it applies solely to hypothetical propositions whose immediate parts are atomic, the division is incomplete,</w:t>
      </w:r>
      <w:r>
        <w:rPr>
          <w:rStyle w:val="FootnoteReference"/>
        </w:rPr>
        <w:footnoteReference w:id="49"/>
      </w:r>
      <w:r>
        <w:t xml:space="preserve"> </w:t>
      </w:r>
      <w:r>
        <w:t xml:space="preserve">and even when restricted to these may appear trivial. But the intent of this fourfold division can be seen from examining Boethius’ use of it in light of his theory of topical argument.</w:t>
      </w:r>
    </w:p>
    <w:p>
      <w:pPr>
        <w:pStyle w:val="BodyText"/>
      </w:pPr>
      <w:r>
        <w:t xml:space="preserve">In discussing affirmations following from affirmations, Boethius writes the following:</w:t>
      </w:r>
    </w:p>
    <w:p>
      <w:pPr>
        <w:pStyle w:val="BlockText"/>
      </w:pPr>
      <w:r>
        <w:t xml:space="preserve">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Reference"/>
        </w:rPr>
        <w:footnoteReference w:id="50"/>
      </w:r>
    </w:p>
    <w:p>
      <w:pPr>
        <w:pStyle w:val="FirstParagraph"/>
      </w:pPr>
      <w:r>
        <w:t xml:space="preserve">Moving to the case of arguments with both an affirmative and a negative, Boethius writes</w:t>
      </w:r>
      <w:r>
        <w:t xml:space="preserve"> </w:t>
      </w:r>
      <w:r>
        <w:t xml:space="preserve">‘</w:t>
      </w:r>
      <w:r>
        <w:t xml:space="preserve">of those cases that consist of an affirmation and a denial, that division is usually that they are comprised either of diverse genera, or diverse species, or of contraries, or of habit and privation.</w:t>
      </w:r>
      <w:r>
        <w:t xml:space="preserve">’</w:t>
      </w:r>
      <w:r>
        <w:rPr>
          <w:rStyle w:val="FootnoteReference"/>
        </w:rPr>
        <w:footnoteReference w:id="51"/>
      </w:r>
      <w:r>
        <w:t xml:space="preserve"> </w:t>
      </w:r>
      <w:r>
        <w:t xml:space="preserve">And considering arguments from a negative to an affirmative, Boethius writes:</w:t>
      </w:r>
    </w:p>
    <w:p>
      <w:pPr>
        <w:pStyle w:val="BlockText"/>
      </w:pPr>
      <w:r>
        <w:t xml:space="preserve">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Reference"/>
        </w:rPr>
        <w:footnoteReference w:id="52"/>
      </w:r>
    </w:p>
    <w:p>
      <w:pPr>
        <w:pStyle w:val="FirstParagraph"/>
      </w:pPr>
      <w:r>
        <w:t xml:space="preserve">As we can now see,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The conditions under which an argument from a negative antecedent to an affirmative consequent hold are a subset of those which hold for the converse case.</w:t>
      </w:r>
    </w:p>
    <w:p>
      <w:pPr>
        <w:pStyle w:val="Heading2"/>
      </w:pPr>
      <w:bookmarkStart w:id="53" w:name="Xb41bdbc71d5e896e3bd3cb8d80fdac9ffd7844a"/>
      <w:r>
        <w:t xml:space="preserve">The limits of Boethius’ grounding of consequence</w:t>
      </w:r>
      <w:bookmarkEnd w:id="53"/>
    </w:p>
    <w:p>
      <w:pPr>
        <w:pStyle w:val="FirstParagraph"/>
      </w:pPr>
      <w:r>
        <w:t xml:space="preserve">The examples Boethius gives above provide the theory’s paradigmatic use cases, but also reveal its limitations. When Boethius discusses consequences in both the</w:t>
      </w:r>
      <w:r>
        <w:t xml:space="preserve"> </w:t>
      </w:r>
      <w:r>
        <w:rPr>
          <w:i/>
        </w:rPr>
        <w:t xml:space="preserve">On Differential Topics</w:t>
      </w:r>
      <w:r>
        <w:t xml:space="preserve"> </w:t>
      </w:r>
      <w:r>
        <w:t xml:space="preserve">and the</w:t>
      </w:r>
      <w:r>
        <w:t xml:space="preserve"> </w:t>
      </w:r>
      <w:r>
        <w:rPr>
          <w:i/>
        </w:rPr>
        <w:t xml:space="preserve">On Hypothetical Syllogisms</w:t>
      </w:r>
      <w:r>
        <w:t xml:space="preserve">, the majority of cases he considers are arguments where the antecedent and consequent affirm or deny existence claims (e.g.</w:t>
      </w:r>
      <w:r>
        <w:t xml:space="preserve"> </w:t>
      </w:r>
      <w:r>
        <w:t xml:space="preserve">‘</w:t>
      </w:r>
      <w:r>
        <w:t xml:space="preserve">if it is day, it is not night</w:t>
      </w:r>
      <w:r>
        <w:t xml:space="preserve">’</w:t>
      </w:r>
      <w:r>
        <w:t xml:space="preserve">,</w:t>
      </w:r>
      <w:r>
        <w:t xml:space="preserve"> </w:t>
      </w:r>
      <w:r>
        <w:t xml:space="preserve">‘</w:t>
      </w:r>
      <w:r>
        <w:t xml:space="preserve">if there’s a man, there’s an animal</w:t>
      </w:r>
      <w:r>
        <w:t xml:space="preserve">’</w:t>
      </w:r>
      <w:r>
        <w:t xml:space="preserve">), substitute a predicate term in the consequent for a different one in the antecedent (e.g.</w:t>
      </w:r>
      <w:r>
        <w:t xml:space="preserve"> </w:t>
      </w:r>
      <w:r>
        <w:t xml:space="preserve">‘</w:t>
      </w:r>
      <w:r>
        <w:t xml:space="preserve">if it’s white, it’s colored</w:t>
      </w:r>
      <w:r>
        <w:t xml:space="preserve">’</w:t>
      </w:r>
      <w:r>
        <w:t xml:space="preserve">), or provide a consequent where the implied subject for a predicate posited or denied in the consequent is an anaphoric referent back to what is posited or denied in the antecedent (e.g.</w:t>
      </w:r>
      <w:r>
        <w:t xml:space="preserve"> </w:t>
      </w:r>
      <w:r>
        <w:t xml:space="preserve">‘</w:t>
      </w:r>
      <w:r>
        <w:t xml:space="preserve">if there’s an Ethiopian, he’s black</w:t>
      </w:r>
      <w:r>
        <w:t xml:space="preserve">’</w:t>
      </w:r>
      <w:r>
        <w:t xml:space="preserve">). Now in Latin, these different kinds of inferences have the same syntactic form, i.e.</w:t>
      </w:r>
      <w:r>
        <w:t xml:space="preserve"> </w:t>
      </w:r>
      <w:r>
        <w:t xml:space="preserve">‘</w:t>
      </w:r>
      <w:r>
        <w:t xml:space="preserve">if</w:t>
      </w:r>
      <w:r>
        <w:t xml:space="preserve"> </w:t>
      </w:r>
      <w:r>
        <w:rPr>
          <w:i/>
        </w:rPr>
        <w:t xml:space="preserve">a</w:t>
      </w:r>
      <w:r>
        <w:t xml:space="preserve"> </w:t>
      </w:r>
      <w:r>
        <w:t xml:space="preserve">is (not),</w:t>
      </w:r>
      <w:r>
        <w:t xml:space="preserve"> </w:t>
      </w:r>
      <w:r>
        <w:rPr>
          <w:i/>
        </w:rPr>
        <w:t xml:space="preserve">b</w:t>
      </w:r>
      <w:r>
        <w:t xml:space="preserve"> </w:t>
      </w:r>
      <w:r>
        <w:t xml:space="preserve">is (not)</w:t>
      </w:r>
      <w:r>
        <w:t xml:space="preserve">’</w:t>
      </w:r>
      <w:r>
        <w:t xml:space="preserve"> </w:t>
      </w:r>
      <w:r>
        <w:t xml:space="preserve">(</w:t>
      </w:r>
      <w:r>
        <w:rPr>
          <w:i/>
        </w:rPr>
        <w:t xml:space="preserve">si a (non) est, b (non) est</w:t>
      </w:r>
      <w:r>
        <w:t xml:space="preserve">). From the preponderance of his examples, it is clear that Boethius primarily conceives of the</w:t>
      </w:r>
      <w:r>
        <w:t xml:space="preserve"> </w:t>
      </w:r>
      <w:r>
        <w:rPr>
          <w:i/>
        </w:rPr>
        <w:t xml:space="preserve">relata</w:t>
      </w:r>
      <w:r>
        <w:t xml:space="preserve"> </w:t>
      </w:r>
      <w:r>
        <w:t xml:space="preserve">of consequence not as propositions or their contents, but as the referents of terms.</w:t>
      </w:r>
      <w:r>
        <w:rPr>
          <w:rStyle w:val="FootnoteReference"/>
        </w:rPr>
        <w:footnoteReference w:id="54"/>
      </w:r>
      <w:r>
        <w:t xml:space="preserve"> </w:t>
      </w:r>
      <w:r>
        <w:t xml:space="preserve">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w:t>
      </w:r>
      <w:r>
        <w:t xml:space="preserve"> </w:t>
      </w:r>
      <w:r>
        <w:t xml:space="preserve">‘</w:t>
      </w:r>
      <w:r>
        <w:t xml:space="preserve">if the pilot of a ship should not be chosen by lot, neither should the governor of a city</w:t>
      </w:r>
      <w:r>
        <w:t xml:space="preserve">’</w:t>
      </w:r>
      <w:r>
        <w:t xml:space="preserve"> </w:t>
      </w:r>
      <w:r>
        <w:t xml:space="preserve">- Boethius’ own example of an argument by analogy.</w:t>
      </w:r>
      <w:r>
        <w:rPr>
          <w:rStyle w:val="FootnoteReference"/>
        </w:rPr>
        <w:footnoteReference w:id="55"/>
      </w:r>
      <w:r>
        <w:t xml:space="preserve"> </w:t>
      </w:r>
      <w:r>
        <w:t xml:space="preserve">Crucially, though Boethius discusses a wide variety of middle and extrinsic topics with illuminating examples in his topical works, the less cohesive treatment he gives these does not fit naturally into the division of inferences he fleshes out in the</w:t>
      </w:r>
      <w:r>
        <w:t xml:space="preserve"> </w:t>
      </w:r>
      <w:r>
        <w:rPr>
          <w:i/>
        </w:rPr>
        <w:t xml:space="preserve">On Hypothetical Syllogisms</w:t>
      </w:r>
      <w:r>
        <w:t xml:space="preserve">.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pPr>
      <w:bookmarkStart w:id="56" w:name="X929f9b1c647d2e48e079c53dcb8b6eba2c6cd31"/>
      <w:r>
        <w:t xml:space="preserve">Medieval consequence and the theory of supposition</w:t>
      </w:r>
      <w:bookmarkEnd w:id="56"/>
    </w:p>
    <w:p>
      <w:pPr>
        <w:pStyle w:val="Heading2"/>
      </w:pPr>
      <w:bookmarkStart w:id="57" w:name="X69e353d37757516ca02a25cb370bbde90340933"/>
      <w:r>
        <w:t xml:space="preserve">Canonical supposition theory: Ockham and Buridan</w:t>
      </w:r>
      <w:bookmarkEnd w:id="57"/>
    </w:p>
    <w:p>
      <w:pPr>
        <w:pStyle w:val="FirstParagraph"/>
      </w:pPr>
      <w:r>
        <w:t xml:space="preserve">By the time the earliest treatises on consequences appear at the turn of the fourteenth century, the use of topics in discussions of consequence has been altered by the development of</w:t>
      </w:r>
      <w:r>
        <w:t xml:space="preserve"> </w:t>
      </w:r>
      <w:r>
        <w:rPr>
          <w:i/>
        </w:rPr>
        <w:t xml:space="preserve">supposition theory</w:t>
      </w:r>
      <w:r>
        <w:t xml:space="preserve">. Supposition theory plays a role in medieval logic roughly analogous to that played by theories of reference today, but the medieval theory is better understood as a theory governing the interpretation of terms in propositional contexts.</w:t>
      </w:r>
      <w:r>
        <w:rPr>
          <w:rStyle w:val="FootnoteReference"/>
        </w:rPr>
        <w:footnoteReference w:id="58"/>
      </w:r>
    </w:p>
    <w:p>
      <w:pPr>
        <w:pStyle w:val="BodyText"/>
      </w:pPr>
      <w:r>
        <w:t xml:space="preserve">On one of the best known accounts, that of William of Ockham, supposition divides into three types: simple, material, and personal.</w:t>
      </w:r>
      <w:r>
        <w:rPr>
          <w:rStyle w:val="FootnoteReference"/>
        </w:rPr>
        <w:footnoteReference w:id="59"/>
      </w:r>
      <w:r>
        <w:t xml:space="preserve"> </w:t>
      </w:r>
      <w:r>
        <w:t xml:space="preserve">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w:t>
      </w:r>
      <w:r>
        <w:t xml:space="preserve"> </w:t>
      </w:r>
      <w:r>
        <w:rPr>
          <w:i/>
        </w:rPr>
        <w:t xml:space="preserve">individuals</w:t>
      </w:r>
      <w:r>
        <w:t xml:space="preserve">.</w:t>
      </w:r>
      <w:r>
        <w:rPr>
          <w:rStyle w:val="FootnoteReference"/>
        </w:rPr>
        <w:footnoteReference w:id="60"/>
      </w:r>
    </w:p>
    <w:p>
      <w:pPr>
        <w:pStyle w:val="BodyText"/>
      </w:pPr>
      <w:r>
        <w:t xml:space="preserve">On these accounts, determinate supposition of a term able to stand for several individuals is interpreted in terms of the ability to descend</w:t>
      </w:r>
      <w:r>
        <w:t xml:space="preserve"> </w:t>
      </w:r>
      <w:r>
        <w:rPr>
          <w:i/>
        </w:rPr>
        <w:t xml:space="preserve">salva veritate</w:t>
      </w:r>
      <w:r>
        <w:t xml:space="preserve"> </w:t>
      </w:r>
      <w:r>
        <w:t xml:space="preserve">from a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w:t>
      </w:r>
      <w:r>
        <w:rPr>
          <w:rStyle w:val="FootnoteReference"/>
        </w:rPr>
        <w:footnoteReference w:id="61"/>
      </w:r>
    </w:p>
    <w:p>
      <w:pPr>
        <w:pStyle w:val="BodyText"/>
      </w:pPr>
      <w:r>
        <w:t xml:space="preserve">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Reference"/>
        </w:rPr>
        <w:footnoteReference w:id="62"/>
      </w:r>
      <w:r>
        <w:t xml:space="preserve"> </w:t>
      </w:r>
      <w:r>
        <w:t xml:space="preserve">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w:t>
      </w:r>
      <w:r>
        <w:t xml:space="preserve"> </w:t>
      </w:r>
      <w:r>
        <w:t xml:space="preserve">‘</w:t>
      </w:r>
      <w:r>
        <w:t xml:space="preserve">topics</w:t>
      </w:r>
      <w:r>
        <w:t xml:space="preserve">’</w:t>
      </w:r>
      <w:r>
        <w:t xml:space="preserve"> </w:t>
      </w:r>
      <w:r>
        <w:t xml:space="preserve">actually appealed to in justifications of inference, with a vast number of inferences justified by rules like</w:t>
      </w:r>
      <w:r>
        <w:t xml:space="preserve"> </w:t>
      </w:r>
      <w:r>
        <w:rPr>
          <w:i/>
        </w:rPr>
        <w:t xml:space="preserve">from an undistributed inferior to superior</w:t>
      </w:r>
      <w:r>
        <w:t xml:space="preserve"> </w:t>
      </w:r>
      <w:r>
        <w:t xml:space="preserve">and</w:t>
      </w:r>
      <w:r>
        <w:t xml:space="preserve"> </w:t>
      </w:r>
      <w:r>
        <w:rPr>
          <w:i/>
        </w:rPr>
        <w:t xml:space="preserve">from a distributed superior to a distributed inferior</w:t>
      </w:r>
      <w:r>
        <w:t xml:space="preserve">.</w:t>
      </w:r>
      <w:r>
        <w:rPr>
          <w:rStyle w:val="FootnoteReference"/>
        </w:rPr>
        <w:footnoteReference w:id="63"/>
      </w:r>
    </w:p>
    <w:p>
      <w:pPr>
        <w:pStyle w:val="Heading2"/>
      </w:pPr>
      <w:bookmarkStart w:id="64" w:name="Xc34201a822006b0e74427fc7f2ec56646c1c0d4"/>
      <w:r>
        <w:t xml:space="preserve">Supposition theory in two early British</w:t>
      </w:r>
      <w:r>
        <w:t xml:space="preserve"> </w:t>
      </w:r>
      <w:r>
        <w:rPr>
          <w:i/>
        </w:rPr>
        <w:t xml:space="preserve">De consequentiis</w:t>
      </w:r>
      <w:bookmarkEnd w:id="64"/>
    </w:p>
    <w:p>
      <w:pPr>
        <w:pStyle w:val="FirstParagraph"/>
      </w:pPr>
      <w:r>
        <w:t xml:space="preserve">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w:t>
      </w:r>
      <w:r>
        <w:t xml:space="preserve"> </w:t>
      </w:r>
      <w:r>
        <w:t xml:space="preserve">‘</w:t>
      </w:r>
      <w:r>
        <w:t xml:space="preserve">man</w:t>
      </w:r>
      <w:r>
        <w:t xml:space="preserve">’</w:t>
      </w:r>
      <w:r>
        <w:t xml:space="preserve"> </w:t>
      </w:r>
      <w:r>
        <w:t xml:space="preserve">and</w:t>
      </w:r>
      <w:r>
        <w:t xml:space="preserve"> </w:t>
      </w:r>
      <w:r>
        <w:t xml:space="preserve">‘</w:t>
      </w:r>
      <w:r>
        <w:t xml:space="preserve">risible</w:t>
      </w:r>
      <w:r>
        <w:t xml:space="preserve">’</w:t>
      </w:r>
      <w:r>
        <w:t xml:space="preserve">, share the same supposita.</w:t>
      </w:r>
      <w:r>
        <w:rPr>
          <w:rStyle w:val="FootnoteReference"/>
        </w:rPr>
        <w:footnoteReference w:id="65"/>
      </w:r>
      <w:r>
        <w:t xml:space="preserve"> </w:t>
      </w:r>
      <w:r>
        <w:t xml:space="preserve">The same pattern is found in Burley’s</w:t>
      </w:r>
      <w:r>
        <w:t xml:space="preserve"> </w:t>
      </w:r>
      <w:r>
        <w:rPr>
          <w:i/>
        </w:rPr>
        <w:t xml:space="preserve">de consequentiis</w:t>
      </w:r>
      <w:r>
        <w:t xml:space="preserve">. Consider, for instance, the following passage on exceptive propositions:</w:t>
      </w:r>
    </w:p>
    <w:p>
      <w:pPr>
        <w:pStyle w:val="BlockText"/>
      </w:pPr>
      <w:r>
        <w:t xml:space="preserve">With respect to the supposition of the predicate and subject in an exceptive, one should know that that from which the exception is taken or the subject of the exceptive, which are the same, always stands confusedly and immovably with respect to the exception, and movably with respect to the predicate. With respect to the exception it stands immovably, because it is not possible to descend with respect to it; hence</w:t>
      </w:r>
      <w:r>
        <w:t xml:space="preserve"> </w:t>
      </w:r>
      <w:r>
        <w:t xml:space="preserve">‘</w:t>
      </w:r>
      <w:r>
        <w:t xml:space="preserve">every man besides Socrates runs, therefore Plato besides Socrates runs</w:t>
      </w:r>
      <w:r>
        <w:t xml:space="preserve">’</w:t>
      </w:r>
      <w:r>
        <w:t xml:space="preserve"> </w:t>
      </w:r>
      <w:r>
        <w:t xml:space="preserve">does not follow. With respect to the predicate it is possible to descend, since every man besides Socrates runs, therefore Plato runs, and so on for singulars.’</w:t>
      </w:r>
      <w:r>
        <w:rPr>
          <w:rStyle w:val="FootnoteReference"/>
        </w:rPr>
        <w:footnoteReference w:id="66"/>
      </w:r>
      <w:r>
        <w:t xml:space="preserve">.</w:t>
      </w:r>
    </w:p>
    <w:p>
      <w:pPr>
        <w:pStyle w:val="FirstParagraph"/>
      </w:pPr>
      <w:r>
        <w:t xml:space="preserve">This passage also makes clear that the supposition of a term is given relative to another term or terms which are held fixed. Thus, unlike its reference on modern accounts, a term’s supposition may differ based on what terms it is being considered with respect to.</w:t>
      </w:r>
    </w:p>
    <w:p>
      <w:pPr>
        <w:pStyle w:val="Heading2"/>
      </w:pPr>
      <w:bookmarkStart w:id="67" w:name="X04eabb53a87c6fa4a2fa72048b81852fbe7f8a2"/>
      <w:r>
        <w:t xml:space="preserve">An alternative reading of personal supposition in the Parisian</w:t>
      </w:r>
      <w:r>
        <w:t xml:space="preserve"> </w:t>
      </w:r>
      <w:r>
        <w:rPr>
          <w:i/>
        </w:rPr>
        <w:t xml:space="preserve">De consequentiis</w:t>
      </w:r>
      <w:bookmarkEnd w:id="67"/>
    </w:p>
    <w:p>
      <w:pPr>
        <w:pStyle w:val="FirstParagraph"/>
      </w:pPr>
      <w:r>
        <w:t xml:space="preserve">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w:t>
      </w:r>
      <w:r>
        <w:t xml:space="preserve"> </w:t>
      </w:r>
      <w:r>
        <w:t xml:space="preserve">‘</w:t>
      </w:r>
      <w:r>
        <w:t xml:space="preserve">supposition</w:t>
      </w:r>
      <w:r>
        <w:t xml:space="preserve">’</w:t>
      </w:r>
      <w:r>
        <w:t xml:space="preserve"> </w:t>
      </w:r>
      <w:r>
        <w:t xml:space="preserve">is mentioned one finds that what a term is taken to supposit for is not individuals, but a concept under it. Consider, for instance, the following:</w:t>
      </w:r>
    </w:p>
    <w:p>
      <w:pPr>
        <w:pStyle w:val="BlockText"/>
      </w:pPr>
      <w:r>
        <w:t xml:space="preserve">I show the consequence</w:t>
      </w:r>
      <w:r>
        <w:t xml:space="preserve"> </w:t>
      </w:r>
      <w:r>
        <w:t xml:space="preserve">‘</w:t>
      </w:r>
      <w:r>
        <w:t xml:space="preserve">a man is a white man, therefore a man is white</w:t>
      </w:r>
      <w:r>
        <w:t xml:space="preserve">’</w:t>
      </w:r>
      <w:r>
        <w:t xml:space="preserve"> </w:t>
      </w:r>
      <w:r>
        <w:t xml:space="preserve">by this rule: positing</w:t>
      </w:r>
      <w:r>
        <w:t xml:space="preserve"> </w:t>
      </w:r>
      <w:r>
        <w:rPr>
          <w:i/>
        </w:rPr>
        <w:t xml:space="preserve">per accidens</w:t>
      </w:r>
      <w:r>
        <w:t xml:space="preserve">, also posits per se. But</w:t>
      </w:r>
      <w:r>
        <w:t xml:space="preserve"> </w:t>
      </w:r>
      <w:r>
        <w:t xml:space="preserve">‘</w:t>
      </w:r>
      <w:r>
        <w:t xml:space="preserve">white man</w:t>
      </w:r>
      <w:r>
        <w:t xml:space="preserve">’</w:t>
      </w:r>
      <w:r>
        <w:t xml:space="preserve"> </w:t>
      </w:r>
      <w:r>
        <w:t xml:space="preserve">is a suppositum</w:t>
      </w:r>
      <w:r>
        <w:t xml:space="preserve"> </w:t>
      </w:r>
      <w:r>
        <w:rPr>
          <w:i/>
        </w:rPr>
        <w:t xml:space="preserve">per accidens</w:t>
      </w:r>
      <w:r>
        <w:t xml:space="preserve"> </w:t>
      </w:r>
      <w:r>
        <w:t xml:space="preserve">of something. With respect to the same,</w:t>
      </w:r>
      <w:r>
        <w:t xml:space="preserve"> </w:t>
      </w:r>
      <w:r>
        <w:t xml:space="preserve">‘</w:t>
      </w:r>
      <w:r>
        <w:t xml:space="preserve">white</w:t>
      </w:r>
      <w:r>
        <w:t xml:space="preserve">’</w:t>
      </w:r>
      <w:r>
        <w:t xml:space="preserve"> </w:t>
      </w:r>
      <w:r>
        <w:t xml:space="preserve">is also posited.</w:t>
      </w:r>
      <w:r>
        <w:rPr>
          <w:rStyle w:val="FootnoteReference"/>
        </w:rPr>
        <w:footnoteReference w:id="68"/>
      </w:r>
    </w:p>
    <w:p>
      <w:pPr>
        <w:pStyle w:val="FirstParagraph"/>
      </w:pPr>
      <w:r>
        <w:t xml:space="preserve">As we can see, what is taken to supposit here is not individual white men, but the term or concept</w:t>
      </w:r>
      <w:r>
        <w:t xml:space="preserve"> </w:t>
      </w:r>
      <w:r>
        <w:t xml:space="preserve">‘</w:t>
      </w:r>
      <w:r>
        <w:t xml:space="preserve">white man</w:t>
      </w:r>
      <w:r>
        <w:t xml:space="preserve">’</w:t>
      </w:r>
      <w:r>
        <w:t xml:space="preserve">, which is</w:t>
      </w:r>
      <w:r>
        <w:t xml:space="preserve"> </w:t>
      </w:r>
      <w:r>
        <w:t xml:space="preserve">‘</w:t>
      </w:r>
      <w:r>
        <w:t xml:space="preserve">placed under</w:t>
      </w:r>
      <w:r>
        <w:t xml:space="preserve">’</w:t>
      </w:r>
      <w:r>
        <w:t xml:space="preserve"> </w:t>
      </w:r>
      <w:r>
        <w:t xml:space="preserve">the concept</w:t>
      </w:r>
      <w:r>
        <w:t xml:space="preserve"> </w:t>
      </w:r>
      <w:r>
        <w:t xml:space="preserve">‘</w:t>
      </w:r>
      <w:r>
        <w:t xml:space="preserve">man</w:t>
      </w:r>
      <w:r>
        <w:t xml:space="preserve">’</w:t>
      </w:r>
      <w:r>
        <w:t xml:space="preserve">.</w:t>
      </w:r>
    </w:p>
    <w:p>
      <w:pPr>
        <w:pStyle w:val="BodyText"/>
      </w:pPr>
      <w:r>
        <w:t xml:space="preserve">Furthermore, the dominant division of supposition in the treatise is not that between material, simple, and personal, but that between</w:t>
      </w:r>
      <w:r>
        <w:t xml:space="preserve"> </w:t>
      </w:r>
      <w:r>
        <w:rPr>
          <w:i/>
        </w:rPr>
        <w:t xml:space="preserve">per se</w:t>
      </w:r>
      <w:r>
        <w:t xml:space="preserve"> </w:t>
      </w:r>
      <w:r>
        <w:t xml:space="preserve">and accidental. The text explains the notion of</w:t>
      </w:r>
      <w:r>
        <w:t xml:space="preserve"> </w:t>
      </w:r>
      <w:r>
        <w:rPr>
          <w:i/>
        </w:rPr>
        <w:t xml:space="preserve">per accidens</w:t>
      </w:r>
      <w:r>
        <w:t xml:space="preserve"> </w:t>
      </w:r>
      <w:r>
        <w:t xml:space="preserve">supposition as follows:</w:t>
      </w:r>
    </w:p>
    <w:p>
      <w:pPr>
        <w:pStyle w:val="BlockText"/>
      </w:pPr>
      <w:r>
        <w:t xml:space="preserve">And [those] placed under</w:t>
      </w:r>
      <w:r>
        <w:t xml:space="preserve"> </w:t>
      </w:r>
      <w:r>
        <w:rPr>
          <w:i/>
        </w:rPr>
        <w:t xml:space="preserve">per accidens</w:t>
      </w:r>
      <w:r>
        <w:t xml:space="preserve"> </w:t>
      </w:r>
      <w:r>
        <w:t xml:space="preserve">are those that are combined out of two inhering in each other contingently, as white man is combined</w:t>
      </w:r>
      <w:r>
        <w:t xml:space="preserve"> </w:t>
      </w:r>
      <w:r>
        <w:rPr>
          <w:i/>
        </w:rPr>
        <w:t xml:space="preserve">per accidens</w:t>
      </w:r>
      <w:r>
        <w:t xml:space="preserve"> </w:t>
      </w:r>
      <w:r>
        <w:t xml:space="preserve">because it is put together out of man and white, which inhere in each other contingently. So</w:t>
      </w:r>
      <w:r>
        <w:t xml:space="preserve"> </w:t>
      </w:r>
      <w:r>
        <w:t xml:space="preserve">‘</w:t>
      </w:r>
      <w:r>
        <w:t xml:space="preserve">a man is a white man</w:t>
      </w:r>
      <w:r>
        <w:t xml:space="preserve">’</w:t>
      </w:r>
      <w:r>
        <w:t xml:space="preserve">, etc. is contingent. This is contingent, and its equivalents (</w:t>
      </w:r>
      <w:r>
        <w:rPr>
          <w:i/>
        </w:rPr>
        <w:t xml:space="preserve">convertibilia</w:t>
      </w:r>
      <w:r>
        <w:t xml:space="preserve">) are contingent, because in all of these a superior is assumed of a</w:t>
      </w:r>
      <w:r>
        <w:t xml:space="preserve"> </w:t>
      </w:r>
      <w:r>
        <w:rPr>
          <w:i/>
        </w:rPr>
        <w:t xml:space="preserve">per accidens</w:t>
      </w:r>
      <w:r>
        <w:t xml:space="preserve"> </w:t>
      </w:r>
      <w:r>
        <w:t xml:space="preserve">inferior (since whatever is constituted by an addition with respect to another is inferior to it. Thus,</w:t>
      </w:r>
      <w:r>
        <w:t xml:space="preserve"> </w:t>
      </w:r>
      <w:r>
        <w:t xml:space="preserve">‘</w:t>
      </w:r>
      <w:r>
        <w:t xml:space="preserve">white man</w:t>
      </w:r>
      <w:r>
        <w:t xml:space="preserve">’</w:t>
      </w:r>
      <w:r>
        <w:t xml:space="preserve"> </w:t>
      </w:r>
      <w:r>
        <w:t xml:space="preserve">is inferior to</w:t>
      </w:r>
      <w:r>
        <w:t xml:space="preserve"> </w:t>
      </w:r>
      <w:r>
        <w:t xml:space="preserve">‘</w:t>
      </w:r>
      <w:r>
        <w:t xml:space="preserve">man</w:t>
      </w:r>
      <w:r>
        <w:t xml:space="preserve">’</w:t>
      </w:r>
      <w:r>
        <w:t xml:space="preserve"> </w:t>
      </w:r>
      <w:r>
        <w:t xml:space="preserve">and</w:t>
      </w:r>
      <w:r>
        <w:t xml:space="preserve"> </w:t>
      </w:r>
      <w:r>
        <w:t xml:space="preserve">‘</w:t>
      </w:r>
      <w:r>
        <w:t xml:space="preserve">white</w:t>
      </w:r>
      <w:r>
        <w:t xml:space="preserve">’</w:t>
      </w:r>
      <w:r>
        <w:t xml:space="preserve">).</w:t>
      </w:r>
      <w:r>
        <w:rPr>
          <w:rStyle w:val="FootnoteReference"/>
        </w:rPr>
        <w:footnoteReference w:id="69"/>
      </w:r>
    </w:p>
    <w:p>
      <w:pPr>
        <w:pStyle w:val="FirstParagraph"/>
      </w:pPr>
      <w:r>
        <w:t xml:space="preserve">Here, the supposita themselves are not individuals, but forms or concepts.</w:t>
      </w:r>
    </w:p>
    <w:p>
      <w:pPr>
        <w:pStyle w:val="Heading2"/>
      </w:pPr>
      <w:bookmarkStart w:id="70" w:name="X0ee9b8ea25d3e347848ecf764162de6d31f57e3"/>
      <w:r>
        <w:t xml:space="preserve">Supposition in Burley’s</w:t>
      </w:r>
      <w:r>
        <w:t xml:space="preserve"> </w:t>
      </w:r>
      <w:r>
        <w:rPr>
          <w:i/>
        </w:rPr>
        <w:t xml:space="preserve">On the Core of the Art of Logic</w:t>
      </w:r>
      <w:bookmarkEnd w:id="70"/>
    </w:p>
    <w:p>
      <w:pPr>
        <w:pStyle w:val="FirstParagraph"/>
      </w:pPr>
      <w:r>
        <w:t xml:space="preserve">Walter Burley’s</w:t>
      </w:r>
      <w:r>
        <w:t xml:space="preserve"> </w:t>
      </w:r>
      <w:r>
        <w:rPr>
          <w:i/>
        </w:rPr>
        <w:t xml:space="preserve">On the Core of the Art of Logic</w:t>
      </w:r>
      <w:r>
        <w:t xml:space="preserve">, which exists in both a shorter and a longer version, contains both of the above approaches to personal supposition,</w:t>
      </w:r>
      <w:r>
        <w:rPr>
          <w:rStyle w:val="FootnoteReference"/>
        </w:rPr>
        <w:footnoteReference w:id="71"/>
      </w:r>
      <w:r>
        <w:t xml:space="preserve"> </w:t>
      </w:r>
      <w:r>
        <w:t xml:space="preserve">Burley gives an example of the first in the</w:t>
      </w:r>
      <w:r>
        <w:t xml:space="preserve"> </w:t>
      </w:r>
      <w:r>
        <w:rPr>
          <w:i/>
        </w:rPr>
        <w:t xml:space="preserve">Shorter Treatise</w:t>
      </w:r>
      <w:r>
        <w:t xml:space="preserve"> </w:t>
      </w:r>
      <w:r>
        <w:t xml:space="preserve">where, in his fifth principal rule for consequences, he describes suppositional descent as licensing a descent from genus to species:</w:t>
      </w:r>
    </w:p>
    <w:p>
      <w:pPr>
        <w:pStyle w:val="BlockText"/>
      </w:pPr>
      <w:r>
        <w:t xml:space="preserve">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Reference"/>
        </w:rPr>
        <w:footnoteReference w:id="73"/>
      </w:r>
    </w:p>
    <w:p>
      <w:pPr>
        <w:pStyle w:val="FirstParagraph"/>
      </w:pPr>
      <w:r>
        <w:t xml:space="preserve">The key to this understanding of personal supposition is found in Burley’s introduction of the notion in the</w:t>
      </w:r>
      <w:r>
        <w:t xml:space="preserve"> </w:t>
      </w:r>
      <w:r>
        <w:rPr>
          <w:i/>
        </w:rPr>
        <w:t xml:space="preserve">Longer Treatise</w:t>
      </w:r>
      <w:r>
        <w:t xml:space="preserve">, where he treats it as a division of</w:t>
      </w:r>
      <w:r>
        <w:t xml:space="preserve"> </w:t>
      </w:r>
      <w:r>
        <w:rPr>
          <w:i/>
        </w:rPr>
        <w:t xml:space="preserve">suppositio formalis</w:t>
      </w:r>
      <w:r>
        <w:t xml:space="preserve">.</w:t>
      </w:r>
      <w:r>
        <w:rPr>
          <w:rStyle w:val="FootnoteReference"/>
        </w:rPr>
        <w:footnoteReference w:id="74"/>
      </w:r>
      <w:r>
        <w:t xml:space="preserve"> </w:t>
      </w:r>
      <w:r>
        <w:t xml:space="preserve">Burley writes</w:t>
      </w:r>
    </w:p>
    <w:p>
      <w:pPr>
        <w:pStyle w:val="BlockText"/>
      </w:pPr>
      <w:r>
        <w:t xml:space="preserve">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Reference"/>
        </w:rPr>
        <w:footnoteReference w:id="75"/>
      </w:r>
    </w:p>
    <w:p>
      <w:pPr>
        <w:pStyle w:val="FirstParagraph"/>
      </w:pPr>
      <w:r>
        <w:t xml:space="preserve">Burley continues:</w:t>
      </w:r>
    </w:p>
    <w:p>
      <w:pPr>
        <w:pStyle w:val="BlockText"/>
      </w:pPr>
      <w:r>
        <w:t xml:space="preserve">Personal supposition is when a common term supposits for its inferiors,</w:t>
      </w:r>
      <w:r>
        <w:t xml:space="preserve"> </w:t>
      </w:r>
      <w:r>
        <w:rPr>
          <w:i/>
        </w:rPr>
        <w:t xml:space="preserve">whether those inferiors be singular or common, whether they be things or words</w:t>
      </w:r>
      <w:r>
        <w:t xml:space="preserve">, or when a concrete accidental term or a composite term supposits for that of which it is predicated accidentally.</w:t>
      </w:r>
      <w:r>
        <w:rPr>
          <w:rStyle w:val="FootnoteReference"/>
        </w:rPr>
        <w:footnoteReference w:id="76"/>
      </w:r>
    </w:p>
    <w:p>
      <w:pPr>
        <w:pStyle w:val="FirstParagraph"/>
      </w:pPr>
      <w:r>
        <w:t xml:space="preserve">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w:t>
      </w:r>
      <w:r>
        <w:t xml:space="preserve"> </w:t>
      </w:r>
      <w:r>
        <w:t xml:space="preserve">‘</w:t>
      </w:r>
      <w:r>
        <w:t xml:space="preserve">a man is white, therefore a man is a white man</w:t>
      </w:r>
      <w:r>
        <w:t xml:space="preserve">’</w:t>
      </w:r>
      <w:r>
        <w:t xml:space="preserve">. The account thus appears to better capture uses of personal supposition in ascents and descents in the earliest treatises on consequences.</w:t>
      </w:r>
    </w:p>
    <w:p>
      <w:pPr>
        <w:pStyle w:val="BodyText"/>
      </w:pPr>
      <w:r>
        <w:t xml:space="preserve">One might ask whether the account of supposition found in Burley’s</w:t>
      </w:r>
      <w:r>
        <w:t xml:space="preserve"> </w:t>
      </w:r>
      <w:r>
        <w:rPr>
          <w:i/>
        </w:rPr>
        <w:t xml:space="preserve">On the Core of the Art of Logic</w:t>
      </w:r>
      <w:r>
        <w:t xml:space="preserve"> </w:t>
      </w:r>
      <w:r>
        <w:t xml:space="preserve">and the anonymous Paris treatise demands a more extensive ontological foundation than that of Ockham or Buridan. Burley himself provides an emphatic</w:t>
      </w:r>
      <w:r>
        <w:t xml:space="preserve"> </w:t>
      </w:r>
      <w:r>
        <w:t xml:space="preserve">‘</w:t>
      </w:r>
      <w:r>
        <w:t xml:space="preserve">no</w:t>
      </w:r>
      <w:r>
        <w:t xml:space="preserve">’</w:t>
      </w:r>
      <w:r>
        <w:t xml:space="preserve">. Discussing the supposition of</w:t>
      </w:r>
      <w:r>
        <w:t xml:space="preserve"> </w:t>
      </w:r>
      <w:r>
        <w:t xml:space="preserve">‘</w:t>
      </w:r>
      <w:r>
        <w:t xml:space="preserve">man</w:t>
      </w:r>
      <w:r>
        <w:t xml:space="preserve">’</w:t>
      </w:r>
      <w:r>
        <w:t xml:space="preserve"> </w:t>
      </w:r>
      <w:r>
        <w:t xml:space="preserve">in the sentence</w:t>
      </w:r>
      <w:r>
        <w:t xml:space="preserve"> </w:t>
      </w:r>
      <w:r>
        <w:t xml:space="preserve">‘</w:t>
      </w:r>
      <w:r>
        <w:t xml:space="preserve">Man is a species</w:t>
      </w:r>
      <w:r>
        <w:t xml:space="preserve">’</w:t>
      </w:r>
      <w:r>
        <w:t xml:space="preserve">, Burley remarks,</w:t>
      </w:r>
      <w:r>
        <w:t xml:space="preserve"> </w:t>
      </w:r>
      <w:r>
        <w:t xml:space="preserve">‘</w:t>
      </w:r>
      <w:r>
        <w:rPr>
          <w:i/>
        </w:rPr>
        <w:t xml:space="preserve">I don’t care at present</w:t>
      </w:r>
      <w:r>
        <w:t xml:space="preserve"> </w:t>
      </w:r>
      <w:r>
        <w:t xml:space="preserve">whether it [i.e.</w:t>
      </w:r>
      <w:r>
        <w:t xml:space="preserve"> </w:t>
      </w:r>
      <w:r>
        <w:t xml:space="preserve">‘</w:t>
      </w:r>
      <w:r>
        <w:t xml:space="preserve">man</w:t>
      </w:r>
      <w:r>
        <w:t xml:space="preserve">’</w:t>
      </w:r>
      <w:r>
        <w:t xml:space="preserve">] is a common thing outside of the soul or it is a concept; it suffices merely that that which the name primarily signifies is a species.</w:t>
      </w:r>
      <w:r>
        <w:t xml:space="preserve">’</w:t>
      </w:r>
      <w:r>
        <w:rPr>
          <w:rStyle w:val="FootnoteReference"/>
        </w:rPr>
        <w:footnoteReference w:id="77"/>
      </w:r>
      <w:r>
        <w:t xml:space="preserve"> </w:t>
      </w:r>
      <w:r>
        <w:t xml:space="preserve">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pPr>
      <w:bookmarkStart w:id="78" w:name="conclusion"/>
      <w:r>
        <w:t xml:space="preserve">Conclusion</w:t>
      </w:r>
      <w:bookmarkEnd w:id="78"/>
    </w:p>
    <w:p>
      <w:pPr>
        <w:pStyle w:val="FirstParagraph"/>
      </w:pPr>
      <w:r>
        <w:t xml:space="preserve">In the preceding, we’ve detailed two changes in the foundations of logic that ultimately affect our understanding of the nature of the discipline as such.</w:t>
      </w:r>
    </w:p>
    <w:p>
      <w:pPr>
        <w:pStyle w:val="BodyText"/>
      </w:pPr>
      <w:r>
        <w:t xml:space="preserve">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BodyText"/>
      </w:pPr>
      <w:r>
        <w:t xml:space="preserve">At the time of the earliest</w:t>
      </w:r>
      <w:r>
        <w:t xml:space="preserve"> </w:t>
      </w:r>
      <w:r>
        <w:rPr>
          <w:i/>
        </w:rPr>
        <w:t xml:space="preserve">consequentiae</w:t>
      </w:r>
      <w: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w:t>
      </w:r>
      <w:r>
        <w:t xml:space="preserve"> </w:t>
      </w:r>
      <w:r>
        <w:rPr>
          <w:i/>
        </w:rPr>
        <w:t xml:space="preserve">De consequentiis</w:t>
      </w:r>
      <w:r>
        <w:t xml:space="preserve">, both readings are explicitly found in Burley’s logic, and the latter is the only variety explicitly invoked in an early anonymous Parisian treatise on consequences.</w:t>
      </w:r>
    </w:p>
    <w:p>
      <w:pPr>
        <w:pStyle w:val="BodyText"/>
      </w:pPr>
      <w:r>
        <w:t xml:space="preserve">We can now see, then, that Ockham’s restriction of personal supposition to exclusively refer to individuals, which today remains the dominant interpretation of</w:t>
      </w:r>
      <w:r>
        <w:t xml:space="preserve"> </w:t>
      </w:r>
      <w:r>
        <w:rPr>
          <w:i/>
        </w:rPr>
        <w:t xml:space="preserve">all</w:t>
      </w:r>
      <w:r>
        <w:t xml:space="preserve"> </w:t>
      </w:r>
      <w:r>
        <w:t xml:space="preserve">theories of personal supposition in the secondary literature, was more novel than hitherto recognized.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w:t>
      </w:r>
      <w:r>
        <w:t xml:space="preserve"> </w:t>
      </w:r>
      <w:r>
        <w:rPr>
          <w:i/>
        </w:rPr>
        <w:t xml:space="preserve">more</w:t>
      </w:r>
      <w:r>
        <w:t xml:space="preserve"> </w:t>
      </w:r>
      <w:r>
        <w:t xml:space="preserve">metaphysical than that of Burley and his predecessors: where Burley’s was consistent with, but did not require realism, Ockham’s built a decision on the metaphysical foundations of logic directly into his work.</w:t>
      </w:r>
      <w:r>
        <w:rPr>
          <w:rStyle w:val="FootnoteReference"/>
        </w:rPr>
        <w:footnoteReference w:id="79"/>
      </w:r>
      <w:r>
        <w:t xml:space="preserve"> </w:t>
      </w:r>
      <w:r>
        <w:t xml:space="preserve">And it seems to be this decision, if any, that sets the stage not only for the defects of nominalism, but also for the rise of</w:t>
      </w:r>
      <w:r>
        <w:t xml:space="preserve"> </w:t>
      </w:r>
      <w:r>
        <w:t xml:space="preserve">‘</w:t>
      </w:r>
      <w:r>
        <w:t xml:space="preserve">extreme realism</w:t>
      </w:r>
      <w:r>
        <w:t xml:space="preserve">’</w:t>
      </w:r>
      <w:r>
        <w:t xml:space="preserve"> </w:t>
      </w:r>
      <w:r>
        <w:t xml:space="preserve">to counter it.</w:t>
      </w:r>
    </w:p>
    <w:p>
      <w:pPr>
        <w:pStyle w:val="BodyText"/>
      </w:pPr>
      <w:r>
        <w:t xml:space="preserve">Furthermore, in changing the account of supposition, Ockham also necessarily modified that of the theory of consequence which depended on it. By the time Ockham’s theory arises, the commonly accepted grounds of consequence have already shed much of the diversity found in the earlier theory of Boethius. In dealing the final blow to a more diverse approach to the ultimate grounds of inference, Ockham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bookmarkStart w:id="127" w:name="refs"/>
    <w:bookmarkStart w:id="80" w:name="ref-Archambault2018a"/>
    <w:p>
      <w:pPr>
        <w:pStyle w:val="Bibliography"/>
      </w:pPr>
      <w:r>
        <w:t xml:space="preserve">Archambault, Jacob. “Introduction: Consequences in Medieval Logic.”</w:t>
      </w:r>
      <w:r>
        <w:t xml:space="preserve"> </w:t>
      </w:r>
      <w:r>
        <w:rPr>
          <w:i/>
        </w:rPr>
        <w:t xml:space="preserve">Vivarium</w:t>
      </w:r>
      <w:r>
        <w:t xml:space="preserve"> </w:t>
      </w:r>
      <w:r>
        <w:t xml:space="preserve">56, nos. 3-4 (2018): 201–21.</w:t>
      </w:r>
    </w:p>
    <w:bookmarkEnd w:id="80"/>
    <w:bookmarkStart w:id="81" w:name="ref-Archambault2017e"/>
    <w:p>
      <w:pPr>
        <w:pStyle w:val="Bibliography"/>
      </w:pPr>
      <w:r>
        <w:t xml:space="preserve">———. “Monotonic and Non-Monotonic Embeddings of Anselm’s Proof.”</w:t>
      </w:r>
      <w:r>
        <w:t xml:space="preserve"> </w:t>
      </w:r>
      <w:r>
        <w:rPr>
          <w:i/>
        </w:rPr>
        <w:t xml:space="preserve">Logica Universalis</w:t>
      </w:r>
      <w:r>
        <w:t xml:space="preserve"> </w:t>
      </w:r>
      <w:r>
        <w:t xml:space="preserve">11 (2017): 121–38.</w:t>
      </w:r>
    </w:p>
    <w:bookmarkEnd w:id="81"/>
    <w:bookmarkStart w:id="82" w:name="ref-Archambault2017d"/>
    <w:p>
      <w:pPr>
        <w:pStyle w:val="Bibliography"/>
      </w:pPr>
      <w:r>
        <w:t xml:space="preserve">———. “The Development of the Medieval Parisian Account of Formal Consequence.” PhD thesis, Fordham University, 2017.</w:t>
      </w:r>
    </w:p>
    <w:bookmarkEnd w:id="82"/>
    <w:bookmarkStart w:id="83" w:name="ref-BDT"/>
    <w:p>
      <w:pPr>
        <w:pStyle w:val="Bibliography"/>
      </w:pPr>
      <w:r>
        <w:t xml:space="preserve">Boethius. “De Differentiis Topicis.” In</w:t>
      </w:r>
      <w:r>
        <w:t xml:space="preserve"> </w:t>
      </w:r>
      <w:r>
        <w:rPr>
          <w:i/>
        </w:rPr>
        <w:t xml:space="preserve">Patrologia Cursus Completus. Series Latina</w:t>
      </w:r>
      <w:r>
        <w:t xml:space="preserve">, 64:1173B–1216D. Paris: J. P. Migne, n.d.</w:t>
      </w:r>
    </w:p>
    <w:bookmarkEnd w:id="83"/>
    <w:bookmarkStart w:id="84" w:name="ref-BHS"/>
    <w:p>
      <w:pPr>
        <w:pStyle w:val="Bibliography"/>
      </w:pPr>
      <w:r>
        <w:t xml:space="preserve">———.</w:t>
      </w:r>
      <w:r>
        <w:t xml:space="preserve"> </w:t>
      </w:r>
      <w:r>
        <w:rPr>
          <w:i/>
        </w:rPr>
        <w:t xml:space="preserve">De Hypotheticis Syllogismis</w:t>
      </w:r>
      <w:r>
        <w:t xml:space="preserve">. Edited by L. Obertello. Brescia: Paideia, 1969.</w:t>
      </w:r>
    </w:p>
    <w:bookmarkEnd w:id="84"/>
    <w:bookmarkStart w:id="85" w:name="ref-Bosman2018"/>
    <w:p>
      <w:pPr>
        <w:pStyle w:val="Bibliography"/>
      </w:pPr>
      <w:r>
        <w:t xml:space="preserve">Bosman, Bianca. “The Roots of the Notion of Containment in Theories of Consequence: Boethius on Topics, Containment, and Consequences.”</w:t>
      </w:r>
      <w:r>
        <w:t xml:space="preserve"> </w:t>
      </w:r>
      <w:r>
        <w:rPr>
          <w:i/>
        </w:rPr>
        <w:t xml:space="preserve">Vivarium</w:t>
      </w:r>
      <w:r>
        <w:t xml:space="preserve"> </w:t>
      </w:r>
      <w:r>
        <w:t xml:space="preserve">56, nos. 3-4 (2018): 222–40.</w:t>
      </w:r>
    </w:p>
    <w:bookmarkEnd w:id="85"/>
    <w:bookmarkStart w:id="86" w:name="ref-DutilhNovaes2008b"/>
    <w:p>
      <w:pPr>
        <w:pStyle w:val="Bibliography"/>
      </w:pPr>
      <w:r>
        <w:t xml:space="preserve">Dutilh Novaes, Catarina. “An Intensional Interpretation of Ockham’s Theory of Supposition.”</w:t>
      </w:r>
      <w:r>
        <w:t xml:space="preserve"> </w:t>
      </w:r>
      <w:r>
        <w:rPr>
          <w:i/>
        </w:rPr>
        <w:t xml:space="preserve">Journal of the History of Philosophy</w:t>
      </w:r>
      <w:r>
        <w:t xml:space="preserve"> </w:t>
      </w:r>
      <w:r>
        <w:t xml:space="preserve">46, no. 3 (2008): 365–93.</w:t>
      </w:r>
    </w:p>
    <w:bookmarkEnd w:id="86"/>
    <w:bookmarkStart w:id="87" w:name="ref-DutilhNovaes2012c"/>
    <w:p>
      <w:pPr>
        <w:pStyle w:val="Bibliography"/>
      </w:pPr>
      <w:r>
        <w:t xml:space="preserve">———.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339–54.</w:t>
      </w:r>
    </w:p>
    <w:bookmarkEnd w:id="87"/>
    <w:bookmarkStart w:id="88" w:name="ref-DutilhNovaes2011"/>
    <w:p>
      <w:pPr>
        <w:pStyle w:val="Bibliography"/>
      </w:pPr>
      <w:r>
        <w:t xml:space="preserve">———. “The Different Ways in Which Logic Is (Said to Be) Formal.”</w:t>
      </w:r>
      <w:r>
        <w:t xml:space="preserve"> </w:t>
      </w:r>
      <w:r>
        <w:rPr>
          <w:i/>
        </w:rPr>
        <w:t xml:space="preserve">History and Philosophy of Logic</w:t>
      </w:r>
      <w:r>
        <w:t xml:space="preserve"> </w:t>
      </w:r>
      <w:r>
        <w:t xml:space="preserve">32, no. 4 (2011): 303–32.</w:t>
      </w:r>
    </w:p>
    <w:bookmarkEnd w:id="88"/>
    <w:bookmarkStart w:id="89" w:name="ref-DutilhNovaes2007"/>
    <w:p>
      <w:pPr>
        <w:pStyle w:val="Bibliography"/>
      </w:pPr>
      <w:r>
        <w:t xml:space="preserve">———. “Theory of Supposition Vs. Theory of Fallacies in Ockham.”</w:t>
      </w:r>
      <w:r>
        <w:t xml:space="preserve"> </w:t>
      </w:r>
      <w:r>
        <w:rPr>
          <w:i/>
        </w:rPr>
        <w:t xml:space="preserve">Vivarium</w:t>
      </w:r>
      <w:r>
        <w:t xml:space="preserve"> </w:t>
      </w:r>
      <w:r>
        <w:t xml:space="preserve">45, nos. 2-3 (2007): 343–59.</w:t>
      </w:r>
    </w:p>
    <w:bookmarkEnd w:id="89"/>
    <w:bookmarkStart w:id="90" w:name="ref-Etchemendy2008"/>
    <w:p>
      <w:pPr>
        <w:pStyle w:val="Bibliography"/>
      </w:pPr>
      <w:r>
        <w:t xml:space="preserve">Etchemendy, John. “Reflections on Consequence.” In</w:t>
      </w:r>
      <w:r>
        <w:t xml:space="preserve"> </w:t>
      </w:r>
      <w:r>
        <w:rPr>
          <w:i/>
        </w:rPr>
        <w:t xml:space="preserve">New Essays on Tarski and Philosophy</w:t>
      </w:r>
      <w:r>
        <w:t xml:space="preserve">, edited by Douglas Patterson, 263–99. Oxford: Clarendon Press, 2008.</w:t>
      </w:r>
    </w:p>
    <w:bookmarkEnd w:id="90"/>
    <w:bookmarkStart w:id="91" w:name="ref-Fine1994"/>
    <w:p>
      <w:pPr>
        <w:pStyle w:val="Bibliography"/>
      </w:pPr>
      <w:r>
        <w:t xml:space="preserve">Fine, Kit. “Essence and Modality.”</w:t>
      </w:r>
      <w:r>
        <w:t xml:space="preserve"> </w:t>
      </w:r>
      <w:r>
        <w:rPr>
          <w:i/>
        </w:rPr>
        <w:t xml:space="preserve">Philosophical Perspectives</w:t>
      </w:r>
      <w:r>
        <w:t xml:space="preserve"> </w:t>
      </w:r>
      <w:r>
        <w:t xml:space="preserve">8 (1994): 1–16.</w:t>
      </w:r>
    </w:p>
    <w:bookmarkEnd w:id="91"/>
    <w:bookmarkStart w:id="92" w:name="ref-Fine2012"/>
    <w:p>
      <w:pPr>
        <w:pStyle w:val="Bibliography"/>
      </w:pPr>
      <w:r>
        <w:t xml:space="preserve">———. “Guide to Ground.” In</w:t>
      </w:r>
      <w:r>
        <w:t xml:space="preserve"> </w:t>
      </w:r>
      <w:r>
        <w:rPr>
          <w:i/>
        </w:rPr>
        <w:t xml:space="preserve">Metaphysical Grounding: Understanding the Structure of Reality</w:t>
      </w:r>
      <w:r>
        <w:t xml:space="preserve">, edited by Fabrice Correia and Benjamin Schnieder, 37–80. Cambridge: Cambridge University Press, 2012.</w:t>
      </w:r>
    </w:p>
    <w:bookmarkEnd w:id="92"/>
    <w:bookmarkStart w:id="93" w:name="ref-Franks2010"/>
    <w:p>
      <w:pPr>
        <w:pStyle w:val="Bibliography"/>
      </w:pPr>
      <w:r>
        <w:t xml:space="preserve">Franks, Curtis. “Cut as Consequence.”</w:t>
      </w:r>
      <w:r>
        <w:t xml:space="preserve"> </w:t>
      </w:r>
      <w:r>
        <w:rPr>
          <w:i/>
        </w:rPr>
        <w:t xml:space="preserve">History and Philosophy of Logic</w:t>
      </w:r>
      <w:r>
        <w:t xml:space="preserve"> </w:t>
      </w:r>
      <w:r>
        <w:t xml:space="preserve">31, no. 4 (2010): 349–79.</w:t>
      </w:r>
    </w:p>
    <w:bookmarkEnd w:id="93"/>
    <w:bookmarkStart w:id="94" w:name="ref-Gomez-Torrente2000"/>
    <w:p>
      <w:pPr>
        <w:pStyle w:val="Bibliography"/>
      </w:pPr>
      <w:r>
        <w:t xml:space="preserve">Gómez-Torrente, Mario. “A Note on Formality and Logical Consequence.”</w:t>
      </w:r>
      <w:r>
        <w:t xml:space="preserve"> </w:t>
      </w:r>
      <w:r>
        <w:rPr>
          <w:i/>
        </w:rPr>
        <w:t xml:space="preserve">Journal of Philosophical Logic</w:t>
      </w:r>
      <w:r>
        <w:t xml:space="preserve"> </w:t>
      </w:r>
      <w:r>
        <w:t xml:space="preserve">29, no. 5 (2000): 529–39.</w:t>
      </w:r>
    </w:p>
    <w:bookmarkEnd w:id="94"/>
    <w:bookmarkStart w:id="95" w:name="ref-Green-Pedersen1980a"/>
    <w:p>
      <w:pPr>
        <w:pStyle w:val="Bibliography"/>
      </w:pPr>
      <w:r>
        <w:t xml:space="preserve">Green-Pedersen, Niels Jørgen. “Two Early Anonymous Tracts on Consequences.”</w:t>
      </w:r>
      <w:r>
        <w:t xml:space="preserve"> </w:t>
      </w:r>
      <w:r>
        <w:rPr>
          <w:i/>
        </w:rPr>
        <w:t xml:space="preserve">Cahiers de L’Institut Du Moyen-Âge Grec et Latin</w:t>
      </w:r>
      <w:r>
        <w:t xml:space="preserve"> </w:t>
      </w:r>
      <w:r>
        <w:t xml:space="preserve">35 (1980): 1–28.</w:t>
      </w:r>
    </w:p>
    <w:bookmarkEnd w:id="95"/>
    <w:bookmarkStart w:id="96" w:name="ref-Green-Pedersen1980b"/>
    <w:p>
      <w:pPr>
        <w:pStyle w:val="Bibliography"/>
      </w:pPr>
      <w:r>
        <w:t xml:space="preserve">———.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102–66.</w:t>
      </w:r>
    </w:p>
    <w:bookmarkEnd w:id="96"/>
    <w:bookmarkStart w:id="97" w:name="ref-Hjortland2009"/>
    <w:p>
      <w:pPr>
        <w:pStyle w:val="Bibliography"/>
      </w:pPr>
      <w:r>
        <w:t xml:space="preserve">Hjortland, Ole T. “The Structure of Logical Consequence: Proof-Theoretic Conceptions.” PhD thesis, University of St. Andrews, 2009.</w:t>
      </w:r>
    </w:p>
    <w:bookmarkEnd w:id="97"/>
    <w:bookmarkStart w:id="98" w:name="ref-HodgesBurley"/>
    <w:p>
      <w:pPr>
        <w:pStyle w:val="Bibliography"/>
      </w:pPr>
      <w:r>
        <w:t xml:space="preserve">Hodges, Wilfrid. “Detecting the Logical Content: Burley’s ‘Purity of Logic’.” In</w:t>
      </w:r>
      <w:r>
        <w:t xml:space="preserve"> </w:t>
      </w:r>
      <w:r>
        <w:rPr>
          <w:i/>
        </w:rPr>
        <w:t xml:space="preserve">We Will Show Them! Essays in Honour of Dov Gabbay</w:t>
      </w:r>
      <w:r>
        <w:t xml:space="preserve">, edited by Sergei Artemov, Howard Barringer, Artur d’Avila Garcez, Luis C. Lamb, and John Woods, 2:69–116. London: College Publications, 2005.</w:t>
      </w:r>
    </w:p>
    <w:bookmarkEnd w:id="98"/>
    <w:bookmarkStart w:id="99" w:name="ref-Holopainen2007"/>
    <w:p>
      <w:pPr>
        <w:pStyle w:val="Bibliography"/>
      </w:pPr>
      <w:r>
        <w:t xml:space="preserve">Holopainen, Toivo J.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w:t>
      </w:r>
    </w:p>
    <w:bookmarkEnd w:id="99"/>
    <w:bookmarkStart w:id="100" w:name="ref-BuridanTC"/>
    <w:p>
      <w:pPr>
        <w:pStyle w:val="Bibliography"/>
      </w:pPr>
      <w:r>
        <w:t xml:space="preserve">John Buridan.</w:t>
      </w:r>
      <w:r>
        <w:t xml:space="preserve"> </w:t>
      </w:r>
      <w:r>
        <w:rPr>
          <w:i/>
        </w:rPr>
        <w:t xml:space="preserve">Tractatus de Consequentiis</w:t>
      </w:r>
      <w:r>
        <w:t xml:space="preserve">. Edited by Hubert Hubien. Philosophes Médiévaux 16. Louvain: Publications universitaires, 1976.</w:t>
      </w:r>
    </w:p>
    <w:bookmarkEnd w:id="100"/>
    <w:bookmarkStart w:id="101" w:name="ref-Buridan2015"/>
    <w:p>
      <w:pPr>
        <w:pStyle w:val="Bibliography"/>
      </w:pPr>
      <w:r>
        <w:t xml:space="preserve">———.</w:t>
      </w:r>
      <w:r>
        <w:t xml:space="preserve"> </w:t>
      </w:r>
      <w:r>
        <w:rPr>
          <w:i/>
        </w:rPr>
        <w:t xml:space="preserve">Treatise on Consequences</w:t>
      </w:r>
      <w:r>
        <w:t xml:space="preserve">. Translated by Stephen Read. Bronx, NY: Fordham University Press, 2015.</w:t>
      </w:r>
    </w:p>
    <w:bookmarkEnd w:id="101"/>
    <w:bookmarkStart w:id="102" w:name="ref-Kemeny1956"/>
    <w:p>
      <w:pPr>
        <w:pStyle w:val="Bibliography"/>
      </w:pPr>
      <w:r>
        <w:t xml:space="preserve">Kemeny, John G. “A New Approach to Semantics–Part I.”</w:t>
      </w:r>
      <w:r>
        <w:t xml:space="preserve"> </w:t>
      </w:r>
      <w:r>
        <w:rPr>
          <w:i/>
        </w:rPr>
        <w:t xml:space="preserve">Journal of Symbolic Logic</w:t>
      </w:r>
      <w:r>
        <w:t xml:space="preserve"> </w:t>
      </w:r>
      <w:r>
        <w:t xml:space="preserve">21, no. 1 (1956): 1–27.</w:t>
      </w:r>
    </w:p>
    <w:bookmarkEnd w:id="102"/>
    <w:bookmarkStart w:id="103" w:name="ref-Kemeny1956b"/>
    <w:p>
      <w:pPr>
        <w:pStyle w:val="Bibliography"/>
      </w:pPr>
      <w:r>
        <w:t xml:space="preserve">———. “A New Approach to Semantics–Part II.”</w:t>
      </w:r>
      <w:r>
        <w:t xml:space="preserve"> </w:t>
      </w:r>
      <w:r>
        <w:rPr>
          <w:i/>
        </w:rPr>
        <w:t xml:space="preserve">Journal of Symbolic Logic</w:t>
      </w:r>
      <w:r>
        <w:t xml:space="preserve"> </w:t>
      </w:r>
      <w:r>
        <w:t xml:space="preserve">22, no. 2 (1956): 149–61.</w:t>
      </w:r>
    </w:p>
    <w:bookmarkEnd w:id="103"/>
    <w:bookmarkStart w:id="104" w:name="ref-Klima1988"/>
    <w:p>
      <w:pPr>
        <w:pStyle w:val="Bibliography"/>
      </w:pPr>
      <w:r>
        <w:t xml:space="preserve">Klima, Gyula.</w:t>
      </w:r>
      <w:r>
        <w:t xml:space="preserve"> </w:t>
      </w:r>
      <w:r>
        <w:rPr>
          <w:i/>
        </w:rPr>
        <w:t xml:space="preserve">Ars Artium: Essays in Philosophical Semantics, Medieval and Modern</w:t>
      </w:r>
      <w:r>
        <w:t xml:space="preserve">. Budapest: Institute of Philosophy of the Hungarian Academy of Sciences, 1988.</w:t>
      </w:r>
    </w:p>
    <w:bookmarkEnd w:id="104"/>
    <w:bookmarkStart w:id="105" w:name="ref-Kripke1975"/>
    <w:p>
      <w:pPr>
        <w:pStyle w:val="Bibliography"/>
      </w:pPr>
      <w:r>
        <w:t xml:space="preserve">Kripke, Saul A. “Outline of a Theory of Truth.”</w:t>
      </w:r>
      <w:r>
        <w:t xml:space="preserve"> </w:t>
      </w:r>
      <w:r>
        <w:rPr>
          <w:i/>
        </w:rPr>
        <w:t xml:space="preserve">Journal of Philosophy</w:t>
      </w:r>
      <w:r>
        <w:t xml:space="preserve"> </w:t>
      </w:r>
      <w:r>
        <w:t xml:space="preserve">72, no. 19 (1975): 690–716.</w:t>
      </w:r>
    </w:p>
    <w:bookmarkEnd w:id="105"/>
    <w:bookmarkStart w:id="106" w:name="ref-Kripke1963a"/>
    <w:p>
      <w:pPr>
        <w:pStyle w:val="Bibliography"/>
      </w:pPr>
      <w:r>
        <w:t xml:space="preserve">———. “Semantical Analysis of Modal Logic I. Normal Propositional Calculi.”</w:t>
      </w:r>
      <w:r>
        <w:t xml:space="preserve"> </w:t>
      </w:r>
      <w:r>
        <w:rPr>
          <w:i/>
        </w:rPr>
        <w:t xml:space="preserve">Zeitschrift Für Mathematische Logik Und Grundlagen Der Mathematik</w:t>
      </w:r>
      <w:r>
        <w:t xml:space="preserve"> </w:t>
      </w:r>
      <w:r>
        <w:t xml:space="preserve">9, nos. 5-6 (1963): 67–96.</w:t>
      </w:r>
    </w:p>
    <w:bookmarkEnd w:id="106"/>
    <w:bookmarkStart w:id="107" w:name="ref-MacFarlane2000"/>
    <w:p>
      <w:pPr>
        <w:pStyle w:val="Bibliography"/>
      </w:pPr>
      <w:r>
        <w:t xml:space="preserve">MacFarlane, John. “What Does It Mean to Say That Logic Is Formal?” PhD thesis, University of Pittsburgh, 2000.</w:t>
      </w:r>
    </w:p>
    <w:bookmarkEnd w:id="107"/>
    <w:bookmarkStart w:id="108" w:name="ref-Martin2007"/>
    <w:p>
      <w:pPr>
        <w:pStyle w:val="Bibliography"/>
      </w:pPr>
      <w:r>
        <w:t xml:space="preserve">Martin, Christopher J. “Denying Conditionals: Abaelard and the Failure of Boethius’ Account of the Hypothetical Syllogism.”</w:t>
      </w:r>
      <w:r>
        <w:t xml:space="preserve"> </w:t>
      </w:r>
      <w:r>
        <w:rPr>
          <w:i/>
        </w:rPr>
        <w:t xml:space="preserve">Vivarium</w:t>
      </w:r>
      <w:r>
        <w:t xml:space="preserve"> </w:t>
      </w:r>
      <w:r>
        <w:t xml:space="preserve">45 (2007): 153–68.</w:t>
      </w:r>
    </w:p>
    <w:bookmarkEnd w:id="108"/>
    <w:bookmarkStart w:id="109" w:name="ref-Martin2004"/>
    <w:p>
      <w:pPr>
        <w:pStyle w:val="Bibliography"/>
      </w:pPr>
      <w:r>
        <w:t xml:space="preserve">———. “Formal Consequence in Scotus and Ockham: Towards an Account of Scotus’ Logic.” In</w:t>
      </w:r>
      <w:r>
        <w:t xml:space="preserve"> </w:t>
      </w:r>
      <w:r>
        <w:rPr>
          <w:i/>
        </w:rPr>
        <w:t xml:space="preserve">Duns Scotus in Paris, 1302-2002: Proceedings of the Conference of Paris, 2-4 September 2002</w:t>
      </w:r>
      <w:r>
        <w:t xml:space="preserve">, edited by O. Boulnois, E. Karger, and G. Sondag, 117–50. Turnhout: Brepols, 2004.</w:t>
      </w:r>
    </w:p>
    <w:bookmarkEnd w:id="109"/>
    <w:bookmarkStart w:id="110" w:name="ref-Martin2018"/>
    <w:p>
      <w:pPr>
        <w:pStyle w:val="Bibliography"/>
      </w:pPr>
      <w:r>
        <w:t xml:space="preserve">———. “The Theory of Natural Consequence.”</w:t>
      </w:r>
      <w:r>
        <w:t xml:space="preserve"> </w:t>
      </w:r>
      <w:r>
        <w:rPr>
          <w:i/>
        </w:rPr>
        <w:t xml:space="preserve">Vivarium</w:t>
      </w:r>
      <w:r>
        <w:t xml:space="preserve"> </w:t>
      </w:r>
      <w:r>
        <w:t xml:space="preserve">56, nos. 3-4 (2018): 340–66.</w:t>
      </w:r>
    </w:p>
    <w:bookmarkEnd w:id="110"/>
    <w:bookmarkStart w:id="111" w:name="ref-Parsons2014"/>
    <w:p>
      <w:pPr>
        <w:pStyle w:val="Bibliography"/>
      </w:pPr>
      <w:r>
        <w:t xml:space="preserve">Parsons, Terence.</w:t>
      </w:r>
      <w:r>
        <w:t xml:space="preserve"> </w:t>
      </w:r>
      <w:r>
        <w:rPr>
          <w:i/>
        </w:rPr>
        <w:t xml:space="preserve">Articulating Medieval Logic</w:t>
      </w:r>
      <w:r>
        <w:t xml:space="preserve">. Oxford: Oxford University Press, 2014.</w:t>
      </w:r>
    </w:p>
    <w:bookmarkEnd w:id="111"/>
    <w:bookmarkStart w:id="112" w:name="ref-Prawitz1985"/>
    <w:p>
      <w:pPr>
        <w:pStyle w:val="Bibliography"/>
      </w:pPr>
      <w:r>
        <w:t xml:space="preserve">Prawitz, Dag. “Remarks on Some Approaches to the Concept of Logical Consequence.”</w:t>
      </w:r>
      <w:r>
        <w:t xml:space="preserve"> </w:t>
      </w:r>
      <w:r>
        <w:rPr>
          <w:i/>
        </w:rPr>
        <w:t xml:space="preserve">Synthese</w:t>
      </w:r>
      <w:r>
        <w:t xml:space="preserve"> </w:t>
      </w:r>
      <w:r>
        <w:t xml:space="preserve">62, no. 2 (1985): 153–71.</w:t>
      </w:r>
    </w:p>
    <w:bookmarkEnd w:id="112"/>
    <w:bookmarkStart w:id="113" w:name="ref-PriestRead1977"/>
    <w:p>
      <w:pPr>
        <w:pStyle w:val="Bibliography"/>
      </w:pPr>
      <w:r>
        <w:t xml:space="preserve">Priest, Graham, and Stephen Read. “The Formalization of Ockham’s Theory of Supposition.”</w:t>
      </w:r>
      <w:r>
        <w:t xml:space="preserve"> </w:t>
      </w:r>
      <w:r>
        <w:rPr>
          <w:i/>
        </w:rPr>
        <w:t xml:space="preserve">Mind</w:t>
      </w:r>
      <w:r>
        <w:t xml:space="preserve"> </w:t>
      </w:r>
      <w:r>
        <w:t xml:space="preserve">86, no. 341 (1977): 109–13.</w:t>
      </w:r>
    </w:p>
    <w:bookmarkEnd w:id="113"/>
    <w:bookmarkStart w:id="114" w:name="ref-Pseudo-Scotus1891"/>
    <w:p>
      <w:pPr>
        <w:pStyle w:val="Bibliography"/>
      </w:pPr>
      <w:r>
        <w:t xml:space="preserve">Pseudo-Scotus.</w:t>
      </w:r>
      <w:r>
        <w:t xml:space="preserve"> </w:t>
      </w:r>
      <w:r>
        <w:rPr>
          <w:i/>
        </w:rPr>
        <w:t xml:space="preserve">Quaestiones Super Libros Ii Priorum Analyticorum</w:t>
      </w:r>
      <w:r>
        <w:t xml:space="preserve">. Joannis Duns Scoti Doctoris Subtilis Ordinis Minorum Opera Omnia, vol. 2. Paris: Wadding-Vives, 1891.</w:t>
      </w:r>
    </w:p>
    <w:bookmarkEnd w:id="114"/>
    <w:bookmarkStart w:id="115" w:name="ref-Read2007"/>
    <w:p>
      <w:pPr>
        <w:pStyle w:val="Bibliography"/>
      </w:pPr>
      <w:r>
        <w:t xml:space="preserve">Read, Stephen.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p>
    <w:bookmarkEnd w:id="115"/>
    <w:bookmarkStart w:id="116" w:name="ref-Schaffer2016"/>
    <w:p>
      <w:pPr>
        <w:pStyle w:val="Bibliography"/>
      </w:pPr>
      <w:r>
        <w:t xml:space="preserve">Schaffer, Jonathan. “Grounding in the Image of Causation.”</w:t>
      </w:r>
      <w:r>
        <w:t xml:space="preserve"> </w:t>
      </w:r>
      <w:r>
        <w:rPr>
          <w:i/>
        </w:rPr>
        <w:t xml:space="preserve">Philosophical Studies</w:t>
      </w:r>
      <w:r>
        <w:t xml:space="preserve"> </w:t>
      </w:r>
      <w:r>
        <w:t xml:space="preserve">173 (2016): 49–100.</w:t>
      </w:r>
    </w:p>
    <w:bookmarkEnd w:id="116"/>
    <w:bookmarkStart w:id="117" w:name="ref-Schaffer2009"/>
    <w:p>
      <w:pPr>
        <w:pStyle w:val="Bibliography"/>
      </w:pPr>
      <w:r>
        <w:t xml:space="preserve">———. “On What Grounds What.” In</w:t>
      </w:r>
      <w:r>
        <w:t xml:space="preserve"> </w:t>
      </w:r>
      <w:r>
        <w:rPr>
          <w:i/>
        </w:rPr>
        <w:t xml:space="preserve">Metametaphysics: New Essays on the Foundations of Ontology</w:t>
      </w:r>
      <w:r>
        <w:t xml:space="preserve">, edited by David J. Chalmers, David Manley, and Ryan Wasserman, 347–83, 2009.</w:t>
      </w:r>
    </w:p>
    <w:bookmarkEnd w:id="117"/>
    <w:bookmarkStart w:id="118" w:name="ref-Schiemer2013"/>
    <w:p>
      <w:pPr>
        <w:pStyle w:val="Bibliography"/>
      </w:pPr>
      <w:r>
        <w:t xml:space="preserve">Schiemer, Georg, and Erich H. Reck. “Logic in the 1930s: Type Theory and Model Theory.”</w:t>
      </w:r>
      <w:r>
        <w:t xml:space="preserve"> </w:t>
      </w:r>
      <w:r>
        <w:rPr>
          <w:i/>
        </w:rPr>
        <w:t xml:space="preserve">Bulletin of Symbolic Logic</w:t>
      </w:r>
      <w:r>
        <w:t xml:space="preserve"> </w:t>
      </w:r>
      <w:r>
        <w:t xml:space="preserve">19, no. 4 (2013): 433–72.</w:t>
      </w:r>
    </w:p>
    <w:bookmarkEnd w:id="118"/>
    <w:bookmarkStart w:id="119" w:name="ref-Schnieder2019"/>
    <w:p>
      <w:pPr>
        <w:pStyle w:val="Bibliography"/>
      </w:pPr>
      <w:r>
        <w:t xml:space="preserve">Schnieder, Benjamin. “On Ground and Consequence.”</w:t>
      </w:r>
      <w:r>
        <w:t xml:space="preserve"> </w:t>
      </w:r>
      <w:r>
        <w:rPr>
          <w:i/>
        </w:rPr>
        <w:t xml:space="preserve">Synthese</w:t>
      </w:r>
      <w:r>
        <w:t xml:space="preserve">, n.d.</w:t>
      </w:r>
    </w:p>
    <w:bookmarkEnd w:id="119"/>
    <w:bookmarkStart w:id="120" w:name="ref-Schroeder-Heister2006"/>
    <w:p>
      <w:pPr>
        <w:pStyle w:val="Bibliography"/>
      </w:pPr>
      <w:r>
        <w:t xml:space="preserve">Schroeder-Heister, Peter. “Validity Concepts in Proof-Theoretic Semantics.”</w:t>
      </w:r>
      <w:r>
        <w:t xml:space="preserve"> </w:t>
      </w:r>
      <w:r>
        <w:rPr>
          <w:i/>
        </w:rPr>
        <w:t xml:space="preserve">Synthese</w:t>
      </w:r>
      <w:r>
        <w:t xml:space="preserve"> </w:t>
      </w:r>
      <w:r>
        <w:t xml:space="preserve">148, no. 3 (2006): 525–71.</w:t>
      </w:r>
    </w:p>
    <w:bookmarkEnd w:id="120"/>
    <w:bookmarkStart w:id="121" w:name="ref-StrodeConsequentiis"/>
    <w:p>
      <w:pPr>
        <w:pStyle w:val="Bibliography"/>
      </w:pPr>
      <w:r>
        <w:t xml:space="preserve">Seaton, Wallace Knight. “An Edition and Translation of the Tractatus de Consequentiis of Ralph Strode.” PhD thesis, University of California at Berkeley, 1973.</w:t>
      </w:r>
    </w:p>
    <w:bookmarkEnd w:id="121"/>
    <w:bookmarkStart w:id="122" w:name="ref-SpadeMenn"/>
    <w:p>
      <w:pPr>
        <w:pStyle w:val="Bibliography"/>
      </w:pPr>
      <w:r>
        <w:t xml:space="preserve">Spade, Paul Vincent, and Stephen Menn. “A Note on the Title of Walter Burley’s</w:t>
      </w:r>
      <w:r>
        <w:t xml:space="preserve"> </w:t>
      </w:r>
      <w:r>
        <w:rPr>
          <w:i/>
        </w:rPr>
        <w:t xml:space="preserve">on the Purity of the Art of Logic</w:t>
      </w:r>
      <w:r>
        <w:t xml:space="preserve">,” 2003.</w:t>
      </w:r>
      <w:r>
        <w:t xml:space="preserve"> </w:t>
      </w:r>
      <w:hyperlink r:id="rId72">
        <w:r>
          <w:rPr>
            <w:rStyle w:val="Hyperlink"/>
          </w:rPr>
          <w:t xml:space="preserve">http://pvspade.com/Logic/docs/BurlNote.pdf</w:t>
        </w:r>
      </w:hyperlink>
      <w:r>
        <w:t xml:space="preserve">.</w:t>
      </w:r>
    </w:p>
    <w:bookmarkEnd w:id="122"/>
    <w:bookmarkStart w:id="123" w:name="ref-Tarski2002"/>
    <w:p>
      <w:pPr>
        <w:pStyle w:val="Bibliography"/>
      </w:pPr>
      <w:r>
        <w:t xml:space="preserve">Tarski, Alfred. “On the Concept of Following Logically.” Translated by Magda Stroińska and David Hitchcock.</w:t>
      </w:r>
      <w:r>
        <w:t xml:space="preserve"> </w:t>
      </w:r>
      <w:r>
        <w:rPr>
          <w:i/>
        </w:rPr>
        <w:t xml:space="preserve">History and Philosophy of Logic</w:t>
      </w:r>
      <w:r>
        <w:t xml:space="preserve"> </w:t>
      </w:r>
      <w:r>
        <w:t xml:space="preserve">23, no. 3 (2002): 155–96.</w:t>
      </w:r>
    </w:p>
    <w:bookmarkEnd w:id="123"/>
    <w:bookmarkStart w:id="124" w:name="ref-BurleyDPAL"/>
    <w:p>
      <w:pPr>
        <w:pStyle w:val="Bibliography"/>
      </w:pPr>
      <w:r>
        <w:t xml:space="preserve">Walter Burleigh.</w:t>
      </w:r>
      <w:r>
        <w:t xml:space="preserve"> </w:t>
      </w:r>
      <w:r>
        <w:rPr>
          <w:i/>
        </w:rPr>
        <w:t xml:space="preserve">De Puritate Artis Logicae</w:t>
      </w:r>
      <w:r>
        <w:t xml:space="preserve">. Edited by Philotheus Boehner. St Bonaventure, NY: Franciscan Institute, 1955.</w:t>
      </w:r>
    </w:p>
    <w:bookmarkEnd w:id="124"/>
    <w:bookmarkStart w:id="125" w:name="ref-OckhamEL"/>
    <w:p>
      <w:pPr>
        <w:pStyle w:val="Bibliography"/>
      </w:pPr>
      <w:r>
        <w:t xml:space="preserve">William of Ockham. “Elementarium Logicae.” In</w:t>
      </w:r>
      <w:r>
        <w:t xml:space="preserve"> </w:t>
      </w:r>
      <w:r>
        <w:rPr>
          <w:i/>
        </w:rPr>
        <w:t xml:space="preserve">Opera Philosophica: Opera Dubia et Spuria</w:t>
      </w:r>
      <w:r>
        <w:t xml:space="preserve">, edited by Eligius M. Buytaert, 7:59–304. St. Bonaventure, NY: Franciscan Institute, 1988.</w:t>
      </w:r>
    </w:p>
    <w:bookmarkEnd w:id="125"/>
    <w:bookmarkStart w:id="126" w:name="ref-OckhamSL"/>
    <w:p>
      <w:pPr>
        <w:pStyle w:val="Bibliography"/>
      </w:pPr>
      <w:r>
        <w:t xml:space="preserve">———. “Summa Logicae.” In</w:t>
      </w:r>
      <w:r>
        <w:t xml:space="preserve"> </w:t>
      </w:r>
      <w:r>
        <w:rPr>
          <w:i/>
        </w:rPr>
        <w:t xml:space="preserve">Opera Philosophica</w:t>
      </w:r>
      <w:r>
        <w:t xml:space="preserve">, edited by Philotheus Boehner, Gedeon Gàl, and Stephen Brown, Vol. 1. St. Bonaventure, NY: Franciscan Institute, 1974.</w:t>
      </w:r>
    </w:p>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Jonathan Schaffer, “On What Grounds What,” in</w:t>
      </w:r>
      <w:r>
        <w:t xml:space="preserve"> </w:t>
      </w:r>
      <w:r>
        <w:rPr>
          <w:i/>
        </w:rPr>
        <w:t xml:space="preserve">Metametaphysics: New Essays on the Foundations of Ontology</w:t>
      </w:r>
      <w:r>
        <w:t xml:space="preserve">, ed. David J. Chalmers, David Manley, and Ryan Wasserman, 2009, 364.</w:t>
      </w:r>
    </w:p>
  </w:footnote>
  <w:footnote w:id="22">
    <w:p>
      <w:pPr>
        <w:pStyle w:val="FootnoteText"/>
      </w:pPr>
      <w:r>
        <w:rPr>
          <w:rStyle w:val="FootnoteReference"/>
        </w:rPr>
        <w:footnoteRef/>
      </w:r>
      <w:r>
        <w:t xml:space="preserve"> </w:t>
      </w:r>
      <w:r>
        <w:t xml:space="preserve">Benjamin Schnieder, “On Ground and Consequence,”</w:t>
      </w:r>
      <w:r>
        <w:t xml:space="preserve"> </w:t>
      </w:r>
      <w:r>
        <w:rPr>
          <w:i/>
        </w:rPr>
        <w:t xml:space="preserve">Synthese</w:t>
      </w:r>
      <w:r>
        <w:t xml:space="preserve">, n.d., 6–7.</w:t>
      </w:r>
    </w:p>
  </w:footnote>
  <w:footnote w:id="23">
    <w:p>
      <w:pPr>
        <w:pStyle w:val="FootnoteText"/>
      </w:pPr>
      <w:r>
        <w:rPr>
          <w:rStyle w:val="FootnoteReference"/>
        </w:rPr>
        <w:footnoteRef/>
      </w:r>
      <w:r>
        <w:t xml:space="preserve"> </w:t>
      </w:r>
      <w:r>
        <w:t xml:space="preserve">The contemporary resurgence of interest in grounding can be traced back to Jonathan Schaffer’s 2009</w:t>
      </w:r>
      <w:r>
        <w:t xml:space="preserve"> </w:t>
      </w:r>
      <w:r>
        <w:t xml:space="preserve">‘</w:t>
      </w:r>
      <w:r>
        <w:t xml:space="preserve">On What Grounds What</w:t>
      </w:r>
      <w:r>
        <w:t xml:space="preserve">’</w:t>
      </w:r>
      <w:r>
        <w:t xml:space="preserve">, though Schaffer’s article has important antecedents in Kit Fine’s work on essence and Saul Kripke’s on truth. See</w:t>
      </w:r>
      <w:r>
        <w:t xml:space="preserve"> </w:t>
      </w:r>
      <w:r>
        <w:t xml:space="preserve">Kit Fine, “Essence and Modality,”</w:t>
      </w:r>
      <w:r>
        <w:t xml:space="preserve"> </w:t>
      </w:r>
      <w:r>
        <w:rPr>
          <w:i/>
        </w:rPr>
        <w:t xml:space="preserve">Philosophical Perspectives</w:t>
      </w:r>
      <w:r>
        <w:t xml:space="preserve"> </w:t>
      </w:r>
      <w:r>
        <w:t xml:space="preserve">8 (1994): 1–16; Kit Fine, “Guide to Ground,” in</w:t>
      </w:r>
      <w:r>
        <w:t xml:space="preserve"> </w:t>
      </w:r>
      <w:r>
        <w:rPr>
          <w:i/>
        </w:rPr>
        <w:t xml:space="preserve">Metaphysical Grounding: Understanding the Structure of Reality</w:t>
      </w:r>
      <w:r>
        <w:t xml:space="preserve">, ed. Fabrice Correia and Benjamin Schnieder (Cambridge: Cambridge University Press, 2012), 37–80; Saul A. Kripke, “Outline of a Theory of Truth,”</w:t>
      </w:r>
      <w:r>
        <w:t xml:space="preserve"> </w:t>
      </w:r>
      <w:r>
        <w:rPr>
          <w:i/>
        </w:rPr>
        <w:t xml:space="preserve">Journal of Philosophy</w:t>
      </w:r>
      <w:r>
        <w:t xml:space="preserve"> </w:t>
      </w:r>
      <w:r>
        <w:t xml:space="preserve">72, no. 19 (1975): 690–716; Schaffer, “On What Grounds What”; Jonathan Schaffer, “Grounding in the Image of Causation,”</w:t>
      </w:r>
      <w:r>
        <w:t xml:space="preserve"> </w:t>
      </w:r>
      <w:r>
        <w:rPr>
          <w:i/>
        </w:rPr>
        <w:t xml:space="preserve">Philosophical Studies</w:t>
      </w:r>
      <w:r>
        <w:t xml:space="preserve"> </w:t>
      </w:r>
      <w:r>
        <w:t xml:space="preserve">173 (2016): 49–100</w:t>
      </w:r>
      <w:r>
        <w:t xml:space="preserve">. For an overview of the notion of grounding in contemporary literature, see Magali Roques’ introduction to this volume.</w:t>
      </w:r>
    </w:p>
  </w:footnote>
  <w:footnote w:id="24">
    <w:p>
      <w:pPr>
        <w:pStyle w:val="FootnoteText"/>
      </w:pPr>
      <w:r>
        <w:rPr>
          <w:rStyle w:val="FootnoteReference"/>
        </w:rPr>
        <w:footnoteRef/>
      </w:r>
      <w:r>
        <w:t xml:space="preserve"> </w:t>
      </w:r>
      <w:r>
        <w:t xml:space="preserve">Wallace Knight Seaton, “An Edition and Translation of the Tractatus de Consequentiis of Ralph Strode” (University of California at Berkeley, 1973); Niels Jørgen Green-Pedersen, “Two Early Anonymous Tracts on Consequences,”</w:t>
      </w:r>
      <w:r>
        <w:t xml:space="preserve"> </w:t>
      </w:r>
      <w:r>
        <w:rPr>
          <w:i/>
        </w:rPr>
        <w:t xml:space="preserve">Cahiers de L’Institut Du Moyen-Âge Grec et Latin</w:t>
      </w:r>
      <w:r>
        <w:t xml:space="preserve"> </w:t>
      </w:r>
      <w:r>
        <w:t xml:space="preserve">35 (1980): 1–28.</w:t>
      </w:r>
    </w:p>
  </w:footnote>
  <w:footnote w:id="27">
    <w:p>
      <w:pPr>
        <w:pStyle w:val="FootnoteText"/>
      </w:pPr>
      <w:r>
        <w:rPr>
          <w:rStyle w:val="FootnoteReference"/>
        </w:rPr>
        <w:footnoteRef/>
      </w:r>
      <w:r>
        <w:t xml:space="preserve"> </w:t>
      </w:r>
      <w:r>
        <w:t xml:space="preserve">Cf.</w:t>
      </w:r>
      <w:r>
        <w:t xml:space="preserve"> </w:t>
      </w:r>
      <w:r>
        <w:t xml:space="preserve">Dag Prawitz, “Remarks on Some Approaches to the Concept of Logical Consequence,”</w:t>
      </w:r>
      <w:r>
        <w:t xml:space="preserve"> </w:t>
      </w:r>
      <w:r>
        <w:rPr>
          <w:i/>
        </w:rPr>
        <w:t xml:space="preserve">Synthese</w:t>
      </w:r>
      <w:r>
        <w:t xml:space="preserve"> </w:t>
      </w:r>
      <w:r>
        <w:t xml:space="preserve">62, no. 2 (1985): 153–71; Peter Schroeder-Heister, “Validity Concepts in Proof-Theoretic Semantics,”</w:t>
      </w:r>
      <w:r>
        <w:t xml:space="preserve"> </w:t>
      </w:r>
      <w:r>
        <w:rPr>
          <w:i/>
        </w:rPr>
        <w:t xml:space="preserve">Synthese</w:t>
      </w:r>
      <w:r>
        <w:t xml:space="preserve"> </w:t>
      </w:r>
      <w:r>
        <w:t xml:space="preserve">148, no. 3 (2006): 525–71; Ole T. Hjortland, “The Structure of Logical Consequence: Proof-Theoretic Conceptions” (University of St. Andrews, 2009); Curtis Franks, “Cut as Consequence,”</w:t>
      </w:r>
      <w:r>
        <w:t xml:space="preserve"> </w:t>
      </w:r>
      <w:r>
        <w:rPr>
          <w:i/>
        </w:rPr>
        <w:t xml:space="preserve">History and Philosophy of Logic</w:t>
      </w:r>
      <w:r>
        <w:t xml:space="preserve"> </w:t>
      </w:r>
      <w:r>
        <w:t xml:space="preserve">31, no. 4 (2010): 349–79</w:t>
      </w:r>
    </w:p>
  </w:footnote>
  <w:footnote w:id="28">
    <w:p>
      <w:pPr>
        <w:pStyle w:val="FootnoteText"/>
      </w:pPr>
      <w:r>
        <w:rPr>
          <w:rStyle w:val="FootnoteReference"/>
        </w:rPr>
        <w:footnoteRef/>
      </w:r>
      <w:r>
        <w:t xml:space="preserve"> </w:t>
      </w:r>
      <w:r>
        <w:t xml:space="preserve">Alfred Tarski, “On the Concept of Following Logically,” trans. Magda Stroińska and David Hitchcock,</w:t>
      </w:r>
      <w:r>
        <w:t xml:space="preserve"> </w:t>
      </w:r>
      <w:r>
        <w:rPr>
          <w:i/>
        </w:rPr>
        <w:t xml:space="preserve">History and Philosophy of Logic</w:t>
      </w:r>
      <w:r>
        <w:t xml:space="preserve"> </w:t>
      </w:r>
      <w:r>
        <w:t xml:space="preserve">23, no. 3 (2002): 155–96; Mario Gómez-Torrente, “A Note on Formality and Logical Consequence,”</w:t>
      </w:r>
      <w:r>
        <w:t xml:space="preserve"> </w:t>
      </w:r>
      <w:r>
        <w:rPr>
          <w:i/>
        </w:rPr>
        <w:t xml:space="preserve">Journal of Philosophical Logic</w:t>
      </w:r>
      <w:r>
        <w:t xml:space="preserve"> </w:t>
      </w:r>
      <w:r>
        <w:t xml:space="preserve">29, no. 5 (2000): 529–39.</w:t>
      </w:r>
    </w:p>
  </w:footnote>
  <w:footnote w:id="29">
    <w:p>
      <w:pPr>
        <w:pStyle w:val="FootnoteText"/>
      </w:pPr>
      <w:r>
        <w:rPr>
          <w:rStyle w:val="FootnoteReference"/>
        </w:rPr>
        <w:footnoteRef/>
      </w:r>
      <w:r>
        <w:t xml:space="preserve"> </w:t>
      </w:r>
      <w:r>
        <w:t xml:space="preserve">This innovation apparently goes back to John Kemeny. See</w:t>
      </w:r>
      <w:r>
        <w:t xml:space="preserve"> </w:t>
      </w:r>
      <w:r>
        <w:t xml:space="preserve">Georg Schiemer and Erich H. Reck, “Logic in the 1930s: Type Theory and Model Theory,”</w:t>
      </w:r>
      <w:r>
        <w:t xml:space="preserve"> </w:t>
      </w:r>
      <w:r>
        <w:rPr>
          <w:i/>
        </w:rPr>
        <w:t xml:space="preserve">Bulletin of Symbolic Logic</w:t>
      </w:r>
      <w:r>
        <w:t xml:space="preserve"> </w:t>
      </w:r>
      <w:r>
        <w:t xml:space="preserve">19, no. 4 (2013): 433–72; John G. Kemeny, “A New Approach to Semantics–Part I,”</w:t>
      </w:r>
      <w:r>
        <w:t xml:space="preserve"> </w:t>
      </w:r>
      <w:r>
        <w:rPr>
          <w:i/>
        </w:rPr>
        <w:t xml:space="preserve">Journal of Symbolic Logic</w:t>
      </w:r>
      <w:r>
        <w:t xml:space="preserve"> </w:t>
      </w:r>
      <w:r>
        <w:t xml:space="preserve">21, no. 1 (1956): 1–27; John G. Kemeny, “A New Approach to Semantics–Part II,”</w:t>
      </w:r>
      <w:r>
        <w:t xml:space="preserve"> </w:t>
      </w:r>
      <w:r>
        <w:rPr>
          <w:i/>
        </w:rPr>
        <w:t xml:space="preserve">Journal of Symbolic Logic</w:t>
      </w:r>
      <w:r>
        <w:t xml:space="preserve"> </w:t>
      </w:r>
      <w:r>
        <w:t xml:space="preserve">22, no. 2 (1956): 149–61</w:t>
      </w:r>
      <w:r>
        <w:t xml:space="preserve">.</w:t>
      </w:r>
    </w:p>
  </w:footnote>
  <w:footnote w:id="30">
    <w:p>
      <w:pPr>
        <w:pStyle w:val="FootnoteText"/>
      </w:pPr>
      <w:r>
        <w:rPr>
          <w:rStyle w:val="FootnoteReference"/>
        </w:rPr>
        <w:footnoteRef/>
      </w:r>
      <w:r>
        <w:t xml:space="preserve"> </w:t>
      </w:r>
      <w:r>
        <w:t xml:space="preserve">Saul A. Kripke, “Semantical Analysis of Modal Logic I. Normal Propositional Calculi,”</w:t>
      </w:r>
      <w:r>
        <w:t xml:space="preserve"> </w:t>
      </w:r>
      <w:r>
        <w:rPr>
          <w:i/>
        </w:rPr>
        <w:t xml:space="preserve">Zeitschrift Für Mathematische Logik Und Grundlagen Der Mathematik</w:t>
      </w:r>
      <w:r>
        <w:t xml:space="preserve"> </w:t>
      </w:r>
      <w:r>
        <w:t xml:space="preserve">9, nos. 5-6 (1963): 67–96.</w:t>
      </w:r>
    </w:p>
  </w:footnote>
  <w:footnote w:id="31">
    <w:p>
      <w:pPr>
        <w:pStyle w:val="FootnoteText"/>
      </w:pPr>
      <w:r>
        <w:rPr>
          <w:rStyle w:val="FootnoteReference"/>
        </w:rPr>
        <w:footnoteRef/>
      </w:r>
      <w:r>
        <w:t xml:space="preserve"> </w:t>
      </w:r>
      <w:r>
        <w:t xml:space="preserve">Cf.</w:t>
      </w:r>
      <w:r>
        <w:t xml:space="preserve"> </w:t>
      </w:r>
      <w:r>
        <w:t xml:space="preserve">Catarina Dutilh Novaes, “The Different Ways in Which Logic Is (Said to Be) Formal,”</w:t>
      </w:r>
      <w:r>
        <w:t xml:space="preserve"> </w:t>
      </w:r>
      <w:r>
        <w:rPr>
          <w:i/>
        </w:rPr>
        <w:t xml:space="preserve">History and Philosophy of Logic</w:t>
      </w:r>
      <w:r>
        <w:t xml:space="preserve"> </w:t>
      </w:r>
      <w:r>
        <w:t xml:space="preserve">32, no. 4 (2011): 303–32; John Etchemendy, “Reflections on Consequence,” in</w:t>
      </w:r>
      <w:r>
        <w:t xml:space="preserve"> </w:t>
      </w:r>
      <w:r>
        <w:rPr>
          <w:i/>
        </w:rPr>
        <w:t xml:space="preserve">New Essays on Tarski and Philosophy</w:t>
      </w:r>
      <w:r>
        <w:t xml:space="preserve">, ed. Douglas Patterson (Oxford: Clarendon Press, 2008), 263–99; John MacFarlane, “What Does It Mean to Say That Logic Is Formal?” (University of Pittsburgh, 2000)</w:t>
      </w:r>
      <w:r>
        <w:t xml:space="preserve">.</w:t>
      </w:r>
    </w:p>
  </w:footnote>
  <w:footnote w:id="33">
    <w:p>
      <w:pPr>
        <w:pStyle w:val="FootnoteText"/>
      </w:pPr>
      <w:r>
        <w:rPr>
          <w:rStyle w:val="FootnoteReference"/>
        </w:rPr>
        <w:footnoteRef/>
      </w:r>
      <w:r>
        <w:t xml:space="preserve"> </w:t>
      </w:r>
      <w:r>
        <w:t xml:space="preserve">Tarski, “On the Concept of Following Logically,” 183–84.</w:t>
      </w:r>
    </w:p>
  </w:footnote>
  <w:footnote w:id="34">
    <w:p>
      <w:pPr>
        <w:pStyle w:val="FootnoteText"/>
      </w:pPr>
      <w:r>
        <w:rPr>
          <w:rStyle w:val="FootnoteReference"/>
        </w:rPr>
        <w:footnoteRef/>
      </w:r>
      <w:r>
        <w:t xml:space="preserve"> </w:t>
      </w:r>
      <w:r>
        <w:t xml:space="preserve">John Buridan,</w:t>
      </w:r>
      <w:r>
        <w:t xml:space="preserve"> </w:t>
      </w:r>
      <w:r>
        <w:rPr>
          <w:i/>
        </w:rPr>
        <w:t xml:space="preserve">Tractatus de Consequentiis</w:t>
      </w:r>
      <w:r>
        <w:t xml:space="preserve">, ed. Hubert Hubien, Philosophes Médiévaux 16 (Louvain: Publications universitaires, 1976), 23–24</w:t>
      </w:r>
      <w:r>
        <w:t xml:space="preserve">: ‘Consequentia</w:t>
      </w:r>
      <w:r>
        <w:t xml:space="preserve"> </w:t>
      </w:r>
      <w:r>
        <w:t xml:space="preserve">‘</w:t>
      </w:r>
      <w:r>
        <w:t xml:space="preserve">formalis</w:t>
      </w:r>
      <w:r>
        <w:t xml:space="preserve">’</w:t>
      </w:r>
      <w:r>
        <w:t xml:space="preserve"> </w:t>
      </w:r>
      <w:r>
        <w:t xml:space="preserve">vocatur quae in omnibus terminis valet retenta forma consimili. Vel si vis expresse loqui de vi sermonis, consequentia formalis est cui omnis propositio similis in forma quae formaretur esset bona consequentia, ut</w:t>
      </w:r>
      <w:r>
        <w:t xml:space="preserve"> </w:t>
      </w:r>
      <w:r>
        <w:t xml:space="preserve">‘</w:t>
      </w:r>
      <w:r>
        <w:t xml:space="preserve">quod est A est B; ergo quod est B est A</w:t>
      </w:r>
      <w:r>
        <w:t xml:space="preserve">’</w:t>
      </w:r>
      <w:r>
        <w:t xml:space="preserve">. Translation taken from</w:t>
      </w:r>
      <w:r>
        <w:t xml:space="preserve"> </w:t>
      </w:r>
      <w:r>
        <w:t xml:space="preserve">John Buridan,</w:t>
      </w:r>
      <w:r>
        <w:t xml:space="preserve"> </w:t>
      </w:r>
      <w:r>
        <w:rPr>
          <w:i/>
        </w:rPr>
        <w:t xml:space="preserve">Treatise on Consequences</w:t>
      </w:r>
      <w:r>
        <w:t xml:space="preserve">, trans. Stephen Read (Bronx, NY: Fordham University Press, 2015), 68</w:t>
      </w:r>
      <w:r>
        <w:t xml:space="preserve">. Cf.</w:t>
      </w:r>
      <w:r>
        <w:t xml:space="preserve"> </w:t>
      </w:r>
      <w:r>
        <w:t xml:space="preserve">Pseudo-Scotus,</w:t>
      </w:r>
      <w:r>
        <w:t xml:space="preserve"> </w:t>
      </w:r>
      <w:r>
        <w:rPr>
          <w:i/>
        </w:rPr>
        <w:t xml:space="preserve">Quaestiones Super Libros Ii Priorum Analyticorum</w:t>
      </w:r>
      <w:r>
        <w:t xml:space="preserve">, Joannis Duns Scoti Doctoris Subtilis Ordinis Minorum Opera Omnia, vol. 2 (Paris: Wadding-Vives, 1891), 105</w:t>
      </w:r>
      <w:r>
        <w:t xml:space="preserve">.</w:t>
      </w:r>
    </w:p>
  </w:footnote>
  <w:footnote w:id="35">
    <w:p>
      <w:pPr>
        <w:pStyle w:val="FootnoteText"/>
      </w:pPr>
      <w:r>
        <w:rPr>
          <w:rStyle w:val="FootnoteReference"/>
        </w:rPr>
        <w:footnoteRef/>
      </w:r>
      <w:r>
        <w:t xml:space="preserve"> </w:t>
      </w:r>
      <w:r>
        <w:t xml:space="preserve">John Buridan,</w:t>
      </w:r>
      <w:r>
        <w:t xml:space="preserve"> </w:t>
      </w:r>
      <w:r>
        <w:rPr>
          <w:i/>
        </w:rPr>
        <w:t xml:space="preserve">Treatise on Consequences</w:t>
      </w:r>
      <w:r>
        <w:t xml:space="preserve">, 74.</w:t>
      </w:r>
      <w:r>
        <w:t xml:space="preserve"> </w:t>
      </w:r>
      <w:r>
        <w:t xml:space="preserve">=</w:t>
      </w:r>
      <w:r>
        <w:t xml:space="preserve"> </w:t>
      </w:r>
      <w:r>
        <w:t xml:space="preserve">John Buridan,</w:t>
      </w:r>
      <w:r>
        <w:t xml:space="preserve"> </w:t>
      </w:r>
      <w:r>
        <w:rPr>
          <w:i/>
        </w:rPr>
        <w:t xml:space="preserve">Tractatus de Consequentiis</w:t>
      </w:r>
      <w:r>
        <w:t xml:space="preserve">, 30.7–18</w:t>
      </w:r>
      <w:r>
        <w:t xml:space="preserve">: ‘Et dico quod in proposito, prout de materia et forma hic loquimur, per</w:t>
      </w:r>
      <w:r>
        <w:t xml:space="preserve"> </w:t>
      </w:r>
      <w:r>
        <w:t xml:space="preserve">‘</w:t>
      </w:r>
      <w:r>
        <w:t xml:space="preserve">materiam</w:t>
      </w:r>
      <w:r>
        <w:t xml:space="preserve">’</w:t>
      </w:r>
      <w:r>
        <w:t xml:space="preserve"> </w:t>
      </w:r>
      <w:r>
        <w:t xml:space="preserve">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37">
    <w:p>
      <w:pPr>
        <w:pStyle w:val="FootnoteText"/>
      </w:pPr>
      <w:r>
        <w:rPr>
          <w:rStyle w:val="FootnoteReference"/>
        </w:rPr>
        <w:footnoteRef/>
      </w:r>
      <w:r>
        <w:t xml:space="preserve"> </w:t>
      </w:r>
      <w:r>
        <w:t xml:space="preserve">Dutilh Novaes, “The Different Ways in Which Logic Is (Said to Be) Formal,” 314–21.</w:t>
      </w:r>
    </w:p>
  </w:footnote>
  <w:footnote w:id="38">
    <w:p>
      <w:pPr>
        <w:pStyle w:val="FootnoteText"/>
      </w:pPr>
      <w:r>
        <w:rPr>
          <w:rStyle w:val="FootnoteReference"/>
        </w:rPr>
        <w:footnoteRef/>
      </w:r>
      <w:r>
        <w:t xml:space="preserve"> </w:t>
      </w:r>
      <w:r>
        <w:t xml:space="preserve">For an in-depth comparison of Buridan and Tarski’s accounts, see</w:t>
      </w:r>
      <w:r>
        <w:t xml:space="preserve"> </w:t>
      </w:r>
      <w:r>
        <w:t xml:space="preserve">Jacob Archambault, “The Development of the Medieval Parisian Account of Formal Consequence” (Fordham University, 2017) ch. 2</w:t>
      </w:r>
      <w:r>
        <w:t xml:space="preserve">.</w:t>
      </w:r>
    </w:p>
  </w:footnote>
  <w:footnote w:id="39">
    <w:p>
      <w:pPr>
        <w:pStyle w:val="FootnoteText"/>
      </w:pPr>
      <w:r>
        <w:rPr>
          <w:rStyle w:val="FootnoteReference"/>
        </w:rPr>
        <w:footnoteRef/>
      </w:r>
      <w:r>
        <w:t xml:space="preserve"> </w:t>
      </w:r>
      <w:r>
        <w:t xml:space="preserve">Cf.</w:t>
      </w:r>
      <w:r>
        <w:t xml:space="preserve"> </w:t>
      </w:r>
      <w:r>
        <w:t xml:space="preserve">Christopher J. Martin, “Formal Consequence in Scotus and Ockham: Towards an Account of Scotus’ Logic,” in</w:t>
      </w:r>
      <w:r>
        <w:t xml:space="preserve"> </w:t>
      </w:r>
      <w:r>
        <w:rPr>
          <w:i/>
        </w:rPr>
        <w:t xml:space="preserve">Duns Scotus in Paris, 1302-2002: Proceedings of the Conference of Paris, 2-4 September 2002</w:t>
      </w:r>
      <w:r>
        <w:t xml:space="preserve">, ed. O. Boulnois, E. Karger, and G. Sondag (Turnhout: Brepols, 2004), 117–50; Christopher J. Martin, “The Theory of Natural Consequence,”</w:t>
      </w:r>
      <w:r>
        <w:t xml:space="preserve"> </w:t>
      </w:r>
      <w:r>
        <w:rPr>
          <w:i/>
        </w:rPr>
        <w:t xml:space="preserve">Vivarium</w:t>
      </w:r>
      <w:r>
        <w:t xml:space="preserve"> </w:t>
      </w:r>
      <w:r>
        <w:t xml:space="preserve">56, nos. 3-4 (2018): 340–66; Jacob Archambault, “Introduction: Consequences in Medieval Logic,”</w:t>
      </w:r>
      <w:r>
        <w:t xml:space="preserve"> </w:t>
      </w:r>
      <w:r>
        <w:rPr>
          <w:i/>
        </w:rPr>
        <w:t xml:space="preserve">Vivarium</w:t>
      </w:r>
      <w:r>
        <w:t xml:space="preserve"> </w:t>
      </w:r>
      <w:r>
        <w:t xml:space="preserve">56, nos. 3-4 (2018): 201–21</w:t>
      </w:r>
      <w:r>
        <w:t xml:space="preserve">.</w:t>
      </w:r>
    </w:p>
  </w:footnote>
  <w:footnote w:id="41">
    <w:p>
      <w:pPr>
        <w:pStyle w:val="FootnoteText"/>
      </w:pPr>
      <w:r>
        <w:rPr>
          <w:rStyle w:val="FootnoteReference"/>
        </w:rPr>
        <w:footnoteRef/>
      </w:r>
      <w:r>
        <w:t xml:space="preserve"> </w:t>
      </w:r>
      <w:r>
        <w:t xml:space="preserve">Early medieval logicians themselves did not: the earliest treaties dedicated to the concept of consequence as such don’t appear until turn of the fourteenth century. See</w:t>
      </w:r>
      <w:r>
        <w:t xml:space="preserve"> </w:t>
      </w:r>
      <w:r>
        <w:t xml:space="preserve">Archambault, “The Development of the Medieval Parisian Account of Formal Consequence.”</w:t>
      </w:r>
      <w:r>
        <w:t xml:space="preserve">.</w:t>
      </w:r>
    </w:p>
  </w:footnote>
  <w:footnote w:id="43">
    <w:p>
      <w:pPr>
        <w:pStyle w:val="FootnoteText"/>
      </w:pPr>
      <w:r>
        <w:rPr>
          <w:rStyle w:val="FootnoteReference"/>
        </w:rPr>
        <w:footnoteRef/>
      </w:r>
      <w:r>
        <w:t xml:space="preserve"> </w:t>
      </w:r>
      <w:r>
        <w:t xml:space="preserve">[1174C-D],</w:t>
      </w:r>
      <w:r>
        <w:t xml:space="preserve"> </w:t>
      </w:r>
      <w:r>
        <w:t xml:space="preserve">Boethius, “De Differentiis Topicis,” in</w:t>
      </w:r>
      <w:r>
        <w:t xml:space="preserve"> </w:t>
      </w:r>
      <w:r>
        <w:rPr>
          <w:i/>
        </w:rPr>
        <w:t xml:space="preserve">Patrologia Cursus Completus. Series Latina</w:t>
      </w:r>
      <w:r>
        <w:t xml:space="preserve">, vol. 64 (Paris: J. P. Migne, n.d.), 1173B–1216D</w:t>
      </w:r>
      <w:r>
        <w:t xml:space="preserve">:</w:t>
      </w:r>
      <w:r>
        <w:t xml:space="preserve"> </w:t>
      </w:r>
      <w:r>
        <w:t xml:space="preserve">‘</w:t>
      </w:r>
      <w:r>
        <w:t xml:space="preserve">Argumentum est ratio rei dubiae faciens fidem …Locus autem est sedes argumenti.</w:t>
      </w:r>
      <w:r>
        <w:t xml:space="preserve">’</w:t>
      </w:r>
    </w:p>
  </w:footnote>
  <w:footnote w:id="44">
    <w:p>
      <w:pPr>
        <w:pStyle w:val="FootnoteText"/>
      </w:pPr>
      <w:r>
        <w:rPr>
          <w:rStyle w:val="FootnoteReference"/>
        </w:rPr>
        <w:footnoteRef/>
      </w:r>
      <w:r>
        <w:t xml:space="preserve"> </w:t>
      </w:r>
      <w:r>
        <w:t xml:space="preserve">ibid., 1185A–B</w:t>
      </w:r>
      <w:r>
        <w:t xml:space="preserve">. Cf.</w:t>
      </w:r>
      <w:r>
        <w:t xml:space="preserve"> </w:t>
      </w:r>
      <w:r>
        <w:t xml:space="preserve">Toivo J. Holopainen,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 Jacob Archambault, “Monotonic and Non-Monotonic Embeddings of Anselm’s Proof,”</w:t>
      </w:r>
      <w:r>
        <w:t xml:space="preserve"> </w:t>
      </w:r>
      <w:r>
        <w:rPr>
          <w:i/>
        </w:rPr>
        <w:t xml:space="preserve">Logica Universalis</w:t>
      </w:r>
      <w:r>
        <w:t xml:space="preserve"> </w:t>
      </w:r>
      <w:r>
        <w:t xml:space="preserve">11 (2017): 121–38</w:t>
      </w:r>
    </w:p>
  </w:footnote>
  <w:footnote w:id="46">
    <w:p>
      <w:pPr>
        <w:pStyle w:val="FootnoteText"/>
      </w:pPr>
      <w:r>
        <w:rPr>
          <w:rStyle w:val="FootnoteReference"/>
        </w:rPr>
        <w:footnoteRef/>
      </w:r>
      <w:r>
        <w:t xml:space="preserve"> </w:t>
      </w:r>
      <w:r>
        <w:t xml:space="preserve">Boethius,</w:t>
      </w:r>
      <w:r>
        <w:t xml:space="preserve"> </w:t>
      </w:r>
      <w:r>
        <w:rPr>
          <w:i/>
        </w:rPr>
        <w:t xml:space="preserve">De Hypotheticis Syllogismis</w:t>
      </w:r>
      <w:r>
        <w:t xml:space="preserve">, ed. L. Obertello (Brescia: Paideia, 1969), 1.3.2</w:t>
      </w:r>
      <w:r>
        <w:t xml:space="preserve">. Boethius takes the Latin</w:t>
      </w:r>
      <w:r>
        <w:t xml:space="preserve"> </w:t>
      </w:r>
      <w:r>
        <w:t xml:space="preserve">‘</w:t>
      </w:r>
      <w:r>
        <w:rPr>
          <w:i/>
        </w:rPr>
        <w:t xml:space="preserve">conditionalis</w:t>
      </w:r>
      <w:r>
        <w:t xml:space="preserve">’</w:t>
      </w:r>
      <w:r>
        <w:t xml:space="preserve"> </w:t>
      </w:r>
      <w:r>
        <w:t xml:space="preserve">to mean the same as the Greek</w:t>
      </w:r>
      <w:r>
        <w:t xml:space="preserve"> </w:t>
      </w:r>
      <w:r>
        <w:t xml:space="preserve">‘</w:t>
      </w:r>
      <w:r>
        <w:rPr>
          <w:i/>
        </w:rPr>
        <w:t xml:space="preserve">hypothetica</w:t>
      </w:r>
      <w:r>
        <w:t xml:space="preserve">’</w:t>
      </w:r>
      <w:r>
        <w:t xml:space="preserve">.Since Boethius counts not only conditionals in the modern sense, but also disjunctions among hypothetical propositions (on the grounds that</w:t>
      </w:r>
      <w:r>
        <w:t xml:space="preserve"> </w:t>
      </w:r>
      <w:r>
        <w:t xml:space="preserve">‘</w:t>
      </w:r>
      <w:r>
        <w:t xml:space="preserve">A or B</w:t>
      </w:r>
      <w:r>
        <w:t xml:space="preserve">’</w:t>
      </w:r>
      <w:r>
        <w:t xml:space="preserve">, taking</w:t>
      </w:r>
      <w:r>
        <w:t xml:space="preserve"> </w:t>
      </w:r>
      <w:r>
        <w:t xml:space="preserve">‘</w:t>
      </w:r>
      <w:r>
        <w:t xml:space="preserve">or</w:t>
      </w:r>
      <w:r>
        <w:t xml:space="preserve">’</w:t>
      </w:r>
      <w:r>
        <w:t xml:space="preserve"> </w:t>
      </w:r>
      <w:r>
        <w:t xml:space="preserve">to exclude the possibility that both disjuncts are true, is equivalent to</w:t>
      </w:r>
      <w:r>
        <w:t xml:space="preserve"> </w:t>
      </w:r>
      <w:r>
        <w:t xml:space="preserve">‘</w:t>
      </w:r>
      <w:r>
        <w:t xml:space="preserve">If A, then not B</w:t>
      </w:r>
      <w:r>
        <w:t xml:space="preserve">’</w:t>
      </w:r>
      <w:r>
        <w:t xml:space="preserve">), his understanding of</w:t>
      </w:r>
      <w:r>
        <w:t xml:space="preserve"> </w:t>
      </w:r>
      <w:r>
        <w:t xml:space="preserve">‘</w:t>
      </w:r>
      <w:r>
        <w:t xml:space="preserve">conditional</w:t>
      </w:r>
      <w:r>
        <w:t xml:space="preserve">’</w:t>
      </w:r>
      <w:r>
        <w:t xml:space="preserve"> </w:t>
      </w:r>
      <w:r>
        <w:t xml:space="preserve">must differ from the syntactic definition employed today.</w:t>
      </w:r>
    </w:p>
  </w:footnote>
  <w:footnote w:id="47">
    <w:p>
      <w:pPr>
        <w:pStyle w:val="FootnoteText"/>
      </w:pPr>
      <w:r>
        <w:rPr>
          <w:rStyle w:val="FootnoteReference"/>
        </w:rPr>
        <w:footnoteRef/>
      </w:r>
      <w:r>
        <w:t xml:space="preserve"> </w:t>
      </w:r>
      <w:r>
        <w:t xml:space="preserve">ibid., 1.1.6</w:t>
      </w:r>
      <w:r>
        <w:t xml:space="preserve">:</w:t>
      </w:r>
      <w:r>
        <w:t xml:space="preserve"> </w:t>
      </w:r>
      <w:r>
        <w:t xml:space="preserve">‘</w:t>
      </w:r>
      <w:r>
        <w:t xml:space="preserve">Primum igitur dicendum est quod praedicatiua propositio uim suam non in conditione sed in sola praedicatione constituit, in conditionali uero consequentiae ratio ex conditione suscipitur</w:t>
      </w:r>
      <w:r>
        <w:t xml:space="preserve">’</w:t>
      </w:r>
      <w:r>
        <w:t xml:space="preserve">.</w:t>
      </w:r>
    </w:p>
  </w:footnote>
  <w:footnote w:id="48">
    <w:p>
      <w:pPr>
        <w:pStyle w:val="FootnoteText"/>
      </w:pPr>
      <w:r>
        <w:rPr>
          <w:rStyle w:val="FootnoteReference"/>
        </w:rPr>
        <w:footnoteRef/>
      </w:r>
      <w:r>
        <w:t xml:space="preserve"> </w:t>
      </w:r>
      <w:r>
        <w:t xml:space="preserve">ibid., 1.3.5.</w:t>
      </w:r>
      <w:r>
        <w:t xml:space="preserve"> </w:t>
      </w:r>
      <w:r>
        <w:t xml:space="preserve">Boethius, “De Differentiis Topicis,” 1176B–C</w:t>
      </w:r>
    </w:p>
  </w:footnote>
  <w:footnote w:id="49">
    <w:p>
      <w:pPr>
        <w:pStyle w:val="FootnoteText"/>
      </w:pPr>
      <w:r>
        <w:rPr>
          <w:rStyle w:val="FootnoteReference"/>
        </w:rPr>
        <w:footnoteRef/>
      </w:r>
      <w:r>
        <w:t xml:space="preserve"> </w:t>
      </w:r>
      <w:r>
        <w:t xml:space="preserve">The division has also been taken to suggest that Boethius conflates the denial of a consequent with the denial of a consequence as a whole</w:t>
      </w:r>
      <w:r>
        <w:t xml:space="preserve"> </w:t>
      </w:r>
      <w:r>
        <w:t xml:space="preserve">Christopher J. Martin, “Denying Conditionals: Abaelard and the Failure of Boethius’ Account of the Hypothetical Syllogism,”</w:t>
      </w:r>
      <w:r>
        <w:t xml:space="preserve"> </w:t>
      </w:r>
      <w:r>
        <w:rPr>
          <w:i/>
        </w:rPr>
        <w:t xml:space="preserve">Vivarium</w:t>
      </w:r>
      <w:r>
        <w:t xml:space="preserve"> </w:t>
      </w:r>
      <w:r>
        <w:t xml:space="preserve">45 (2007): 157–58</w:t>
      </w:r>
      <w:r>
        <w:t xml:space="preserve">.</w:t>
      </w:r>
    </w:p>
  </w:footnote>
  <w:footnote w:id="50">
    <w:p>
      <w:pPr>
        <w:pStyle w:val="FootnoteText"/>
      </w:pPr>
      <w:r>
        <w:rPr>
          <w:rStyle w:val="FootnoteReference"/>
        </w:rPr>
        <w:footnoteRef/>
      </w:r>
      <w:r>
        <w:t xml:space="preserve"> </w:t>
      </w:r>
      <w:r>
        <w:t xml:space="preserve">Boethius, “De Differentiis Topicis,” 1179A–B</w:t>
      </w:r>
      <w:r>
        <w:t xml:space="preserve">: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51">
    <w:p>
      <w:pPr>
        <w:pStyle w:val="FootnoteText"/>
      </w:pPr>
      <w:r>
        <w:rPr>
          <w:rStyle w:val="FootnoteReference"/>
        </w:rPr>
        <w:footnoteRef/>
      </w:r>
      <w:r>
        <w:t xml:space="preserve"> </w:t>
      </w:r>
      <w:r>
        <w:t xml:space="preserve">ibid., 1179D</w:t>
      </w:r>
      <w:r>
        <w:t xml:space="preserve">:</w:t>
      </w:r>
      <w:r>
        <w:t xml:space="preserve"> </w:t>
      </w:r>
      <w:r>
        <w:t xml:space="preserve">‘</w:t>
      </w:r>
      <w:r>
        <w:t xml:space="preserve">Earum uero quaestionum quae ex affirmatione et negatione consistunt, illa fere diuisio est, quod uel in diuersis generibus, uel in diuersis speciebus, uel in contrariis, uel in priuatione atque habitu continentur</w:t>
      </w:r>
      <w:r>
        <w:t xml:space="preserve">’</w:t>
      </w:r>
    </w:p>
  </w:footnote>
  <w:footnote w:id="52">
    <w:p>
      <w:pPr>
        <w:pStyle w:val="FootnoteText"/>
      </w:pPr>
      <w:r>
        <w:rPr>
          <w:rStyle w:val="FootnoteReference"/>
        </w:rPr>
        <w:footnoteRef/>
      </w:r>
      <w:r>
        <w:t xml:space="preserve"> </w:t>
      </w:r>
      <w:r>
        <w:t xml:space="preserve">ibid., 1180A.</w:t>
      </w:r>
      <w:r>
        <w:t xml:space="preserve"> </w:t>
      </w:r>
      <w:r>
        <w:t xml:space="preserve">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54">
    <w:p>
      <w:pPr>
        <w:pStyle w:val="FootnoteText"/>
      </w:pPr>
      <w:r>
        <w:rPr>
          <w:rStyle w:val="FootnoteReference"/>
        </w:rPr>
        <w:footnoteRef/>
      </w:r>
      <w:r>
        <w:t xml:space="preserve"> </w:t>
      </w:r>
      <w:r>
        <w:t xml:space="preserve">See</w:t>
      </w:r>
      <w:r>
        <w:t xml:space="preserve"> </w:t>
      </w:r>
      <w:r>
        <w:t xml:space="preserve">Martin, “Denying Conditionals”; Bianca Bosman, “The Roots of the Notion of Containment in Theories of Consequence: Boethius on Topics, Containment, and Consequences,”</w:t>
      </w:r>
      <w:r>
        <w:t xml:space="preserve"> </w:t>
      </w:r>
      <w:r>
        <w:rPr>
          <w:i/>
        </w:rPr>
        <w:t xml:space="preserve">Vivarium</w:t>
      </w:r>
      <w:r>
        <w:t xml:space="preserve"> </w:t>
      </w:r>
      <w:r>
        <w:t xml:space="preserve">56, nos. 3-4 (2018): 222–40</w:t>
      </w:r>
      <w:r>
        <w:t xml:space="preserve">.</w:t>
      </w:r>
    </w:p>
  </w:footnote>
  <w:footnote w:id="55">
    <w:p>
      <w:pPr>
        <w:pStyle w:val="FootnoteText"/>
      </w:pPr>
      <w:r>
        <w:rPr>
          <w:rStyle w:val="FootnoteReference"/>
        </w:rPr>
        <w:footnoteRef/>
      </w:r>
      <w:r>
        <w:t xml:space="preserve"> </w:t>
      </w:r>
      <w:r>
        <w:t xml:space="preserve">Boethius, “De Differentiis Topicis,” 1191A–B.</w:t>
      </w:r>
    </w:p>
  </w:footnote>
  <w:footnote w:id="58">
    <w:p>
      <w:pPr>
        <w:pStyle w:val="FootnoteText"/>
      </w:pPr>
      <w:r>
        <w:rPr>
          <w:rStyle w:val="FootnoteReference"/>
        </w:rPr>
        <w:footnoteRef/>
      </w:r>
      <w:r>
        <w:t xml:space="preserve"> </w:t>
      </w:r>
      <w:r>
        <w:t xml:space="preserve">Catarina Dutilh Novaes, “Theory of Supposition Vs. Theory of Fallacies in Ockham,”</w:t>
      </w:r>
      <w:r>
        <w:t xml:space="preserve"> </w:t>
      </w:r>
      <w:r>
        <w:rPr>
          <w:i/>
        </w:rPr>
        <w:t xml:space="preserve">Vivarium</w:t>
      </w:r>
      <w:r>
        <w:t xml:space="preserve"> </w:t>
      </w:r>
      <w:r>
        <w:t xml:space="preserve">45, nos. 2-3 (2007): 343–59; Catarina Dutilh Novaes, “An Intensional Interpretation of Ockham’s Theory of Supposition,”</w:t>
      </w:r>
      <w:r>
        <w:t xml:space="preserve"> </w:t>
      </w:r>
      <w:r>
        <w:rPr>
          <w:i/>
        </w:rPr>
        <w:t xml:space="preserve">Journal of the History of Philosophy</w:t>
      </w:r>
      <w:r>
        <w:t xml:space="preserve"> </w:t>
      </w:r>
      <w:r>
        <w:t xml:space="preserve">46, no. 3 (2008): 365–93.</w:t>
      </w:r>
    </w:p>
  </w:footnote>
  <w:footnote w:id="59">
    <w:p>
      <w:pPr>
        <w:pStyle w:val="FootnoteText"/>
      </w:pPr>
      <w:r>
        <w:rPr>
          <w:rStyle w:val="FootnoteReference"/>
        </w:rPr>
        <w:footnoteRef/>
      </w:r>
      <w:r>
        <w:t xml:space="preserve"> </w:t>
      </w:r>
      <w:r>
        <w:t xml:space="preserve">William of Ockham, “Summa Logicae,” in</w:t>
      </w:r>
      <w:r>
        <w:t xml:space="preserve"> </w:t>
      </w:r>
      <w:r>
        <w:rPr>
          <w:i/>
        </w:rPr>
        <w:t xml:space="preserve">Opera Philosophica</w:t>
      </w:r>
      <w:r>
        <w:t xml:space="preserve">, ed. Philotheus Boehner, Gedeon Gàl, and Stephen Brown, vol. 1 (St. Bonaventure, NY: Franciscan Institute, 1974), 193–97.</w:t>
      </w:r>
    </w:p>
  </w:footnote>
  <w:footnote w:id="60">
    <w:p>
      <w:pPr>
        <w:pStyle w:val="FootnoteText"/>
      </w:pPr>
      <w:r>
        <w:rPr>
          <w:rStyle w:val="FootnoteReference"/>
        </w:rPr>
        <w:footnoteRef/>
      </w:r>
      <w:r>
        <w:t xml:space="preserve"> </w:t>
      </w:r>
      <w:r>
        <w:t xml:space="preserve">This nominalist reading is reflected in modern formalizations of the notion, e.g. those of Klima and Parsons.</w:t>
      </w:r>
      <w:r>
        <w:t xml:space="preserve"> </w:t>
      </w:r>
      <w:r>
        <w:t xml:space="preserve">Gyula Klima,</w:t>
      </w:r>
      <w:r>
        <w:t xml:space="preserve"> </w:t>
      </w:r>
      <w:r>
        <w:rPr>
          <w:i/>
        </w:rPr>
        <w:t xml:space="preserve">Ars Artium: Essays in Philosophical Semantics, Medieval and Modern</w:t>
      </w:r>
      <w:r>
        <w:t xml:space="preserve"> </w:t>
      </w:r>
      <w:r>
        <w:t xml:space="preserve">(Budapest: Institute of Philosophy of the Hungarian Academy of Sciences, 1988); Terence Parsons,</w:t>
      </w:r>
      <w:r>
        <w:t xml:space="preserve"> </w:t>
      </w:r>
      <w:r>
        <w:rPr>
          <w:i/>
        </w:rPr>
        <w:t xml:space="preserve">Articulating Medieval Logic</w:t>
      </w:r>
      <w:r>
        <w:t xml:space="preserve"> </w:t>
      </w:r>
      <w:r>
        <w:t xml:space="preserve">(Oxford: Oxford University Press, 2014)</w:t>
      </w:r>
      <w:r>
        <w:t xml:space="preserve">.</w:t>
      </w:r>
    </w:p>
  </w:footnote>
  <w:footnote w:id="61">
    <w:p>
      <w:pPr>
        <w:pStyle w:val="FootnoteText"/>
      </w:pPr>
      <w:r>
        <w:rPr>
          <w:rStyle w:val="FootnoteReference"/>
        </w:rPr>
        <w:footnoteRef/>
      </w:r>
      <w:r>
        <w:t xml:space="preserve"> </w:t>
      </w:r>
      <w:r>
        <w:t xml:space="preserve">For fuller discussion of the notion of supposition in medieval philosophy, see</w:t>
      </w:r>
      <w:r>
        <w:t xml:space="preserve"> </w:t>
      </w:r>
      <w:r>
        <w:t xml:space="preserve">Klima,</w:t>
      </w:r>
      <w:r>
        <w:t xml:space="preserve"> </w:t>
      </w:r>
      <w:r>
        <w:rPr>
          <w:i/>
        </w:rPr>
        <w:t xml:space="preserve">Ars Artium</w:t>
      </w:r>
      <w:r>
        <w:t xml:space="preserve">; Graham Priest and Stephen Read, “The Formalization of Ockham’s Theory of Supposition,”</w:t>
      </w:r>
      <w:r>
        <w:t xml:space="preserve"> </w:t>
      </w:r>
      <w:r>
        <w:rPr>
          <w:i/>
        </w:rPr>
        <w:t xml:space="preserve">Mind</w:t>
      </w:r>
      <w:r>
        <w:t xml:space="preserve"> </w:t>
      </w:r>
      <w:r>
        <w:t xml:space="preserve">86, no. 341 (1977): 109–13; Wilfrid Hodges, “Detecting the Logical Content: Burley’s ‘Purity of Logic’,” in</w:t>
      </w:r>
      <w:r>
        <w:t xml:space="preserve"> </w:t>
      </w:r>
      <w:r>
        <w:rPr>
          <w:i/>
        </w:rPr>
        <w:t xml:space="preserve">We Will Show Them! Essays in Honour of Dov Gabbay</w:t>
      </w:r>
      <w:r>
        <w:t xml:space="preserve">, ed. Sergei Artemov et al., vol. 2 (London: College Publications, 2005), 69–116; Parsons,</w:t>
      </w:r>
      <w:r>
        <w:t xml:space="preserve"> </w:t>
      </w:r>
      <w:r>
        <w:rPr>
          <w:i/>
        </w:rPr>
        <w:t xml:space="preserve">Articulating Medieval Logic</w:t>
      </w:r>
      <w:r>
        <w:t xml:space="preserve">.</w:t>
      </w:r>
    </w:p>
  </w:footnote>
  <w:footnote w:id="62">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ed. Philotheus Boehner (St Bonaventure, NY: Franciscan Institute, 1955), 76.5–7</w:t>
      </w:r>
      <w:r>
        <w:t xml:space="preserve">:</w:t>
      </w:r>
      <w:r>
        <w:t xml:space="preserve"> </w:t>
      </w:r>
      <w:r>
        <w:t xml:space="preserve">‘</w:t>
      </w:r>
      <w:r>
        <w:t xml:space="preserve">Nam propositio maxima non est nisi regula, per quam consequentia tenet.</w:t>
      </w:r>
      <w:r>
        <w:t xml:space="preserve">’</w:t>
      </w:r>
      <w:r>
        <w:t xml:space="preserve"> </w:t>
      </w:r>
      <w:r>
        <w:t xml:space="preserve">Cf.</w:t>
      </w:r>
      <w:r>
        <w:t xml:space="preserve"> </w:t>
      </w:r>
      <w:r>
        <w:t xml:space="preserve">William of Ockham, “Elementarium Logicae,” in</w:t>
      </w:r>
      <w:r>
        <w:t xml:space="preserve"> </w:t>
      </w:r>
      <w:r>
        <w:rPr>
          <w:i/>
        </w:rPr>
        <w:t xml:space="preserve">Opera Philosophica: Opera Dubia et Spuria</w:t>
      </w:r>
      <w:r>
        <w:t xml:space="preserve">, ed. Eligius M. Buytaert, vol. 7 (St. Bonaventure, NY: Franciscan Institute, 1988), 31.3–6</w:t>
      </w:r>
      <w:r>
        <w:t xml:space="preserve">.</w:t>
      </w:r>
    </w:p>
  </w:footnote>
  <w:footnote w:id="63">
    <w:p>
      <w:pPr>
        <w:pStyle w:val="FootnoteText"/>
      </w:pPr>
      <w:r>
        <w:rPr>
          <w:rStyle w:val="FootnoteReference"/>
        </w:rPr>
        <w:footnoteRef/>
      </w:r>
      <w:r>
        <w:t xml:space="preserve"> </w:t>
      </w:r>
      <w:r>
        <w:t xml:space="preserve">See</w:t>
      </w:r>
      <w:r>
        <w:t xml:space="preserve"> </w:t>
      </w:r>
      <w:r>
        <w:t xml:space="preserve">Green-Pedersen, “Two Early Anonymous Tracts on Consequences”</w:t>
      </w:r>
      <w:r>
        <w:t xml:space="preserve"> </w:t>
      </w:r>
      <w:r>
        <w:rPr>
          <w:i/>
        </w:rPr>
        <w:t xml:space="preserve">passim</w:t>
      </w:r>
    </w:p>
  </w:footnote>
  <w:footnote w:id="65">
    <w:p>
      <w:pPr>
        <w:pStyle w:val="FootnoteText"/>
      </w:pPr>
      <w:r>
        <w:rPr>
          <w:rStyle w:val="FootnoteReference"/>
        </w:rPr>
        <w:footnoteRef/>
      </w:r>
      <w:r>
        <w:t xml:space="preserve"> </w:t>
      </w:r>
      <w:r>
        <w:t xml:space="preserve">Ibid., 9, par. 27.</w:t>
      </w:r>
    </w:p>
  </w:footnote>
  <w:footnote w:id="66">
    <w:p>
      <w:pPr>
        <w:pStyle w:val="FootnoteText"/>
      </w:pPr>
      <w:r>
        <w:rPr>
          <w:rStyle w:val="FootnoteReference"/>
        </w:rPr>
        <w:footnoteRef/>
      </w:r>
      <w:r>
        <w:t xml:space="preserve"> </w:t>
      </w:r>
      <w:r>
        <w:t xml:space="preserve">Niels Jørgen Green-Pedersen,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124, par. 58</w:t>
      </w:r>
      <w:r>
        <w:t xml:space="preserve">:</w:t>
      </w:r>
      <w:r>
        <w:t xml:space="preserve"> </w:t>
      </w:r>
      <w:r>
        <w:t xml:space="preserve">‘</w:t>
      </w:r>
      <w:r>
        <w:t xml:space="preserve">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w:t>
      </w:r>
      <w:r>
        <w:t xml:space="preserve"> </w:t>
      </w:r>
      <w:r>
        <w:t xml:space="preserve">‘</w:t>
      </w:r>
      <w:r>
        <w:t xml:space="preserve">omnis homo praeter Socratem currit, ergo Plato praeter Socratem currit.</w:t>
      </w:r>
      <w:r>
        <w:t xml:space="preserve">’</w:t>
      </w:r>
      <w:r>
        <w:t xml:space="preserve"> </w:t>
      </w:r>
      <w:r>
        <w:t xml:space="preserve">Tamen respectu praedicati contingit descendere, quia sequitur</w:t>
      </w:r>
      <w:r>
        <w:t xml:space="preserve"> </w:t>
      </w:r>
      <w:r>
        <w:t xml:space="preserve">‘</w:t>
      </w:r>
      <w:r>
        <w:t xml:space="preserve">omnis homo praeter Socratem currit, ergo Plato currit,</w:t>
      </w:r>
      <w:r>
        <w:t xml:space="preserve">’</w:t>
      </w:r>
      <w:r>
        <w:t xml:space="preserve"> </w:t>
      </w:r>
      <w:r>
        <w:t xml:space="preserve">et sic de singulis.</w:t>
      </w:r>
      <w:r>
        <w:t xml:space="preserve">’</w:t>
      </w:r>
      <w:r>
        <w:t xml:space="preserve"> </w:t>
      </w:r>
      <w:r>
        <w:t xml:space="preserve">Translations for</w:t>
      </w:r>
      <w:r>
        <w:t xml:space="preserve"> </w:t>
      </w:r>
      <w:r>
        <w:t xml:space="preserve">Green-Pedersen, “Two Early Anonymous Tracts on Consequences”; Green-Pedersen, “Walter Burley’s</w:t>
      </w:r>
      <w:r>
        <w:t xml:space="preserve"> </w:t>
      </w:r>
      <w:r>
        <w:rPr>
          <w:i/>
        </w:rPr>
        <w:t xml:space="preserve">de Consequentiis</w:t>
      </w:r>
      <w:r>
        <w:t xml:space="preserve">.”</w:t>
      </w:r>
      <w:r>
        <w:t xml:space="preserve"> </w:t>
      </w:r>
      <w:r>
        <w:t xml:space="preserve">are taken from</w:t>
      </w:r>
      <w:r>
        <w:t xml:space="preserve"> </w:t>
      </w:r>
      <w:r>
        <w:t xml:space="preserve">Archambault, “The Development of the Medieval Parisian Account of Formal Consequence,” 171–273</w:t>
      </w:r>
      <w:r>
        <w:t xml:space="preserve">.</w:t>
      </w:r>
    </w:p>
  </w:footnote>
  <w:footnote w:id="68">
    <w:p>
      <w:pPr>
        <w:pStyle w:val="FootnoteText"/>
      </w:pPr>
      <w:r>
        <w:rPr>
          <w:rStyle w:val="FootnoteReference"/>
        </w:rPr>
        <w:footnoteRef/>
      </w:r>
      <w:r>
        <w:t xml:space="preserve"> </w:t>
      </w:r>
      <w:r>
        <w:t xml:space="preserve">Green-Pedersen, “Two Early Anonymous Tracts on Consequences,” 18, par. 34</w:t>
      </w:r>
      <w:r>
        <w:t xml:space="preserve">: ‘Ostendo istam consequentiam</w:t>
      </w:r>
      <w:r>
        <w:t xml:space="preserve"> </w:t>
      </w:r>
      <w:r>
        <w:t xml:space="preserve">‘</w:t>
      </w:r>
      <w:r>
        <w:t xml:space="preserve">homo est homo albus, ergo homo est [homo] albus</w:t>
      </w:r>
      <w:r>
        <w:t xml:space="preserve">’</w:t>
      </w:r>
      <w:r>
        <w:t xml:space="preserve"> </w:t>
      </w:r>
      <w:r>
        <w:t xml:space="preserve">per istam regulam: posito per accidens ponitur et per se. Sed</w:t>
      </w:r>
      <w:r>
        <w:t xml:space="preserve"> </w:t>
      </w:r>
      <w:r>
        <w:t xml:space="preserve">‘</w:t>
      </w:r>
      <w:r>
        <w:t xml:space="preserve">homo albus</w:t>
      </w:r>
      <w:r>
        <w:t xml:space="preserve">’</w:t>
      </w:r>
      <w:r>
        <w:t xml:space="preserve"> </w:t>
      </w:r>
      <w:r>
        <w:t xml:space="preserve">est suppositum per accidens alicuius respectu eiusdem ponitur et</w:t>
      </w:r>
      <w:r>
        <w:t xml:space="preserve"> </w:t>
      </w:r>
      <w:r>
        <w:t xml:space="preserve">‘</w:t>
      </w:r>
      <w:r>
        <w:t xml:space="preserve">album</w:t>
      </w:r>
      <w:r>
        <w:t xml:space="preserve">’</w:t>
      </w:r>
      <w:r>
        <w:t xml:space="preserve">.</w:t>
      </w:r>
    </w:p>
  </w:footnote>
  <w:footnote w:id="69">
    <w:p>
      <w:pPr>
        <w:pStyle w:val="FootnoteText"/>
      </w:pPr>
      <w:r>
        <w:rPr>
          <w:rStyle w:val="FootnoteReference"/>
        </w:rPr>
        <w:footnoteRef/>
      </w:r>
      <w:r>
        <w:t xml:space="preserve"> </w:t>
      </w:r>
      <w:r>
        <w:t xml:space="preserve">ibid., 19, par. 38</w:t>
      </w:r>
      <w:r>
        <w:t xml:space="preserve">:</w:t>
      </w:r>
      <w:r>
        <w:t xml:space="preserve"> </w:t>
      </w:r>
      <w:r>
        <w:t xml:space="preserve">‘</w:t>
      </w:r>
      <w:r>
        <w:t xml:space="preserve">Et sunt supposita per accidens ista quae aggregantur ex duobus contingenter sibi invicem inhaerentibus, ut illud</w:t>
      </w:r>
      <w:r>
        <w:t xml:space="preserve"> </w:t>
      </w:r>
      <w:r>
        <w:t xml:space="preserve">‘</w:t>
      </w:r>
      <w:r>
        <w:t xml:space="preserve">homo albus</w:t>
      </w:r>
      <w:r>
        <w:t xml:space="preserve">’</w:t>
      </w:r>
      <w:r>
        <w:t xml:space="preserve"> </w:t>
      </w:r>
      <w:r>
        <w:t xml:space="preserve">est aggregatum per accidens, quia aggregatum ex</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 quae contingenter sibi invicem inhaerent. Ideo haec est contingens</w:t>
      </w:r>
      <w:r>
        <w:t xml:space="preserve"> </w:t>
      </w:r>
      <w:r>
        <w:t xml:space="preserve">‘</w:t>
      </w:r>
      <w:r>
        <w:t xml:space="preserve">homo est homo albus</w:t>
      </w:r>
      <w:r>
        <w:t xml:space="preserve">’</w:t>
      </w:r>
      <w:r>
        <w:t xml:space="preserve"> </w:t>
      </w:r>
      <w:r>
        <w:t xml:space="preserve">etc. Illa est contingens, et eorum convertibilia sunt contingentia, quia in omnibus his praedicatur superius de inferiori [et] per accidens [album], quia unumquodque se habens per appositionem respectu alterius inferius est eo. Ideo</w:t>
      </w:r>
      <w:r>
        <w:t xml:space="preserve"> </w:t>
      </w:r>
      <w:r>
        <w:t xml:space="preserve">‘</w:t>
      </w:r>
      <w:r>
        <w:t xml:space="preserve">homo albus</w:t>
      </w:r>
      <w:r>
        <w:t xml:space="preserve">’</w:t>
      </w:r>
      <w:r>
        <w:t xml:space="preserve"> </w:t>
      </w:r>
      <w:r>
        <w:t xml:space="preserve">inferius est</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w:t>
      </w:r>
      <w:r>
        <w:t xml:space="preserve">.</w:t>
      </w:r>
    </w:p>
  </w:footnote>
  <w:footnote w:id="71">
    <w:p>
      <w:pPr>
        <w:pStyle w:val="FootnoteText"/>
      </w:pPr>
      <w:r>
        <w:rPr>
          <w:rStyle w:val="FootnoteReference"/>
        </w:rPr>
        <w:footnoteRef/>
      </w:r>
      <w:r>
        <w:t xml:space="preserve"> </w:t>
      </w:r>
      <w:r>
        <w:t xml:space="preserve">For the translation of the title of Burley’s work, see</w:t>
      </w:r>
      <w:r>
        <w:t xml:space="preserve"> </w:t>
      </w:r>
      <w:r>
        <w:t xml:space="preserve">Paul Vincent Spade and Stephen Menn, “A Note on the Title of Walter Burley’s</w:t>
      </w:r>
      <w:r>
        <w:t xml:space="preserve"> </w:t>
      </w:r>
      <w:r>
        <w:rPr>
          <w:i/>
        </w:rPr>
        <w:t xml:space="preserve">on the Purity of the Art of Logic</w:t>
      </w:r>
      <w:r>
        <w:t xml:space="preserve">” 2003,</w:t>
      </w:r>
      <w:r>
        <w:t xml:space="preserve"> </w:t>
      </w:r>
      <w:hyperlink r:id="rId72">
        <w:r>
          <w:rPr>
            <w:rStyle w:val="Hyperlink"/>
          </w:rPr>
          <w:t xml:space="preserve">http://pvspade.com/Logic/docs/BurlNote.pdf</w:t>
        </w:r>
      </w:hyperlink>
      <w:r>
        <w:t xml:space="preserve">.</w:t>
      </w:r>
    </w:p>
  </w:footnote>
  <w:footnote w:id="73">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209.35–210.2</w:t>
      </w:r>
      <w:r>
        <w:t xml:space="preserve">:</w:t>
      </w:r>
      <w:r>
        <w:t xml:space="preserve"> </w:t>
      </w:r>
      <w:r>
        <w:t xml:space="preserve">‘</w:t>
      </w:r>
      <w:r>
        <w:t xml:space="preserve">Quinta regula principalis est ista: Ad negationem superioris sequitur negatio cuiuslibet inferioris. Et haec regula est intelligenda, quando superius negatum supponit personaliter; sequitur enim: Sortes non est animal, ergo Sortes non est homo nec asinus et sic de aliis.</w:t>
      </w:r>
      <w:r>
        <w:t xml:space="preserve">’</w:t>
      </w:r>
    </w:p>
  </w:footnote>
  <w:footnote w:id="74">
    <w:p>
      <w:pPr>
        <w:pStyle w:val="FootnoteText"/>
      </w:pPr>
      <w:r>
        <w:rPr>
          <w:rStyle w:val="FootnoteReference"/>
        </w:rPr>
        <w:footnoteRef/>
      </w:r>
      <w:r>
        <w:t xml:space="preserve"> </w:t>
      </w:r>
      <w:r>
        <w:t xml:space="preserve">According to Dutilh Novaes, Burley revives the notion of</w:t>
      </w:r>
      <w:r>
        <w:t xml:space="preserve"> </w:t>
      </w:r>
      <w:r>
        <w:rPr>
          <w:i/>
        </w:rPr>
        <w:t xml:space="preserve">suppositio formalis</w:t>
      </w:r>
      <w:r>
        <w:t xml:space="preserve"> </w:t>
      </w:r>
      <w:r>
        <w:t xml:space="preserve">unmentioned by Peter of Spain, Roger Bacon, or the</w:t>
      </w:r>
      <w:r>
        <w:t xml:space="preserve"> </w:t>
      </w:r>
      <w:r>
        <w:rPr>
          <w:i/>
        </w:rPr>
        <w:t xml:space="preserve">logica Lamberti</w:t>
      </w:r>
      <w:r>
        <w:t xml:space="preserve">, from William of Sherwood</w:t>
      </w:r>
      <w:r>
        <w:t xml:space="preserve"> </w:t>
      </w:r>
      <w:r>
        <w:t xml:space="preserve">Catarina Dutilh Novaes,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360</w:t>
      </w:r>
      <w:r>
        <w:t xml:space="preserve">.</w:t>
      </w:r>
    </w:p>
  </w:footnote>
  <w:footnote w:id="75">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3.1–5</w:t>
      </w:r>
      <w:r>
        <w:t xml:space="preserve">:</w:t>
      </w:r>
      <w:r>
        <w:t xml:space="preserve"> </w:t>
      </w:r>
      <w:r>
        <w:t xml:space="preserve">‘</w:t>
      </w:r>
      <w:r>
        <w:t xml:space="preserve">Suppositio formalis est duplex, quoniam terminus quandoque supponit pro suo significato, quandoque pro suo supposito vel pro aliquo singulari, de quo ipsum vere praedicatur Et ideo suppositio formalis dividitur in suppositionem personalem et in suppositionem simplicem</w:t>
      </w:r>
      <w:r>
        <w:t xml:space="preserve">’</w:t>
      </w:r>
      <w:r>
        <w:t xml:space="preserve">.</w:t>
      </w:r>
    </w:p>
  </w:footnote>
  <w:footnote w:id="76">
    <w:p>
      <w:pPr>
        <w:pStyle w:val="FootnoteText"/>
      </w:pPr>
      <w:r>
        <w:rPr>
          <w:rStyle w:val="FootnoteReference"/>
        </w:rPr>
        <w:footnoteRef/>
      </w:r>
      <w:r>
        <w:t xml:space="preserve"> </w:t>
      </w:r>
      <w:r>
        <w:t xml:space="preserve">ibid., 3.19–24</w:t>
      </w:r>
      <w:r>
        <w:t xml:space="preserve">:</w:t>
      </w:r>
      <w:r>
        <w:t xml:space="preserve"> </w:t>
      </w:r>
      <w:r>
        <w:t xml:space="preserve">‘</w:t>
      </w:r>
      <w:r>
        <w:t xml:space="preserve">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r>
        <w:t xml:space="preserve">’</w:t>
      </w:r>
      <w:r>
        <w:t xml:space="preserve">.</w:t>
      </w:r>
    </w:p>
  </w:footnote>
  <w:footnote w:id="77">
    <w:p>
      <w:pPr>
        <w:pStyle w:val="FootnoteText"/>
      </w:pPr>
      <w:r>
        <w:rPr>
          <w:rStyle w:val="FootnoteReference"/>
        </w:rPr>
        <w:footnoteRef/>
      </w:r>
      <w:r>
        <w:t xml:space="preserve"> </w:t>
      </w:r>
      <w:r>
        <w:t xml:space="preserve">ibid., 8.8–10</w:t>
      </w:r>
      <w:r>
        <w:t xml:space="preserve">:</w:t>
      </w:r>
      <w:r>
        <w:t xml:space="preserve"> </w:t>
      </w:r>
      <w:r>
        <w:t xml:space="preserve">‘</w:t>
      </w:r>
      <w:r>
        <w:t xml:space="preserve">Sed sive illud commune sit res extra animam sive sit conceptus in anima, non curo quantum ad praesens; sed tantum sufficit, quod illud, quod hoc nomen primo significat, est species</w:t>
      </w:r>
      <w:r>
        <w:t xml:space="preserve">’</w:t>
      </w:r>
      <w:r>
        <w:t xml:space="preserve">. Cf.</w:t>
      </w:r>
      <w:r>
        <w:t xml:space="preserve"> </w:t>
      </w:r>
      <w:r>
        <w:t xml:space="preserve">William of Ockham, “Summa Logicae,” 196.33–37</w:t>
      </w:r>
    </w:p>
  </w:footnote>
  <w:footnote w:id="79">
    <w:p>
      <w:pPr>
        <w:pStyle w:val="FootnoteText"/>
      </w:pPr>
      <w:r>
        <w:rPr>
          <w:rStyle w:val="FootnoteReference"/>
        </w:rPr>
        <w:footnoteRef/>
      </w:r>
      <w:r>
        <w:t xml:space="preserve"> </w:t>
      </w:r>
      <w:r>
        <w:t xml:space="preserve">Cf.</w:t>
      </w:r>
      <w:r>
        <w:t xml:space="preserve"> </w:t>
      </w:r>
      <w:r>
        <w:t xml:space="preserve">Stephen Read,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pvspade.com/Logic/docs/BurlNote.pdf" TargetMode="External" /></Relationships>
</file>

<file path=word/_rels/footnotes.xml.rels><?xml version="1.0" encoding="UTF-8"?>
<Relationships xmlns="http://schemas.openxmlformats.org/package/2006/relationships"><Relationship Type="http://schemas.openxmlformats.org/officeDocument/2006/relationships/hyperlink" Id="rId72"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Grounding medieval consequence</dc:title>
  <dc:creator>Jacob Archambault</dc:creator>
  <cp:keywords/>
  <dcterms:created xsi:type="dcterms:W3CDTF">2020-08-15T06:21:45Z</dcterms:created>
  <dcterms:modified xsi:type="dcterms:W3CDTF">2020-08-15T06:21:45Z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William of Ockham, John Buridan</vt:lpwstr>
  </property>
  <property fmtid="{D5CDD505-2E9C-101B-9397-08002B2CF9AE}" pid="3" name="bibliography">
    <vt:lpwstr>jacob.bib</vt:lpwstr>
  </property>
  <property fmtid="{D5CDD505-2E9C-101B-9397-08002B2CF9AE}" pid="4" name="csl">
    <vt:lpwstr>chicago-fullnote-bibliography-with-ibid.csl</vt:lpwstr>
  </property>
</Properties>
</file>