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3C60E" w14:textId="7BF7F2E8" w:rsidR="00C35F39" w:rsidRDefault="003B7C35" w:rsidP="00646857">
      <w:pPr>
        <w:pStyle w:val="Title"/>
        <w:spacing w:line="480" w:lineRule="auto"/>
        <w:jc w:val="both"/>
      </w:pPr>
      <w:r>
        <w:t xml:space="preserve">Nature, </w:t>
      </w:r>
      <w:r w:rsidR="00F55AD9">
        <w:t>Will</w:t>
      </w:r>
      <w:r w:rsidR="008912EB">
        <w:t>,</w:t>
      </w:r>
      <w:r w:rsidR="00F55AD9">
        <w:t xml:space="preserve"> </w:t>
      </w:r>
      <w:r w:rsidR="00926DB7">
        <w:t>and the F</w:t>
      </w:r>
      <w:r>
        <w:t>all in Augustine and Maximus the Confessor</w:t>
      </w:r>
    </w:p>
    <w:p w14:paraId="5FB1AE59" w14:textId="606ECC8D" w:rsidR="00C35F39" w:rsidRPr="00926DB7" w:rsidRDefault="003B7C35" w:rsidP="00646857">
      <w:pPr>
        <w:pStyle w:val="Standard"/>
        <w:spacing w:line="480" w:lineRule="auto"/>
        <w:ind w:left="907"/>
        <w:jc w:val="both"/>
      </w:pPr>
      <w:r>
        <w:rPr>
          <w:rFonts w:cs="Times New Roman"/>
          <w:b/>
        </w:rPr>
        <w:t xml:space="preserve">Abstract </w:t>
      </w:r>
      <w:r w:rsidRPr="00926DB7">
        <w:rPr>
          <w:rFonts w:cs="Times New Roman"/>
        </w:rPr>
        <w:t xml:space="preserve">This paper </w:t>
      </w:r>
      <w:r w:rsidR="004618F9">
        <w:rPr>
          <w:rFonts w:cs="Times New Roman"/>
        </w:rPr>
        <w:t xml:space="preserve">compares </w:t>
      </w:r>
      <w:r w:rsidRPr="00926DB7">
        <w:rPr>
          <w:rFonts w:cs="Times New Roman"/>
        </w:rPr>
        <w:t xml:space="preserve">the understanding of nature, will, and </w:t>
      </w:r>
      <w:r w:rsidR="007D34A7">
        <w:rPr>
          <w:rFonts w:cs="Times New Roman"/>
        </w:rPr>
        <w:t>the F</w:t>
      </w:r>
      <w:r w:rsidRPr="00926DB7">
        <w:rPr>
          <w:rFonts w:cs="Times New Roman"/>
        </w:rPr>
        <w:t>all in Augustine and Maximus the Confessor, and finds their accounts to be identical</w:t>
      </w:r>
      <w:r w:rsidR="005B55B6" w:rsidRPr="00926DB7">
        <w:rPr>
          <w:rFonts w:cs="Times New Roman"/>
        </w:rPr>
        <w:t xml:space="preserve"> on most points of substance, if not always in </w:t>
      </w:r>
      <w:r w:rsidR="00762EFA" w:rsidRPr="00926DB7">
        <w:rPr>
          <w:rFonts w:cs="Times New Roman"/>
        </w:rPr>
        <w:t xml:space="preserve">the </w:t>
      </w:r>
      <w:r w:rsidR="005B55B6" w:rsidRPr="00926DB7">
        <w:rPr>
          <w:rFonts w:cs="Times New Roman"/>
        </w:rPr>
        <w:t>terminology</w:t>
      </w:r>
      <w:r w:rsidR="00762EFA" w:rsidRPr="00926DB7">
        <w:rPr>
          <w:rFonts w:cs="Times New Roman"/>
        </w:rPr>
        <w:t xml:space="preserve"> use</w:t>
      </w:r>
      <w:r w:rsidR="00223DD6">
        <w:rPr>
          <w:rFonts w:cs="Times New Roman"/>
        </w:rPr>
        <w:t>d</w:t>
      </w:r>
      <w:r w:rsidR="00762EFA" w:rsidRPr="00926DB7">
        <w:rPr>
          <w:rFonts w:cs="Times New Roman"/>
        </w:rPr>
        <w:t xml:space="preserve"> to express these points</w:t>
      </w:r>
      <w:r w:rsidRPr="00926DB7">
        <w:rPr>
          <w:rFonts w:cs="Times New Roman"/>
        </w:rPr>
        <w:t>.</w:t>
      </w:r>
      <w:r w:rsidR="007D34A7">
        <w:rPr>
          <w:rFonts w:cs="Times New Roman"/>
        </w:rPr>
        <w:t xml:space="preserve"> </w:t>
      </w:r>
      <w:r w:rsidR="003259AB">
        <w:rPr>
          <w:rFonts w:cs="Times New Roman"/>
        </w:rPr>
        <w:t>On several points</w:t>
      </w:r>
      <w:r w:rsidR="007D34A7">
        <w:rPr>
          <w:rFonts w:cs="Times New Roman"/>
        </w:rPr>
        <w:t xml:space="preserve">, </w:t>
      </w:r>
      <w:r w:rsidR="002D57DF">
        <w:rPr>
          <w:rFonts w:cs="Times New Roman"/>
        </w:rPr>
        <w:t xml:space="preserve">they agree with each other </w:t>
      </w:r>
      <w:r w:rsidR="007D34A7" w:rsidRPr="002D57DF">
        <w:rPr>
          <w:rFonts w:cs="Times New Roman"/>
          <w:i/>
        </w:rPr>
        <w:t>against</w:t>
      </w:r>
      <w:r w:rsidR="007D34A7">
        <w:rPr>
          <w:rFonts w:cs="Times New Roman"/>
        </w:rPr>
        <w:t xml:space="preserve"> both Eastern and Western accounts as traditionally conceived. </w:t>
      </w:r>
      <w:r w:rsidRPr="00926DB7">
        <w:rPr>
          <w:rFonts w:cs="Times New Roman"/>
        </w:rPr>
        <w:t xml:space="preserve">Given that these figures are often regarded as paradigmatic for Western and Eastern traditions of Christianity, respectively, this points to a need for a more nuanced account of the unity and divergences within and between Eastern and Western Christian traditions than that given </w:t>
      </w:r>
      <w:r w:rsidR="00B512E8" w:rsidRPr="00926DB7">
        <w:rPr>
          <w:rFonts w:cs="Times New Roman"/>
        </w:rPr>
        <w:t>to present</w:t>
      </w:r>
      <w:r w:rsidR="003C09DD" w:rsidRPr="00926DB7">
        <w:rPr>
          <w:rFonts w:cs="Times New Roman"/>
        </w:rPr>
        <w:t>.</w:t>
      </w:r>
      <w:bookmarkStart w:id="0" w:name="_GoBack"/>
      <w:bookmarkEnd w:id="0"/>
    </w:p>
    <w:p w14:paraId="3E7A840F" w14:textId="40FEDADA" w:rsidR="00C35F39" w:rsidRDefault="003B7C35" w:rsidP="00646857">
      <w:pPr>
        <w:pStyle w:val="Standard"/>
        <w:spacing w:line="480" w:lineRule="auto"/>
        <w:jc w:val="both"/>
        <w:rPr>
          <w:rFonts w:cs="Times New Roman"/>
        </w:rPr>
      </w:pPr>
      <w:r>
        <w:rPr>
          <w:rFonts w:cs="Times New Roman"/>
        </w:rPr>
        <w:t xml:space="preserve">Keywords: </w:t>
      </w:r>
      <w:r w:rsidR="00BC36F8">
        <w:rPr>
          <w:rFonts w:cs="Times New Roman"/>
        </w:rPr>
        <w:t xml:space="preserve">Augustine; Maximus the Confessor; </w:t>
      </w:r>
      <w:r>
        <w:rPr>
          <w:rFonts w:cs="Times New Roman"/>
        </w:rPr>
        <w:t xml:space="preserve">human nature; will; </w:t>
      </w:r>
      <w:r w:rsidR="00767950">
        <w:rPr>
          <w:rFonts w:cs="Times New Roman"/>
        </w:rPr>
        <w:t>The Fall</w:t>
      </w:r>
      <w:r>
        <w:rPr>
          <w:rFonts w:cs="Times New Roman"/>
        </w:rPr>
        <w:t xml:space="preserve">; Original Sin; </w:t>
      </w:r>
      <w:r w:rsidR="00FE6B94">
        <w:rPr>
          <w:rFonts w:cs="Times New Roman"/>
        </w:rPr>
        <w:t>guilt</w:t>
      </w:r>
      <w:r>
        <w:rPr>
          <w:rFonts w:cs="Times New Roman"/>
        </w:rPr>
        <w:t>.</w:t>
      </w:r>
    </w:p>
    <w:p w14:paraId="7D29080A" w14:textId="77777777" w:rsidR="00C35F39" w:rsidRDefault="003B7C35" w:rsidP="00646857">
      <w:pPr>
        <w:pStyle w:val="Heading1"/>
        <w:spacing w:before="0" w:line="480" w:lineRule="auto"/>
        <w:jc w:val="both"/>
      </w:pPr>
      <w:r>
        <w:t>1 Introduction</w:t>
      </w:r>
    </w:p>
    <w:p w14:paraId="2A266A9C" w14:textId="2C85C453" w:rsidR="00672AB0" w:rsidRDefault="003B7C35" w:rsidP="00646857">
      <w:pPr>
        <w:pStyle w:val="Standard"/>
        <w:spacing w:line="480" w:lineRule="auto"/>
        <w:ind w:firstLine="720"/>
        <w:jc w:val="both"/>
        <w:rPr>
          <w:rFonts w:cs="Times New Roman"/>
        </w:rPr>
      </w:pPr>
      <w:r>
        <w:rPr>
          <w:rFonts w:cs="Times New Roman"/>
        </w:rPr>
        <w:t xml:space="preserve">This paper </w:t>
      </w:r>
      <w:r w:rsidR="002761FF">
        <w:rPr>
          <w:rFonts w:cs="Times New Roman"/>
        </w:rPr>
        <w:t>provides</w:t>
      </w:r>
      <w:r>
        <w:rPr>
          <w:rFonts w:cs="Times New Roman"/>
        </w:rPr>
        <w:t xml:space="preserve"> a comprehensive comparison of Augustine and Maximus </w:t>
      </w:r>
      <w:r w:rsidR="00E61AC2">
        <w:rPr>
          <w:rFonts w:cs="Times New Roman"/>
        </w:rPr>
        <w:t>the Confessor on the F</w:t>
      </w:r>
      <w:r>
        <w:rPr>
          <w:rFonts w:cs="Times New Roman"/>
        </w:rPr>
        <w:t xml:space="preserve">all of mankind and its consequence, Original Sin, focusing on the </w:t>
      </w:r>
      <w:r w:rsidR="003156D0">
        <w:rPr>
          <w:rFonts w:cs="Times New Roman"/>
        </w:rPr>
        <w:t xml:space="preserve">ways their analyses </w:t>
      </w:r>
      <w:r w:rsidR="000E1505">
        <w:rPr>
          <w:rFonts w:cs="Times New Roman"/>
        </w:rPr>
        <w:t>of the F</w:t>
      </w:r>
      <w:r>
        <w:rPr>
          <w:rFonts w:cs="Times New Roman"/>
        </w:rPr>
        <w:t xml:space="preserve">all </w:t>
      </w:r>
      <w:r w:rsidR="003156D0">
        <w:rPr>
          <w:rFonts w:cs="Times New Roman"/>
        </w:rPr>
        <w:t xml:space="preserve">illuminate their thinking about </w:t>
      </w:r>
      <w:r>
        <w:rPr>
          <w:rFonts w:cs="Times New Roman"/>
        </w:rPr>
        <w:t xml:space="preserve">the </w:t>
      </w:r>
      <w:r w:rsidR="0001449D">
        <w:rPr>
          <w:rFonts w:cs="Times New Roman"/>
        </w:rPr>
        <w:t xml:space="preserve">nature of the </w:t>
      </w:r>
      <w:r>
        <w:rPr>
          <w:rFonts w:cs="Times New Roman"/>
        </w:rPr>
        <w:t>will.</w:t>
      </w:r>
      <w:r w:rsidR="00672AB0">
        <w:rPr>
          <w:rStyle w:val="FootnoteReference"/>
          <w:rFonts w:cs="Times New Roman"/>
        </w:rPr>
        <w:footnoteReference w:id="1"/>
      </w:r>
    </w:p>
    <w:p w14:paraId="1ED4A9A2" w14:textId="2D4AE27D" w:rsidR="00672AB0" w:rsidRDefault="00672AB0" w:rsidP="00646857">
      <w:pPr>
        <w:pStyle w:val="Standard"/>
        <w:spacing w:line="480" w:lineRule="auto"/>
        <w:ind w:firstLine="720"/>
        <w:jc w:val="both"/>
        <w:rPr>
          <w:rFonts w:cs="Times New Roman"/>
        </w:rPr>
      </w:pPr>
      <w:r>
        <w:rPr>
          <w:rFonts w:cs="Times New Roman"/>
        </w:rPr>
        <w:t>Existing comparisons of these figures have been pursued from the standpoint of a dichotomy between Western and Eastern interpretations of the Fall generally,</w:t>
      </w:r>
      <w:r>
        <w:rPr>
          <w:rStyle w:val="FootnoteReference"/>
          <w:rFonts w:cs="Times New Roman"/>
        </w:rPr>
        <w:footnoteReference w:id="2"/>
      </w:r>
      <w:r>
        <w:rPr>
          <w:rFonts w:cs="Times New Roman"/>
        </w:rPr>
        <w:t xml:space="preserve"> projected </w:t>
      </w:r>
      <w:r>
        <w:rPr>
          <w:rFonts w:cs="Times New Roman"/>
          <w:i/>
          <w:iCs/>
        </w:rPr>
        <w:t xml:space="preserve">in ovo </w:t>
      </w:r>
      <w:r>
        <w:rPr>
          <w:rFonts w:cs="Times New Roman"/>
        </w:rPr>
        <w:lastRenderedPageBreak/>
        <w:t>onto the theology of Augustine and Maximus. According to a consensus developing among scholars of both Eastern and Western Christianity, Augustine’s central contribution to the Western understanding of Original Sin was the notion of inherited guilt;</w:t>
      </w:r>
      <w:r>
        <w:rPr>
          <w:rStyle w:val="FootnoteReference"/>
          <w:rFonts w:cs="Times New Roman"/>
        </w:rPr>
        <w:footnoteReference w:id="3"/>
      </w:r>
      <w:r>
        <w:rPr>
          <w:rFonts w:cs="Times New Roman"/>
        </w:rPr>
        <w:t xml:space="preserve"> and in rejecting the concept of inherited guilt, the Eastern tradition rejected Augustine’s doctrine of Original Sin.</w:t>
      </w:r>
      <w:r>
        <w:rPr>
          <w:rStyle w:val="FootnoteReference"/>
          <w:rFonts w:cs="Times New Roman"/>
        </w:rPr>
        <w:footnoteReference w:id="4"/>
      </w:r>
      <w:r>
        <w:rPr>
          <w:rFonts w:cs="Times New Roman"/>
        </w:rPr>
        <w:t xml:space="preserve"> “[T]he Eastern Church did not support the doctrine”</w:t>
      </w:r>
      <w:r>
        <w:rPr>
          <w:rStyle w:val="FootnoteReference"/>
          <w:rFonts w:cs="Times New Roman"/>
        </w:rPr>
        <w:footnoteReference w:id="5"/>
      </w:r>
      <w:r>
        <w:rPr>
          <w:rFonts w:cs="Times New Roman"/>
        </w:rPr>
        <w:t xml:space="preserve"> of Original Sin and Maximus in particular “does not share Augustine’s doctrine of Original Sin.”</w:t>
      </w:r>
      <w:r>
        <w:rPr>
          <w:rStyle w:val="FootnoteReference"/>
          <w:rFonts w:cs="Times New Roman"/>
        </w:rPr>
        <w:footnoteReference w:id="6"/>
      </w:r>
      <w:r>
        <w:rPr>
          <w:rFonts w:cs="Times New Roman"/>
        </w:rPr>
        <w:t xml:space="preserve"> Maximus’ theology, though in some respects closer to Augustine’s than that of many other Greek fathers,</w:t>
      </w:r>
      <w:r>
        <w:rPr>
          <w:rStyle w:val="FootnoteReference"/>
          <w:rFonts w:cs="Times New Roman"/>
        </w:rPr>
        <w:footnoteReference w:id="7"/>
      </w:r>
      <w:r>
        <w:rPr>
          <w:rFonts w:cs="Times New Roman"/>
        </w:rPr>
        <w:t xml:space="preserve"> remains within an essentially Eastern purview.</w:t>
      </w:r>
      <w:r>
        <w:rPr>
          <w:rStyle w:val="FootnoteReference"/>
          <w:rFonts w:cs="Times New Roman"/>
        </w:rPr>
        <w:footnoteReference w:id="8"/>
      </w:r>
    </w:p>
    <w:p w14:paraId="7A43C53A" w14:textId="190485F1" w:rsidR="00672AB0" w:rsidRPr="00952E59" w:rsidRDefault="00672AB0" w:rsidP="00646857">
      <w:pPr>
        <w:pStyle w:val="Standard"/>
        <w:spacing w:line="480" w:lineRule="auto"/>
        <w:ind w:firstLine="720"/>
        <w:jc w:val="both"/>
      </w:pPr>
      <w:r>
        <w:t xml:space="preserve">The difficulty with the above account, even in its often attenuated form, is that it leaves Maximus much more “Eastern” and Augustine much more “Western” than either father really was. In particular, we shall see i) that Maximus accepts many elements in his understanding of the Fall which we would today think of as Western; and ii) that the notion of inherited guilt, though regarded as Augustine’s central contribution to the Western understanding of our Adamic </w:t>
      </w:r>
      <w:r>
        <w:lastRenderedPageBreak/>
        <w:t>inheritance, simply isn’t in Augustine at all. This leaves Augustine and Maximus far closer to each other than their standard portraits suggest.</w:t>
      </w:r>
    </w:p>
    <w:p w14:paraId="5F7C5FDA" w14:textId="1380EE02" w:rsidR="00672AB0" w:rsidRPr="00FB41D8" w:rsidRDefault="00672AB0" w:rsidP="00646857">
      <w:pPr>
        <w:pStyle w:val="Standard"/>
        <w:spacing w:line="480" w:lineRule="auto"/>
        <w:ind w:firstLine="720"/>
        <w:jc w:val="both"/>
        <w:rPr>
          <w:strike/>
        </w:rPr>
      </w:pPr>
      <w:r>
        <w:rPr>
          <w:rFonts w:cs="Times New Roman"/>
        </w:rPr>
        <w:t>For an adequate account of the Fall, it is necessary to first understand</w:t>
      </w:r>
      <w:r>
        <w:rPr>
          <w:rFonts w:cs="Times New Roman"/>
          <w:i/>
          <w:iCs/>
        </w:rPr>
        <w:t xml:space="preserve"> </w:t>
      </w:r>
      <w:r>
        <w:rPr>
          <w:rFonts w:cs="Times New Roman"/>
        </w:rPr>
        <w:t xml:space="preserve">its </w:t>
      </w:r>
      <w:r>
        <w:rPr>
          <w:rFonts w:cs="Times New Roman"/>
          <w:i/>
          <w:iCs/>
        </w:rPr>
        <w:t>terminus a quo.</w:t>
      </w:r>
      <w:r>
        <w:rPr>
          <w:rFonts w:cs="Times New Roman"/>
        </w:rPr>
        <w:t xml:space="preserve"> Hence, I begin with Maximus and Augustine's remarks concerning human nature</w:t>
      </w:r>
      <w:r w:rsidRPr="00A66FAB">
        <w:rPr>
          <w:rFonts w:cs="Times New Roman"/>
        </w:rPr>
        <w:t>: first in itself, and then as it pertains to human willing. Next, I explain</w:t>
      </w:r>
      <w:r>
        <w:rPr>
          <w:rFonts w:cs="Times New Roman"/>
        </w:rPr>
        <w:t xml:space="preserve"> the Fall of Adam, as regards first, its causes, and second, its consequence i.e. Original Sin. Here, I first show, negatively, that inherited guilt is not part of Augustine’s account, and locate the source of this belief in a mistranslation of the terms </w:t>
      </w:r>
      <w:r>
        <w:rPr>
          <w:rFonts w:cs="Times New Roman"/>
          <w:i/>
        </w:rPr>
        <w:t xml:space="preserve">reus </w:t>
      </w:r>
      <w:r>
        <w:rPr>
          <w:rFonts w:cs="Times New Roman"/>
        </w:rPr>
        <w:t xml:space="preserve">and </w:t>
      </w:r>
      <w:r>
        <w:rPr>
          <w:rFonts w:cs="Times New Roman"/>
          <w:i/>
        </w:rPr>
        <w:t>reatus</w:t>
      </w:r>
      <w:r>
        <w:rPr>
          <w:rFonts w:cs="Times New Roman"/>
        </w:rPr>
        <w:t>. Second, I turn to the positive content of the doctrine of Original Sin in Augustine and Maximus: focusing first on the effects of Original Sin on the human faculties; and second on its effects on the condition of human nature as such, with particular attention paid to the relation between sin and death.</w:t>
      </w:r>
    </w:p>
    <w:p w14:paraId="41760A48" w14:textId="5C345964" w:rsidR="00672AB0" w:rsidRDefault="00672AB0" w:rsidP="00646857">
      <w:pPr>
        <w:pStyle w:val="Heading1"/>
        <w:spacing w:before="0" w:line="480" w:lineRule="auto"/>
        <w:jc w:val="both"/>
      </w:pPr>
      <w:r>
        <w:t>2 Augustine and Maximus on Human Nature</w:t>
      </w:r>
    </w:p>
    <w:p w14:paraId="68754F0F" w14:textId="3E6B6C4A" w:rsidR="00672AB0" w:rsidRDefault="00672AB0" w:rsidP="00646857">
      <w:pPr>
        <w:pStyle w:val="Heading2"/>
        <w:spacing w:before="0" w:line="480" w:lineRule="auto"/>
        <w:jc w:val="both"/>
      </w:pPr>
      <w:r>
        <w:t>2.1 Disambiguating 'Nature' in Augustine and Maximus</w:t>
      </w:r>
    </w:p>
    <w:p w14:paraId="7766E9A8" w14:textId="41AF8482" w:rsidR="00672AB0" w:rsidRDefault="00672AB0" w:rsidP="00646857">
      <w:pPr>
        <w:pStyle w:val="Standard"/>
        <w:spacing w:line="480" w:lineRule="auto"/>
        <w:ind w:firstLine="720"/>
        <w:jc w:val="both"/>
      </w:pPr>
      <w:r>
        <w:rPr>
          <w:rFonts w:cs="Times New Roman"/>
        </w:rPr>
        <w:t>Given that much of the present-day antipathy to Augustine’s account of Original Sin seems to be motivated by the worry that such an account destroys the goodness of nature,</w:t>
      </w:r>
      <w:r>
        <w:rPr>
          <w:rStyle w:val="FootnoteReference"/>
          <w:rFonts w:cs="Times New Roman"/>
        </w:rPr>
        <w:footnoteReference w:id="9"/>
      </w:r>
      <w:r>
        <w:rPr>
          <w:rFonts w:cs="Times New Roman"/>
        </w:rPr>
        <w:t xml:space="preserve"> it shall be helpful to begin by disambiguating Augustine and Maximus' different uses of the word ‘nature’ (</w:t>
      </w:r>
      <w:r>
        <w:rPr>
          <w:rFonts w:cs="Times New Roman"/>
          <w:i/>
        </w:rPr>
        <w:t xml:space="preserve">natura, </w:t>
      </w:r>
      <w:r>
        <w:rPr>
          <w:rFonts w:cs="Times New Roman"/>
        </w:rPr>
        <w:t xml:space="preserve">φύσις). </w:t>
      </w:r>
    </w:p>
    <w:p w14:paraId="421ED1DC" w14:textId="0C5553D4" w:rsidR="00672AB0" w:rsidRDefault="00672AB0" w:rsidP="00646857">
      <w:pPr>
        <w:pStyle w:val="Standard"/>
        <w:spacing w:line="480" w:lineRule="auto"/>
        <w:ind w:firstLine="720"/>
        <w:jc w:val="both"/>
      </w:pPr>
      <w:r>
        <w:rPr>
          <w:rFonts w:cs="Times New Roman"/>
        </w:rPr>
        <w:t xml:space="preserve">The primary meaning of ‘nature’ in Augustine is ‘that which a particular substance was created to instantiate: its type’. Augustine's thinking about nature is governed by the idea that every nature is </w:t>
      </w:r>
      <w:r>
        <w:rPr>
          <w:rFonts w:cs="Times New Roman"/>
          <w:i/>
        </w:rPr>
        <w:t>good</w:t>
      </w:r>
      <w:r>
        <w:rPr>
          <w:rFonts w:cs="Times New Roman"/>
        </w:rPr>
        <w:t>.</w:t>
      </w:r>
      <w:r>
        <w:rPr>
          <w:rStyle w:val="FootnoteReference"/>
          <w:rFonts w:cs="Times New Roman"/>
        </w:rPr>
        <w:footnoteReference w:id="10"/>
      </w:r>
      <w:r>
        <w:rPr>
          <w:rFonts w:cs="Times New Roman"/>
        </w:rPr>
        <w:t xml:space="preserve"> This idea is expressed in his repeated statements to the effect that “blame belongs to no one unless their nature is praised.”</w:t>
      </w:r>
      <w:r>
        <w:rPr>
          <w:rStyle w:val="FootnoteReference"/>
          <w:rFonts w:cs="Times New Roman"/>
        </w:rPr>
        <w:footnoteReference w:id="11"/>
      </w:r>
    </w:p>
    <w:p w14:paraId="42346401" w14:textId="2C719C7E" w:rsidR="00672AB0" w:rsidRDefault="00672AB0" w:rsidP="00646857">
      <w:pPr>
        <w:pStyle w:val="Standard"/>
        <w:spacing w:line="480" w:lineRule="auto"/>
        <w:ind w:firstLine="720"/>
        <w:jc w:val="both"/>
      </w:pPr>
      <w:r>
        <w:rPr>
          <w:rFonts w:cs="Times New Roman"/>
        </w:rPr>
        <w:lastRenderedPageBreak/>
        <w:t>This axiological understanding of nature leaves open the possibility that an individual may fail to fully instantiate its type, and thus grants two analogical applications of the term: secondarily, 'nature' may refer to the bearer of the nature proper; thirdly, it may refer to the condition of the thing that nature belongs to. The second use is at work when Augustine states “God made all natures, not only those that would stand firm in justice, but also those that would sin.”</w:t>
      </w:r>
      <w:r>
        <w:rPr>
          <w:rStyle w:val="FootnoteReference"/>
          <w:rFonts w:cs="Times New Roman"/>
        </w:rPr>
        <w:footnoteReference w:id="12"/>
      </w:r>
      <w:r>
        <w:rPr>
          <w:rFonts w:cs="Times New Roman"/>
        </w:rPr>
        <w:t xml:space="preserve"> Augustine contrasts the third meaning – which he justifies by appeal to its employment in the Pauline corpus</w:t>
      </w:r>
      <w:r>
        <w:rPr>
          <w:rStyle w:val="FootnoteReference"/>
          <w:rFonts w:cs="Times New Roman"/>
        </w:rPr>
        <w:footnoteReference w:id="13"/>
      </w:r>
      <w:r>
        <w:rPr>
          <w:rFonts w:cs="Times New Roman"/>
        </w:rPr>
        <w:t xml:space="preserve"> – with the first when he writes, “the nature of man, indeed, was originally created faultless and without any defect; but in fact </w:t>
      </w:r>
      <w:r>
        <w:rPr>
          <w:rFonts w:cs="Times New Roman"/>
          <w:i/>
        </w:rPr>
        <w:t>this</w:t>
      </w:r>
      <w:r>
        <w:rPr>
          <w:i/>
        </w:rPr>
        <w:t xml:space="preserve"> </w:t>
      </w:r>
      <w:r>
        <w:t>nature in which each one is born of Adam now has need of a doctor, for it is not healthy.”</w:t>
      </w:r>
      <w:r>
        <w:rPr>
          <w:rStyle w:val="FootnoteReference"/>
        </w:rPr>
        <w:footnoteReference w:id="14"/>
      </w:r>
    </w:p>
    <w:p w14:paraId="43ADD419" w14:textId="43FF2FF4" w:rsidR="00672AB0" w:rsidRPr="00A90D50" w:rsidRDefault="00672AB0" w:rsidP="00646857">
      <w:pPr>
        <w:pStyle w:val="Standard"/>
        <w:spacing w:line="480" w:lineRule="auto"/>
        <w:ind w:firstLine="720"/>
        <w:jc w:val="both"/>
        <w:rPr>
          <w:rFonts w:cs="Times New Roman"/>
        </w:rPr>
      </w:pPr>
      <w:r>
        <w:rPr>
          <w:rFonts w:cs="Times New Roman"/>
        </w:rPr>
        <w:t>Maximus exhibits the same freedom of expression with regard to the term ‘nature’ (φύσις) writing, for example, that in Adam, “our nature unnaturally fell at the instant it was created.”</w:t>
      </w:r>
      <w:r>
        <w:rPr>
          <w:rStyle w:val="FootnoteReference"/>
          <w:rFonts w:cs="Times New Roman"/>
        </w:rPr>
        <w:footnoteReference w:id="15"/>
      </w:r>
      <w:r>
        <w:rPr>
          <w:rFonts w:cs="Times New Roman"/>
        </w:rPr>
        <w:t xml:space="preserve"> And again, though he says the human will is “to follow nature and not in any way to be at variance with the</w:t>
      </w:r>
      <w:r>
        <w:rPr>
          <w:rFonts w:cs="Times New Roman"/>
          <w:i/>
        </w:rPr>
        <w:t xml:space="preserve"> logos</w:t>
      </w:r>
      <w:r>
        <w:rPr>
          <w:rFonts w:cs="Times New Roman"/>
        </w:rPr>
        <w:t xml:space="preserve"> of nature,”</w:t>
      </w:r>
      <w:r>
        <w:rPr>
          <w:rStyle w:val="FootnoteReference"/>
          <w:rFonts w:cs="Times New Roman"/>
        </w:rPr>
        <w:footnoteReference w:id="16"/>
      </w:r>
      <w:r>
        <w:rPr>
          <w:rFonts w:cs="Times New Roman"/>
        </w:rPr>
        <w:t xml:space="preserve"> he also tells us the devil “divided nature at the level of mode of existence.”</w:t>
      </w:r>
      <w:r>
        <w:rPr>
          <w:rStyle w:val="FootnoteReference"/>
          <w:rFonts w:cs="Times New Roman"/>
        </w:rPr>
        <w:footnoteReference w:id="17"/>
      </w:r>
      <w:r>
        <w:rPr>
          <w:rFonts w:cs="Times New Roman"/>
        </w:rPr>
        <w:t xml:space="preserve"> He insists, telling us that Adam “put off immortality,”</w:t>
      </w:r>
      <w:r>
        <w:rPr>
          <w:rStyle w:val="FootnoteReference"/>
          <w:rFonts w:cs="Times New Roman"/>
        </w:rPr>
        <w:footnoteReference w:id="18"/>
      </w:r>
      <w:r>
        <w:rPr>
          <w:rFonts w:cs="Times New Roman"/>
        </w:rPr>
        <w:t xml:space="preserve"> that the corruption of the body is not natural, and then speaks of generated bodies “naturally suffering corruption.”</w:t>
      </w:r>
      <w:r>
        <w:rPr>
          <w:rStyle w:val="FootnoteReference"/>
          <w:rFonts w:cs="Times New Roman"/>
        </w:rPr>
        <w:footnoteReference w:id="19"/>
      </w:r>
    </w:p>
    <w:p w14:paraId="2E103439" w14:textId="3EB04AA5" w:rsidR="00672AB0" w:rsidRDefault="00672AB0" w:rsidP="00646857">
      <w:pPr>
        <w:pStyle w:val="Standard"/>
        <w:spacing w:line="480" w:lineRule="auto"/>
        <w:ind w:firstLine="720"/>
        <w:jc w:val="both"/>
        <w:rPr>
          <w:rFonts w:cs="Times New Roman"/>
        </w:rPr>
      </w:pPr>
      <w:r>
        <w:rPr>
          <w:rFonts w:cs="Times New Roman"/>
        </w:rPr>
        <w:t>In short, natures may be bad because they fail to instantiate their nature, and against their nature are naturally inclined to sin. While the fluidity of Augustine and Maximus’ terminology can be difficult to deal with at first, a little attention to context is usually able to determine each author’s meaning more precisely.</w:t>
      </w:r>
    </w:p>
    <w:p w14:paraId="0C2C70EA" w14:textId="02CA0709" w:rsidR="00672AB0" w:rsidRDefault="00672AB0" w:rsidP="00646857">
      <w:pPr>
        <w:pStyle w:val="Heading2"/>
        <w:spacing w:before="0" w:line="480" w:lineRule="auto"/>
        <w:jc w:val="both"/>
      </w:pPr>
      <w:r>
        <w:lastRenderedPageBreak/>
        <w:t>2.2 Prelapsarian nature</w:t>
      </w:r>
    </w:p>
    <w:p w14:paraId="0AE2EF55" w14:textId="22DE5531" w:rsidR="00672AB0" w:rsidRDefault="00672AB0" w:rsidP="00646857">
      <w:pPr>
        <w:spacing w:line="480" w:lineRule="auto"/>
        <w:jc w:val="both"/>
      </w:pPr>
      <w:r>
        <w:tab/>
        <w:t>There are two important differences between Augustine and Maximus’s accounts of prelapsarian nature. First, Maximus, following Gregory of Nyssa,</w:t>
      </w:r>
      <w:r>
        <w:rPr>
          <w:rStyle w:val="FootnoteReference"/>
        </w:rPr>
        <w:footnoteReference w:id="20"/>
      </w:r>
      <w:r>
        <w:t xml:space="preserve"> assumes sexual difference only exists in anticipation of the Fall.</w:t>
      </w:r>
      <w:r>
        <w:rPr>
          <w:rStyle w:val="FootnoteReference"/>
        </w:rPr>
        <w:footnoteReference w:id="21"/>
      </w:r>
      <w:r>
        <w:t xml:space="preserve"> Augustine, by contrast, affirms that Adam and Eve would have been sexually differentiated even if the Fall were never to happen, and even might have had children.</w:t>
      </w:r>
      <w:r>
        <w:rPr>
          <w:rStyle w:val="FootnoteReference"/>
        </w:rPr>
        <w:footnoteReference w:id="22"/>
      </w:r>
      <w:r>
        <w:t xml:space="preserve"> Second, Augustine more clearly envisions Adam and Eve’s life in paradise as something extended in time.</w:t>
      </w:r>
      <w:r>
        <w:rPr>
          <w:rStyle w:val="FootnoteReference"/>
        </w:rPr>
        <w:footnoteReference w:id="23"/>
      </w:r>
      <w:r>
        <w:t xml:space="preserve"> Maximus, by contrast, is much less clear about this.</w:t>
      </w:r>
      <w:r>
        <w:rPr>
          <w:rStyle w:val="FootnoteReference"/>
        </w:rPr>
        <w:footnoteReference w:id="24"/>
      </w:r>
    </w:p>
    <w:p w14:paraId="4E600B80" w14:textId="5D1E2A28" w:rsidR="00672AB0" w:rsidRDefault="00672AB0" w:rsidP="00646857">
      <w:pPr>
        <w:pStyle w:val="Heading2"/>
        <w:spacing w:before="0" w:line="480" w:lineRule="auto"/>
        <w:jc w:val="both"/>
      </w:pPr>
      <w:r>
        <w:t>2.3 The nature of the will</w:t>
      </w:r>
    </w:p>
    <w:p w14:paraId="5384B576" w14:textId="3C19C2C1" w:rsidR="00672AB0" w:rsidRDefault="00672AB0" w:rsidP="00646857">
      <w:pPr>
        <w:spacing w:line="480" w:lineRule="auto"/>
        <w:jc w:val="both"/>
        <w:rPr>
          <w:rFonts w:cs="Times New Roman"/>
        </w:rPr>
      </w:pPr>
      <w:r>
        <w:rPr>
          <w:i/>
        </w:rPr>
        <w:tab/>
      </w:r>
      <w:r>
        <w:t>Much of the secondary literature on Augustine’s understanding of the will has focused on whether and to what degree Augustine should be classified as a libertarian or a compatibilist.</w:t>
      </w:r>
      <w:r>
        <w:rPr>
          <w:rStyle w:val="FootnoteReference"/>
        </w:rPr>
        <w:footnoteReference w:id="25"/>
      </w:r>
      <w:r>
        <w:t xml:space="preserve"> This question about the extent of the powers of the Augustinian will, however, obscures the more basic question of what the will </w:t>
      </w:r>
      <w:r w:rsidRPr="00A817B8">
        <w:rPr>
          <w:i/>
        </w:rPr>
        <w:t>is</w:t>
      </w:r>
      <w:r>
        <w:t xml:space="preserve">. </w:t>
      </w:r>
      <w:r>
        <w:rPr>
          <w:rFonts w:cs="Times New Roman"/>
        </w:rPr>
        <w:t xml:space="preserve">For both Augustine and Maximus, free will is not so much an ability to choose between opposites as it is a right orientation of the self, with respect to God and the rest of creation. In other words, the type of freedom envisioned by both thinkers is not reciprocally, but </w:t>
      </w:r>
      <w:r>
        <w:rPr>
          <w:rFonts w:cs="Times New Roman"/>
          <w:i/>
        </w:rPr>
        <w:t xml:space="preserve">directly </w:t>
      </w:r>
      <w:r>
        <w:rPr>
          <w:rFonts w:cs="Times New Roman"/>
        </w:rPr>
        <w:t xml:space="preserve">correlated with the presence of a higher principle at work in the self. This concern not to disconnect freedom from moral liberation and spiritual openness shines </w:t>
      </w:r>
      <w:r>
        <w:rPr>
          <w:rFonts w:cs="Times New Roman"/>
        </w:rPr>
        <w:lastRenderedPageBreak/>
        <w:t>through, for instance, in Maximus’ claim that Christ “is alone truly free and sinless,”</w:t>
      </w:r>
      <w:r>
        <w:rPr>
          <w:rStyle w:val="FootnoteReference"/>
          <w:rFonts w:cs="Times New Roman"/>
        </w:rPr>
        <w:footnoteReference w:id="26"/>
      </w:r>
      <w:r>
        <w:rPr>
          <w:rFonts w:cs="Times New Roman"/>
        </w:rPr>
        <w:t xml:space="preserve"> and in Augustine’s writing that “there is always a free will in us, but not always a good one. Either it is free from justice, when it serves sin, and then it is evil; or it is free from sin, when it serves justice, and then it is good.”</w:t>
      </w:r>
      <w:r>
        <w:rPr>
          <w:rStyle w:val="FootnoteReference"/>
          <w:rFonts w:cs="Times New Roman"/>
        </w:rPr>
        <w:footnoteReference w:id="27"/>
      </w:r>
    </w:p>
    <w:p w14:paraId="140DB030" w14:textId="4FCE4114" w:rsidR="00672AB0" w:rsidRDefault="00672AB0" w:rsidP="00646857">
      <w:pPr>
        <w:spacing w:line="480" w:lineRule="auto"/>
        <w:jc w:val="both"/>
        <w:rPr>
          <w:rFonts w:cs="Times New Roman"/>
        </w:rPr>
      </w:pPr>
      <w:r>
        <w:rPr>
          <w:rFonts w:cs="Times New Roman"/>
        </w:rPr>
        <w:tab/>
        <w:t>So above for both Augustine and Maximus, ‘will’ refers not so much to an activity as an orientation.</w:t>
      </w:r>
      <w:r>
        <w:rPr>
          <w:rStyle w:val="FootnoteReference"/>
          <w:rFonts w:cs="Times New Roman"/>
        </w:rPr>
        <w:footnoteReference w:id="28"/>
      </w:r>
      <w:r>
        <w:rPr>
          <w:rFonts w:cs="Times New Roman"/>
        </w:rPr>
        <w:t xml:space="preserve"> A further difference from more familiar accounts is that for neither father is willing identified with free choice: hence, Augustine uses the complex phrase ‘free choice of the will’ (</w:t>
      </w:r>
      <w:r>
        <w:rPr>
          <w:rFonts w:cs="Times New Roman"/>
          <w:i/>
        </w:rPr>
        <w:t>liberum arbitrium voluntatis</w:t>
      </w:r>
      <w:r>
        <w:rPr>
          <w:rFonts w:cs="Times New Roman"/>
        </w:rPr>
        <w:t>) to both couple and distinguish will and choice; and Maximus characterizes the will not by its contrast, but its connection with nature. “For Maximus the primary manifestation of the natural will is in our natural appetites.”</w:t>
      </w:r>
      <w:r>
        <w:rPr>
          <w:rStyle w:val="FootnoteReference"/>
          <w:rFonts w:cs="Times New Roman"/>
        </w:rPr>
        <w:footnoteReference w:id="29"/>
      </w:r>
      <w:r>
        <w:rPr>
          <w:rFonts w:cs="Times New Roman"/>
        </w:rPr>
        <w:t xml:space="preserve"> Maximus writes that by the will, </w:t>
      </w:r>
    </w:p>
    <w:p w14:paraId="654AF12D" w14:textId="2D9C4EA0" w:rsidR="00672AB0" w:rsidRDefault="00672AB0" w:rsidP="00646857">
      <w:pPr>
        <w:spacing w:line="480" w:lineRule="auto"/>
        <w:ind w:left="900"/>
        <w:jc w:val="both"/>
        <w:rPr>
          <w:rFonts w:cs="Times New Roman"/>
        </w:rPr>
      </w:pPr>
      <w:r>
        <w:rPr>
          <w:rFonts w:cs="Times New Roman"/>
        </w:rPr>
        <w:t>We naturally desire being, life, movement, understanding, speech, perception, nourishment, sleep, refreshment, as well as not to suffer pain or to die – quite simply to possess fully everything that sustains nature and to lack whatever harms it.</w:t>
      </w:r>
      <w:r>
        <w:rPr>
          <w:rStyle w:val="FootnoteReference"/>
          <w:rFonts w:cs="Times New Roman"/>
        </w:rPr>
        <w:footnoteReference w:id="30"/>
      </w:r>
    </w:p>
    <w:p w14:paraId="4BE1B8FC" w14:textId="5FA180E9" w:rsidR="00672AB0" w:rsidRPr="00313A25" w:rsidRDefault="00672AB0" w:rsidP="00646857">
      <w:pPr>
        <w:spacing w:line="480" w:lineRule="auto"/>
        <w:jc w:val="both"/>
        <w:rPr>
          <w:rFonts w:cs="Times New Roman"/>
        </w:rPr>
      </w:pPr>
      <w:r>
        <w:rPr>
          <w:rFonts w:cs="Times New Roman"/>
        </w:rPr>
        <w:t>This connection between will and nature seems to have been a common element of thinking about the will in late antiquity,</w:t>
      </w:r>
      <w:r>
        <w:rPr>
          <w:rStyle w:val="FootnoteReference"/>
          <w:rFonts w:cs="Times New Roman"/>
        </w:rPr>
        <w:footnoteReference w:id="31"/>
      </w:r>
      <w:r>
        <w:rPr>
          <w:rFonts w:cs="Times New Roman"/>
        </w:rPr>
        <w:t xml:space="preserve"> and is part of why Augustine’s understanding of the fallen will was occasionally regarded as destroying the goodness of that nature of which the will is an expression.</w:t>
      </w:r>
      <w:r>
        <w:rPr>
          <w:rStyle w:val="FootnoteReference"/>
          <w:rFonts w:cs="Times New Roman"/>
        </w:rPr>
        <w:footnoteReference w:id="32"/>
      </w:r>
    </w:p>
    <w:p w14:paraId="32587E9C" w14:textId="38AA9E4D" w:rsidR="00672AB0" w:rsidRDefault="00672AB0" w:rsidP="00646857">
      <w:pPr>
        <w:pStyle w:val="Heading1"/>
        <w:spacing w:before="0" w:line="480" w:lineRule="auto"/>
        <w:jc w:val="both"/>
      </w:pPr>
      <w:r>
        <w:lastRenderedPageBreak/>
        <w:t>3 The Fall and the Origin of Evil</w:t>
      </w:r>
    </w:p>
    <w:p w14:paraId="6975A7AF" w14:textId="51F9FA05" w:rsidR="00672AB0" w:rsidRPr="000C0A6F" w:rsidRDefault="00672AB0" w:rsidP="00646857">
      <w:pPr>
        <w:spacing w:line="480" w:lineRule="auto"/>
        <w:jc w:val="both"/>
      </w:pPr>
      <w:r>
        <w:tab/>
        <w:t xml:space="preserve">In both Augustine and Maximus, one finds three basic explanations of the Fall: the </w:t>
      </w:r>
      <w:r>
        <w:rPr>
          <w:i/>
        </w:rPr>
        <w:t>free will</w:t>
      </w:r>
      <w:r>
        <w:t xml:space="preserve">, </w:t>
      </w:r>
      <w:r>
        <w:rPr>
          <w:i/>
        </w:rPr>
        <w:t>disorder</w:t>
      </w:r>
      <w:r>
        <w:t xml:space="preserve">, and </w:t>
      </w:r>
      <w:r>
        <w:rPr>
          <w:i/>
        </w:rPr>
        <w:t xml:space="preserve">privation </w:t>
      </w:r>
      <w:r w:rsidRPr="00987293">
        <w:t>account</w:t>
      </w:r>
      <w:r>
        <w:t>s. As their names suggest, the free will account locates the immediate cause of the Fall in free will, the privation account locates its nature in a turn towards non-being, and the disorder account focuses on the hierarchical disruption co-constitutive of this turning. Aspects of these accounts can often be found in the same work or even the same passage, so we should be hesitant to regard them as competing with each other.</w:t>
      </w:r>
    </w:p>
    <w:p w14:paraId="4F738C2A" w14:textId="3F7EA5D6" w:rsidR="00672AB0" w:rsidRDefault="00672AB0" w:rsidP="00646857">
      <w:pPr>
        <w:pStyle w:val="Heading2"/>
        <w:spacing w:before="0" w:line="480" w:lineRule="auto"/>
        <w:jc w:val="both"/>
      </w:pPr>
      <w:r>
        <w:t>3.1 The free will account</w:t>
      </w:r>
    </w:p>
    <w:p w14:paraId="61CBDAC5" w14:textId="0896A361" w:rsidR="00672AB0" w:rsidRDefault="00672AB0" w:rsidP="00646857">
      <w:pPr>
        <w:pStyle w:val="Standard"/>
        <w:spacing w:line="480" w:lineRule="auto"/>
        <w:ind w:firstLine="720"/>
        <w:jc w:val="both"/>
        <w:rPr>
          <w:rFonts w:cs="Times New Roman"/>
        </w:rPr>
      </w:pPr>
      <w:r>
        <w:rPr>
          <w:rFonts w:cs="Times New Roman"/>
        </w:rPr>
        <w:t>Not only in his earliest,</w:t>
      </w:r>
      <w:r w:rsidRPr="00865675">
        <w:rPr>
          <w:rStyle w:val="FootnoteReference"/>
          <w:rFonts w:cs="Times New Roman"/>
        </w:rPr>
        <w:t xml:space="preserve"> </w:t>
      </w:r>
      <w:r>
        <w:rPr>
          <w:rStyle w:val="FootnoteReference"/>
          <w:rFonts w:cs="Times New Roman"/>
        </w:rPr>
        <w:footnoteReference w:id="33"/>
      </w:r>
      <w:r>
        <w:rPr>
          <w:rFonts w:cs="Times New Roman"/>
        </w:rPr>
        <w:t xml:space="preserve"> but also in his middle</w:t>
      </w:r>
      <w:r>
        <w:rPr>
          <w:rStyle w:val="FootnoteReference"/>
          <w:rFonts w:cs="Times New Roman"/>
        </w:rPr>
        <w:footnoteReference w:id="34"/>
      </w:r>
      <w:r>
        <w:rPr>
          <w:rFonts w:cs="Times New Roman"/>
        </w:rPr>
        <w:t xml:space="preserve"> and later works, Augustine holds the immediate cause of the Fall was Adam’s free choice. Even in his </w:t>
      </w:r>
      <w:r>
        <w:rPr>
          <w:rFonts w:cs="Times New Roman"/>
          <w:i/>
        </w:rPr>
        <w:t xml:space="preserve">Contra </w:t>
      </w:r>
      <w:r w:rsidRPr="00865675">
        <w:rPr>
          <w:rFonts w:cs="Times New Roman"/>
          <w:i/>
        </w:rPr>
        <w:t>Iulianum</w:t>
      </w:r>
      <w:r>
        <w:rPr>
          <w:rFonts w:cs="Times New Roman"/>
        </w:rPr>
        <w:t xml:space="preserve">, one of </w:t>
      </w:r>
      <w:r w:rsidRPr="00865675">
        <w:rPr>
          <w:rFonts w:cs="Times New Roman"/>
        </w:rPr>
        <w:t>his</w:t>
      </w:r>
      <w:r>
        <w:rPr>
          <w:rFonts w:cs="Times New Roman"/>
        </w:rPr>
        <w:t xml:space="preserve"> latest works, Augustine writes that “there is no other origin of any sin besides a bad will,”</w:t>
      </w:r>
      <w:r>
        <w:rPr>
          <w:rStyle w:val="FootnoteReference"/>
          <w:rFonts w:cs="Times New Roman"/>
        </w:rPr>
        <w:footnoteReference w:id="35"/>
      </w:r>
      <w:r>
        <w:rPr>
          <w:rFonts w:cs="Times New Roman"/>
        </w:rPr>
        <w:t xml:space="preserve"> and includes Adam’s bad will as an especially important case. Hence, developmental hypotheses according to which Augustine rejected a free will explanation of the Fall should themselves be rejected.</w:t>
      </w:r>
      <w:r>
        <w:rPr>
          <w:rStyle w:val="FootnoteReference"/>
          <w:rFonts w:cs="Times New Roman"/>
        </w:rPr>
        <w:footnoteReference w:id="36"/>
      </w:r>
    </w:p>
    <w:p w14:paraId="3FCF057A" w14:textId="7C03327E" w:rsidR="00672AB0" w:rsidRDefault="00672AB0" w:rsidP="00646857">
      <w:pPr>
        <w:pStyle w:val="Standard"/>
        <w:spacing w:line="480" w:lineRule="auto"/>
        <w:ind w:firstLine="720"/>
        <w:jc w:val="both"/>
        <w:rPr>
          <w:rFonts w:cs="Times New Roman"/>
        </w:rPr>
      </w:pPr>
      <w:r>
        <w:rPr>
          <w:rFonts w:cs="Times New Roman"/>
        </w:rPr>
        <w:t xml:space="preserve">Maximus likewise writes that “Having first been corrupted from its natural </w:t>
      </w:r>
      <w:r>
        <w:rPr>
          <w:rFonts w:cs="Times New Roman"/>
          <w:i/>
        </w:rPr>
        <w:t>logos</w:t>
      </w:r>
      <w:r>
        <w:rPr>
          <w:rFonts w:cs="Times New Roman"/>
        </w:rPr>
        <w:t>, Adam’s choice (προαίρεσις) corrupted [human] nature, forfeiting the grace of impassibility,”</w:t>
      </w:r>
      <w:r>
        <w:rPr>
          <w:rStyle w:val="FootnoteReference"/>
          <w:rFonts w:cs="Times New Roman"/>
        </w:rPr>
        <w:footnoteReference w:id="37"/>
      </w:r>
      <w:r>
        <w:rPr>
          <w:rFonts w:cs="Times New Roman"/>
        </w:rPr>
        <w:t xml:space="preserve"> and describes Adam in his sin as “clinging willingly with both hands to the rubbish of matter.”</w:t>
      </w:r>
      <w:r>
        <w:rPr>
          <w:rStyle w:val="FootnoteReference"/>
          <w:rFonts w:cs="Times New Roman"/>
        </w:rPr>
        <w:footnoteReference w:id="38"/>
      </w:r>
      <w:r>
        <w:rPr>
          <w:rFonts w:cs="Times New Roman"/>
        </w:rPr>
        <w:t xml:space="preserve"> Adam “created willful sin through his disobedience,”</w:t>
      </w:r>
      <w:r>
        <w:rPr>
          <w:rStyle w:val="FootnoteReference"/>
          <w:rFonts w:cs="Times New Roman"/>
        </w:rPr>
        <w:footnoteReference w:id="39"/>
      </w:r>
      <w:r>
        <w:rPr>
          <w:rFonts w:cs="Times New Roman"/>
        </w:rPr>
        <w:t xml:space="preserve"> and the “curse God the Father sent forth upon the face of the earth” depicted by the prophet Zechariah is provoked “by the disobedience of Adam.”</w:t>
      </w:r>
      <w:r>
        <w:rPr>
          <w:rStyle w:val="FootnoteReference"/>
          <w:rFonts w:cs="Times New Roman"/>
        </w:rPr>
        <w:footnoteReference w:id="40"/>
      </w:r>
    </w:p>
    <w:p w14:paraId="4D8B3FF3" w14:textId="16DD9C71" w:rsidR="00672AB0" w:rsidRDefault="00672AB0" w:rsidP="00646857">
      <w:pPr>
        <w:pStyle w:val="Standard"/>
        <w:spacing w:line="480" w:lineRule="auto"/>
        <w:ind w:firstLine="720"/>
        <w:jc w:val="both"/>
      </w:pPr>
      <w:r>
        <w:rPr>
          <w:rFonts w:cs="Times New Roman"/>
        </w:rPr>
        <w:lastRenderedPageBreak/>
        <w:t>For neither father, however, is this the only account that can be given. Rather, the causality described above is what we might call proximate or immediate, rather than remote. For Maximus, the free will defense is frequently coupled with a more Platonic, intellectualist approach to the Fall;</w:t>
      </w:r>
      <w:r>
        <w:rPr>
          <w:rStyle w:val="FootnoteReference"/>
          <w:rFonts w:cs="Times New Roman"/>
        </w:rPr>
        <w:footnoteReference w:id="41"/>
      </w:r>
      <w:r>
        <w:rPr>
          <w:rFonts w:cs="Times New Roman"/>
        </w:rPr>
        <w:t xml:space="preserve"> and from early on Augustine regards this explanation as incomplete on its own, since it fails to explain the genesis of the perverse desire motivating Adam’s choice.</w:t>
      </w:r>
      <w:r>
        <w:rPr>
          <w:rStyle w:val="FootnoteReference"/>
          <w:rFonts w:cs="Times New Roman"/>
        </w:rPr>
        <w:footnoteReference w:id="42"/>
      </w:r>
      <w:r>
        <w:rPr>
          <w:rFonts w:cs="Times New Roman"/>
        </w:rPr>
        <w:t xml:space="preserve"> </w:t>
      </w:r>
    </w:p>
    <w:p w14:paraId="46062CDF" w14:textId="0D0C0997" w:rsidR="00672AB0" w:rsidRPr="00213821" w:rsidRDefault="00672AB0" w:rsidP="00646857">
      <w:pPr>
        <w:pStyle w:val="Heading2"/>
        <w:spacing w:before="0" w:line="480" w:lineRule="auto"/>
        <w:jc w:val="both"/>
      </w:pPr>
      <w:r>
        <w:t>3.2 The disorder account</w:t>
      </w:r>
    </w:p>
    <w:p w14:paraId="75F42F64" w14:textId="72805C68" w:rsidR="00672AB0" w:rsidRDefault="00672AB0" w:rsidP="00646857">
      <w:pPr>
        <w:pStyle w:val="Standard"/>
        <w:spacing w:line="480" w:lineRule="auto"/>
        <w:jc w:val="both"/>
        <w:rPr>
          <w:rFonts w:cs="Times New Roman"/>
        </w:rPr>
      </w:pPr>
      <w:r>
        <w:rPr>
          <w:rFonts w:cs="Times New Roman"/>
        </w:rPr>
        <w:tab/>
        <w:t>Augustine’s second explanation of the genesis of evil is in terms of a theory of a hierarchy of goods. For Augustine, creation entails that the various created entities stand in hierarchical relation of qualitative goodness both to God and to each other. God is the highest good, while other beings are higher or lower goods in accordance with their likeness to the highest good. For instance, those beings that have life are ontologically better than those that merely exist, and those that have understanding are better than those that have life without understanding.</w:t>
      </w:r>
      <w:r>
        <w:rPr>
          <w:rStyle w:val="FootnoteReference"/>
          <w:rFonts w:cs="Times New Roman"/>
        </w:rPr>
        <w:footnoteReference w:id="43"/>
      </w:r>
      <w:r>
        <w:rPr>
          <w:rFonts w:cs="Times New Roman"/>
        </w:rPr>
        <w:t xml:space="preserve"> This hierarchy obliges human beings to order their loves in accordance with it; for instance, one ought to love virtue more than either corporeal goods or one’s own will.</w:t>
      </w:r>
      <w:r>
        <w:rPr>
          <w:rStyle w:val="FootnoteReference"/>
          <w:rFonts w:cs="Times New Roman"/>
        </w:rPr>
        <w:footnoteReference w:id="44"/>
      </w:r>
      <w:r>
        <w:rPr>
          <w:rFonts w:cs="Times New Roman"/>
        </w:rPr>
        <w:t xml:space="preserve"> Since the first man failed to do this, his disruption of the divinely-ordered hierarchy by rebellion against God was avenged by a second hierarchical disruption: the rebellion of his own flesh against his will.</w:t>
      </w:r>
      <w:r>
        <w:rPr>
          <w:rStyle w:val="FootnoteReference"/>
          <w:rFonts w:cs="Times New Roman"/>
        </w:rPr>
        <w:footnoteReference w:id="45"/>
      </w:r>
    </w:p>
    <w:p w14:paraId="1F7E2FB2" w14:textId="11F3CC33" w:rsidR="00672AB0" w:rsidRDefault="00672AB0" w:rsidP="00646857">
      <w:pPr>
        <w:pStyle w:val="Standard"/>
        <w:spacing w:line="480" w:lineRule="auto"/>
        <w:ind w:firstLine="720"/>
        <w:jc w:val="both"/>
      </w:pPr>
      <w:r>
        <w:rPr>
          <w:rFonts w:cs="Times New Roman"/>
        </w:rPr>
        <w:t>Maximus says less about the character of the Fall than Augustine. This is partly because Maximus’ corpus simply isn’t as voluminous as Augustine’s, and partly because his focus in discussing the Fall usually lies elsewhere than in a discussion of its causes. Maximus typically discusses the Fall within the context of discussing Adam as a type of Christ.</w:t>
      </w:r>
      <w:r>
        <w:rPr>
          <w:rStyle w:val="FootnoteReference"/>
          <w:rFonts w:cs="Times New Roman"/>
        </w:rPr>
        <w:footnoteReference w:id="46"/>
      </w:r>
      <w:r>
        <w:rPr>
          <w:rFonts w:cs="Times New Roman"/>
        </w:rPr>
        <w:t xml:space="preserve"> This context lends itself to discussions of the consequences of the Fall, but less to discussions of its character and </w:t>
      </w:r>
      <w:r>
        <w:rPr>
          <w:rFonts w:cs="Times New Roman"/>
        </w:rPr>
        <w:lastRenderedPageBreak/>
        <w:t>motivations. Nevertheless, we can see that while holding the immediate cause of the Fall was Adam’s free choice, Maximus, like Augustine, characterizes the Fall as a turning from higher to lower goods.</w:t>
      </w:r>
      <w:r>
        <w:rPr>
          <w:rStyle w:val="FootnoteReference"/>
        </w:rPr>
        <w:footnoteReference w:id="47"/>
      </w:r>
      <w:r>
        <w:rPr>
          <w:rFonts w:cs="Times New Roman"/>
        </w:rPr>
        <w:t xml:space="preserve"> One who had “the ability to direct the steps of his soul unswervingly toward God voluntarily exchanged what is better, his true being, for what is worse, non-being.”</w:t>
      </w:r>
      <w:r>
        <w:rPr>
          <w:rStyle w:val="FootnoteReference"/>
          <w:rFonts w:cs="Times New Roman"/>
        </w:rPr>
        <w:footnoteReference w:id="48"/>
      </w:r>
      <w:r>
        <w:rPr>
          <w:rFonts w:cs="Times New Roman"/>
        </w:rPr>
        <w:t xml:space="preserve"> And along similar lines, Christ’s will is contrasted with Adam’s on account of its </w:t>
      </w:r>
      <w:r>
        <w:rPr>
          <w:rFonts w:cs="Times New Roman"/>
          <w:i/>
        </w:rPr>
        <w:t>in</w:t>
      </w:r>
      <w:r>
        <w:rPr>
          <w:rFonts w:cs="Times New Roman"/>
        </w:rPr>
        <w:t>convertibility.</w:t>
      </w:r>
      <w:r>
        <w:rPr>
          <w:rStyle w:val="FootnoteReference"/>
          <w:rFonts w:cs="Times New Roman"/>
        </w:rPr>
        <w:footnoteReference w:id="49"/>
      </w:r>
    </w:p>
    <w:p w14:paraId="3D9531D8" w14:textId="2CAD4CEF" w:rsidR="00672AB0" w:rsidRDefault="00672AB0" w:rsidP="00646857">
      <w:pPr>
        <w:pStyle w:val="Heading2"/>
        <w:spacing w:before="0" w:line="480" w:lineRule="auto"/>
        <w:jc w:val="both"/>
      </w:pPr>
      <w:r>
        <w:t>3.3 The privation account</w:t>
      </w:r>
    </w:p>
    <w:p w14:paraId="0F3B0107" w14:textId="4A64F412" w:rsidR="00672AB0" w:rsidRDefault="00672AB0" w:rsidP="00646857">
      <w:pPr>
        <w:pStyle w:val="Standard"/>
        <w:spacing w:line="480" w:lineRule="auto"/>
        <w:ind w:firstLine="720"/>
        <w:jc w:val="both"/>
        <w:rPr>
          <w:rFonts w:cs="Times New Roman"/>
        </w:rPr>
      </w:pPr>
      <w:r>
        <w:rPr>
          <w:rFonts w:cs="Times New Roman"/>
        </w:rPr>
        <w:t>Our third explanation places the free will account within the wider matrix of privation theory, which regards evil as a failure of an entity to maintain that goodness appropriate to its nature. This kind of account is already broadly present in Plotinus, and already coupled with a free-will account in Porphyry.</w:t>
      </w:r>
      <w:r>
        <w:rPr>
          <w:rStyle w:val="FootnoteReference"/>
          <w:rFonts w:cs="Times New Roman"/>
        </w:rPr>
        <w:footnoteReference w:id="50"/>
      </w:r>
    </w:p>
    <w:p w14:paraId="35EC55BD" w14:textId="782807E9" w:rsidR="00672AB0" w:rsidRDefault="00672AB0" w:rsidP="00646857">
      <w:pPr>
        <w:pStyle w:val="Heading3"/>
        <w:spacing w:before="0" w:line="480" w:lineRule="auto"/>
        <w:jc w:val="both"/>
      </w:pPr>
      <w:r>
        <w:t>3.3.1 The No-Explanation account</w:t>
      </w:r>
    </w:p>
    <w:p w14:paraId="5AFAF28B" w14:textId="65A3306C" w:rsidR="00672AB0" w:rsidRDefault="00672AB0" w:rsidP="00646857">
      <w:pPr>
        <w:pStyle w:val="Standard"/>
        <w:spacing w:line="480" w:lineRule="auto"/>
        <w:ind w:firstLine="720"/>
        <w:jc w:val="both"/>
        <w:rPr>
          <w:rFonts w:cs="Times New Roman"/>
        </w:rPr>
      </w:pPr>
      <w:r>
        <w:rPr>
          <w:rFonts w:cs="Times New Roman"/>
        </w:rPr>
        <w:t>The first part of this explanation is what T. D. J. Chappell calls this the No-Explanation account,</w:t>
      </w:r>
      <w:r>
        <w:rPr>
          <w:rStyle w:val="FootnoteReference"/>
          <w:rFonts w:cs="Times New Roman"/>
        </w:rPr>
        <w:footnoteReference w:id="51"/>
      </w:r>
      <w:r>
        <w:rPr>
          <w:rFonts w:cs="Times New Roman"/>
        </w:rPr>
        <w:t xml:space="preserve"> and it is in connection with this approach that the Fall is most aptly characterized as such, i.e. as a falling away. J. Burns writes:</w:t>
      </w:r>
    </w:p>
    <w:p w14:paraId="68379244" w14:textId="76EC144E" w:rsidR="00672AB0" w:rsidRDefault="00672AB0" w:rsidP="00646857">
      <w:pPr>
        <w:pStyle w:val="Standard"/>
        <w:spacing w:line="480" w:lineRule="auto"/>
        <w:ind w:left="907"/>
        <w:jc w:val="both"/>
        <w:rPr>
          <w:rFonts w:cs="Times New Roman"/>
        </w:rPr>
      </w:pPr>
      <w:r>
        <w:rPr>
          <w:rFonts w:cs="Times New Roman"/>
        </w:rPr>
        <w:t>Augustine explained that this sinful operation of the will is not the turning of a natural power to an object which is itself harmful to the spirit. Sin is rather a defective operation, a failure to maintain that fullness of love inspired by the presence of the Spirit given in creation. The operation is evil because it is defective, because it fails to maintain a given level of perfection. Insofar as it is defective, it has no cause.</w:t>
      </w:r>
      <w:r>
        <w:rPr>
          <w:rStyle w:val="FootnoteReference"/>
          <w:rFonts w:cs="Times New Roman"/>
        </w:rPr>
        <w:footnoteReference w:id="52"/>
      </w:r>
    </w:p>
    <w:p w14:paraId="6ABFA5FE" w14:textId="009A912D" w:rsidR="00672AB0" w:rsidRDefault="00672AB0" w:rsidP="00646857">
      <w:pPr>
        <w:pStyle w:val="Standard"/>
        <w:spacing w:line="480" w:lineRule="auto"/>
        <w:jc w:val="both"/>
        <w:rPr>
          <w:rFonts w:cs="Times New Roman"/>
        </w:rPr>
      </w:pPr>
      <w:r>
        <w:rPr>
          <w:rFonts w:cs="Times New Roman"/>
        </w:rPr>
        <w:lastRenderedPageBreak/>
        <w:t xml:space="preserve">Strictly speaking, Adam’s </w:t>
      </w:r>
      <w:r w:rsidRPr="00716312">
        <w:t>Fall</w:t>
      </w:r>
      <w:r>
        <w:t xml:space="preserve"> </w:t>
      </w:r>
      <w:r w:rsidRPr="00716312">
        <w:t>has</w:t>
      </w:r>
      <w:r>
        <w:rPr>
          <w:rFonts w:cs="Times New Roman"/>
        </w:rPr>
        <w:t xml:space="preserve"> no cause, because as an evil, it has no positive being. It is in connection with this explanation that Augustine characterizes Adam’s will as a </w:t>
      </w:r>
      <w:r>
        <w:rPr>
          <w:rFonts w:cs="Times New Roman"/>
          <w:i/>
        </w:rPr>
        <w:t xml:space="preserve">deficient </w:t>
      </w:r>
      <w:r>
        <w:rPr>
          <w:rFonts w:cs="Times New Roman"/>
        </w:rPr>
        <w:t xml:space="preserve">cause of the Fall: </w:t>
      </w:r>
    </w:p>
    <w:p w14:paraId="7866E1B9" w14:textId="614FE0ED" w:rsidR="00672AB0" w:rsidRDefault="00672AB0" w:rsidP="00646857">
      <w:pPr>
        <w:pStyle w:val="Standard"/>
        <w:spacing w:line="480" w:lineRule="auto"/>
        <w:ind w:left="900"/>
        <w:jc w:val="both"/>
        <w:rPr>
          <w:rFonts w:cs="Times New Roman"/>
        </w:rPr>
      </w:pPr>
      <w:r>
        <w:rPr>
          <w:rFonts w:cs="Times New Roman"/>
        </w:rPr>
        <w:t>Therefore let no one seek for an efficient cause of the evil will. In this case there is no cause which is efficient – only a cause which is deficient; for the Fall is not an effect, but a defect. For to begin to have an evil will is this: to defect from him who supremely Is to that which is lesser.</w:t>
      </w:r>
      <w:r>
        <w:rPr>
          <w:rStyle w:val="FootnoteReference"/>
          <w:rFonts w:cs="Times New Roman"/>
        </w:rPr>
        <w:footnoteReference w:id="53"/>
      </w:r>
    </w:p>
    <w:p w14:paraId="26FE7ACE" w14:textId="76460B61" w:rsidR="00672AB0" w:rsidRDefault="00672AB0" w:rsidP="00646857">
      <w:pPr>
        <w:pStyle w:val="Standard"/>
        <w:spacing w:line="480" w:lineRule="auto"/>
        <w:jc w:val="both"/>
      </w:pPr>
      <w:r>
        <w:tab/>
      </w:r>
      <w:r>
        <w:rPr>
          <w:rFonts w:cs="Times New Roman"/>
        </w:rPr>
        <w:t>Maximus likewise denies that evil has any positive presence,</w:t>
      </w:r>
      <w:r>
        <w:rPr>
          <w:rStyle w:val="FootnoteReference"/>
          <w:rFonts w:cs="Times New Roman"/>
        </w:rPr>
        <w:footnoteReference w:id="54"/>
      </w:r>
      <w:r>
        <w:rPr>
          <w:rFonts w:cs="Times New Roman"/>
        </w:rPr>
        <w:t xml:space="preserve"> </w:t>
      </w:r>
      <w:r>
        <w:t xml:space="preserve">and states something that, on analysis, may be similar to the above passage from Augustine. He writes: </w:t>
      </w:r>
    </w:p>
    <w:p w14:paraId="11C616EE" w14:textId="5671ED4A" w:rsidR="00672AB0" w:rsidRDefault="00672AB0" w:rsidP="00646857">
      <w:pPr>
        <w:pStyle w:val="Standard"/>
        <w:spacing w:line="480" w:lineRule="auto"/>
        <w:ind w:left="900"/>
        <w:jc w:val="both"/>
      </w:pPr>
      <w:r>
        <w:t>For every pain, having a preceding actual pleasure as cause of its becoming, is, quite naturally on account of its cause, a penalty exacted from all who share in [human] nature. Indeed, pain entirely naturally accompanies that pleasure which is against nature, in all those whose generation the law of pleasure,</w:t>
      </w:r>
      <w:r>
        <w:rPr>
          <w:rStyle w:val="FootnoteReference"/>
        </w:rPr>
        <w:footnoteReference w:id="55"/>
      </w:r>
      <w:r>
        <w:t xml:space="preserve"> without cause, precedes. I call that pleasure from the [original] transgression (</w:t>
      </w:r>
      <w:r>
        <w:rPr>
          <w:rFonts w:cs="Times New Roman"/>
        </w:rPr>
        <w:t>παραβάσεως</w:t>
      </w:r>
      <w:r>
        <w:t>) “uncaused”</w:t>
      </w:r>
      <w:r w:rsidRPr="00F50759">
        <w:t xml:space="preserve"> </w:t>
      </w:r>
      <w:r>
        <w:t>(</w:t>
      </w:r>
      <w:r>
        <w:rPr>
          <w:rFonts w:cs="Times New Roman"/>
        </w:rPr>
        <w:t>ἀναίτιον</w:t>
      </w:r>
      <w:r>
        <w:t>), insofar as it quite obviously did not follow upon an antecedent pain.</w:t>
      </w:r>
      <w:r>
        <w:rPr>
          <w:rStyle w:val="FootnoteReference"/>
        </w:rPr>
        <w:footnoteReference w:id="56"/>
      </w:r>
    </w:p>
    <w:p w14:paraId="3C6B2C3C" w14:textId="54919CEE" w:rsidR="00672AB0" w:rsidRPr="00217ED9" w:rsidRDefault="00672AB0" w:rsidP="00646857">
      <w:pPr>
        <w:pStyle w:val="Standard"/>
        <w:spacing w:line="480" w:lineRule="auto"/>
        <w:jc w:val="both"/>
        <w:rPr>
          <w:rFonts w:cs="Times New Roman"/>
        </w:rPr>
      </w:pPr>
      <w:r>
        <w:t xml:space="preserve">Here, Maximus is discussing the dialectic of pain and pleasure as a consequence of the Fall, and contrasts postlapsarian sensual pleasure with the first pleasure: every postlapsarian pleasure has a preceding pain as its cause; the first pleasure had no such preceding pain as its cause. Given that the kind of cause under discussion is distinct from and precedes its effect, we can conclude that if Maximus is making use of the standard Aristotelian four-cause schema, then he is speaking about </w:t>
      </w:r>
      <w:r>
        <w:lastRenderedPageBreak/>
        <w:t>efficient causality,</w:t>
      </w:r>
      <w:r>
        <w:rPr>
          <w:rStyle w:val="FootnoteReference"/>
        </w:rPr>
        <w:footnoteReference w:id="57"/>
      </w:r>
      <w:r>
        <w:t xml:space="preserve"> and hence is saying the first pleasure had no efficient cause. It is ambiguous whether ‘pleasure from the transgression’ refers to the sensory pleasure consequent upon eating from the tree of the knowledge of good and evil, or to the anticipatory delight wherein Eve and Adam “saw that the tree was good for food, and that it was a delight to the eyes.”</w:t>
      </w:r>
      <w:r>
        <w:rPr>
          <w:rStyle w:val="FootnoteReference"/>
        </w:rPr>
        <w:footnoteReference w:id="58"/>
      </w:r>
      <w:r>
        <w:t xml:space="preserve"> If the latter, then Maximus would be stating that the anticipatory delight in the transgression – i.e. the evil inclination or will towards pleasure – is without cause. If the former, the passage may be viewed as part of Maximus’ tendency to skirt the issue of the motivations leading to Adam’s disobedience: </w:t>
      </w:r>
      <w:r>
        <w:rPr>
          <w:rFonts w:cs="Times New Roman"/>
        </w:rPr>
        <w:t>Maximus repeatedly states Adam fell “at the instant he was created;”</w:t>
      </w:r>
      <w:r>
        <w:rPr>
          <w:rStyle w:val="FootnoteReference"/>
          <w:rFonts w:cs="Times New Roman"/>
        </w:rPr>
        <w:footnoteReference w:id="59"/>
      </w:r>
      <w:r>
        <w:rPr>
          <w:rFonts w:cs="Times New Roman"/>
        </w:rPr>
        <w:t xml:space="preserve"> while this doesn’t commit Maximus to the no-explanation account, it does provide him with a way to avoid giving any ultimate explanation of the Fall. </w:t>
      </w:r>
      <w:r>
        <w:t>The former explanation seems more likely, though a fuller answer to this question would seem to depend on whether Maximus’ use of ‘transgression’ might refer not to the act of eating, but to the interior disobedience preceding and leading to it.</w:t>
      </w:r>
      <w:r>
        <w:rPr>
          <w:rStyle w:val="FootnoteReference"/>
        </w:rPr>
        <w:footnoteReference w:id="60"/>
      </w:r>
    </w:p>
    <w:p w14:paraId="46B6A26F" w14:textId="7B2353E4" w:rsidR="00672AB0" w:rsidRDefault="00672AB0" w:rsidP="00646857">
      <w:pPr>
        <w:pStyle w:val="Heading4"/>
        <w:spacing w:before="0" w:line="480" w:lineRule="auto"/>
        <w:jc w:val="both"/>
      </w:pPr>
      <w:r>
        <w:t xml:space="preserve">3.3.1.1 A note on the meaning and plausibility of the no-explanation account </w:t>
      </w:r>
    </w:p>
    <w:p w14:paraId="1D3F3BBA" w14:textId="4A0755CD" w:rsidR="00672AB0" w:rsidRDefault="00672AB0" w:rsidP="00646857">
      <w:pPr>
        <w:pStyle w:val="Standard"/>
        <w:spacing w:line="480" w:lineRule="auto"/>
        <w:jc w:val="both"/>
        <w:rPr>
          <w:rFonts w:cs="Times New Roman"/>
        </w:rPr>
      </w:pPr>
      <w:r>
        <w:rPr>
          <w:rFonts w:cs="Times New Roman"/>
        </w:rPr>
        <w:tab/>
        <w:t>When the no-explanation account is considered as an explanation of evil in its own right, it is frequently regarded as a failure.</w:t>
      </w:r>
      <w:r>
        <w:rPr>
          <w:rStyle w:val="FootnoteReference"/>
          <w:rFonts w:cs="Times New Roman"/>
        </w:rPr>
        <w:footnoteReference w:id="61"/>
      </w:r>
      <w:r>
        <w:rPr>
          <w:rFonts w:cs="Times New Roman"/>
        </w:rPr>
        <w:t xml:space="preserve"> This is, in part, because it is regarded as providing an answer to a misleading question: that of what </w:t>
      </w:r>
      <w:r>
        <w:rPr>
          <w:rFonts w:cs="Times New Roman"/>
          <w:i/>
        </w:rPr>
        <w:t xml:space="preserve">the </w:t>
      </w:r>
      <w:r>
        <w:rPr>
          <w:rFonts w:cs="Times New Roman"/>
        </w:rPr>
        <w:t>cause of the Fall is. But neither Augustine nor Maximus view privation accounts as competitors to free-will accounts:</w:t>
      </w:r>
      <w:r>
        <w:rPr>
          <w:rStyle w:val="FootnoteReference"/>
          <w:rFonts w:cs="Times New Roman"/>
        </w:rPr>
        <w:footnoteReference w:id="62"/>
      </w:r>
      <w:r>
        <w:rPr>
          <w:rFonts w:cs="Times New Roman"/>
        </w:rPr>
        <w:t xml:space="preserve"> each account answers to a different sense of ‘cause’.</w:t>
      </w:r>
    </w:p>
    <w:p w14:paraId="45885A81" w14:textId="27DE85AC" w:rsidR="00672AB0" w:rsidRPr="00BA5616" w:rsidRDefault="00672AB0" w:rsidP="00646857">
      <w:pPr>
        <w:pStyle w:val="Standard"/>
        <w:spacing w:line="480" w:lineRule="auto"/>
        <w:jc w:val="both"/>
        <w:rPr>
          <w:rFonts w:cs="Times New Roman"/>
        </w:rPr>
      </w:pPr>
      <w:r>
        <w:rPr>
          <w:rFonts w:cs="Times New Roman"/>
        </w:rPr>
        <w:lastRenderedPageBreak/>
        <w:tab/>
        <w:t>Even when taken as an account of efficient causation, the no-explanation account is still liable to be misunderstood to the degree that the ancient perceptions of efficient causation differ</w:t>
      </w:r>
      <w:r w:rsidRPr="005A10FD">
        <w:rPr>
          <w:rFonts w:cs="Times New Roman"/>
        </w:rPr>
        <w:t xml:space="preserve"> </w:t>
      </w:r>
      <w:r>
        <w:rPr>
          <w:rFonts w:cs="Times New Roman"/>
        </w:rPr>
        <w:t>from those of the present. In the contemporary understanding, efficient causation is assimilated to a kind of making. Making, in turn, is assimilated to an act of pure creation.</w:t>
      </w:r>
      <w:r>
        <w:rPr>
          <w:rStyle w:val="FootnoteReference"/>
          <w:rFonts w:cs="Times New Roman"/>
        </w:rPr>
        <w:footnoteReference w:id="63"/>
      </w:r>
      <w:r>
        <w:rPr>
          <w:rFonts w:cs="Times New Roman"/>
        </w:rPr>
        <w:t xml:space="preserve"> Understood this way, the no-explanation account is clearly wanting, since the Fall can clearly be regarded as something produced. But for Augustine as well as Maximus, efficient causation is best conceived as an implementation of </w:t>
      </w:r>
      <w:r>
        <w:rPr>
          <w:rFonts w:cs="Times New Roman"/>
          <w:i/>
        </w:rPr>
        <w:t xml:space="preserve">final </w:t>
      </w:r>
      <w:r>
        <w:rPr>
          <w:rFonts w:cs="Times New Roman"/>
        </w:rPr>
        <w:t>causes, which retain priority over their efficient counterparts. In both Augustine and Maximus, the act of bringing about is paradigmatically conceived as subordinated to a prior discovery or recognition: when humans act as efficient causes, they enact that which is first given in intellectual contemplation. Inasmuch as the free choice enacted in the Fall is preconditioned not by insight, but by blindness, it makes perfect sense that there would be no efficient cause of the Fall. Privations, - i.e. beings whose being consists entirely in the conspicuous absence of their contraries – cannot be effected.</w:t>
      </w:r>
      <w:r>
        <w:rPr>
          <w:rStyle w:val="FootnoteReference"/>
          <w:rFonts w:cs="Times New Roman"/>
        </w:rPr>
        <w:footnoteReference w:id="64"/>
      </w:r>
    </w:p>
    <w:p w14:paraId="175A1FD2" w14:textId="704C1AB8" w:rsidR="00672AB0" w:rsidRDefault="00672AB0" w:rsidP="00646857">
      <w:pPr>
        <w:pStyle w:val="Heading3"/>
        <w:spacing w:before="0" w:line="480" w:lineRule="auto"/>
        <w:jc w:val="both"/>
      </w:pPr>
      <w:r>
        <w:t>3.3.2 The nothingness account</w:t>
      </w:r>
    </w:p>
    <w:p w14:paraId="5CC75109" w14:textId="4CE6BD93" w:rsidR="00672AB0" w:rsidRPr="006705EA" w:rsidRDefault="00672AB0" w:rsidP="00646857">
      <w:pPr>
        <w:pStyle w:val="Standard"/>
        <w:spacing w:line="480" w:lineRule="auto"/>
        <w:jc w:val="both"/>
        <w:rPr>
          <w:rFonts w:cs="Times New Roman"/>
        </w:rPr>
      </w:pPr>
      <w:r>
        <w:rPr>
          <w:rFonts w:cs="Times New Roman"/>
        </w:rPr>
        <w:tab/>
        <w:t xml:space="preserve">The second part of this explanation explains not the actuality of the Fall, but its possibility, as grounded in creation </w:t>
      </w:r>
      <w:r>
        <w:rPr>
          <w:rFonts w:cs="Times New Roman"/>
          <w:i/>
        </w:rPr>
        <w:t>ex nihilo</w:t>
      </w:r>
      <w:r>
        <w:rPr>
          <w:rFonts w:cs="Times New Roman"/>
        </w:rPr>
        <w:t>. Augustine applies this explanation both to the Fall of humans and to that of the angels,</w:t>
      </w:r>
      <w:r>
        <w:rPr>
          <w:rStyle w:val="FootnoteReference"/>
          <w:rFonts w:cs="Times New Roman"/>
        </w:rPr>
        <w:footnoteReference w:id="65"/>
      </w:r>
      <w:r>
        <w:rPr>
          <w:rFonts w:cs="Times New Roman"/>
        </w:rPr>
        <w:t>and Louth finds such an account already in Saint Athanasius.</w:t>
      </w:r>
      <w:r>
        <w:rPr>
          <w:rStyle w:val="FootnoteReference"/>
          <w:rFonts w:cs="Times New Roman"/>
        </w:rPr>
        <w:footnoteReference w:id="66"/>
      </w:r>
      <w:r>
        <w:rPr>
          <w:rFonts w:cs="Times New Roman"/>
        </w:rPr>
        <w:t xml:space="preserve"> Here is Augustine’s version of it:</w:t>
      </w:r>
    </w:p>
    <w:p w14:paraId="7CDD9280" w14:textId="3A0DE9B2" w:rsidR="00672AB0" w:rsidRPr="000A61B1" w:rsidRDefault="00672AB0" w:rsidP="00646857">
      <w:pPr>
        <w:pStyle w:val="Standard"/>
        <w:spacing w:line="480" w:lineRule="auto"/>
        <w:ind w:left="900"/>
        <w:jc w:val="both"/>
        <w:rPr>
          <w:rFonts w:cs="Times New Roman"/>
          <w:b/>
        </w:rPr>
      </w:pPr>
      <w:r>
        <w:rPr>
          <w:rFonts w:cs="Times New Roman"/>
        </w:rPr>
        <w:t xml:space="preserve">‘Nothing’ is not any sort of thing at all and has no force or power. When we say that sin is possible (not necessary) because the creature is made from nothing, all we mean is this: things are either from God or from nothing. [...] Created things are not from God </w:t>
      </w:r>
      <w:r>
        <w:rPr>
          <w:rFonts w:cs="Times New Roman"/>
        </w:rPr>
        <w:lastRenderedPageBreak/>
        <w:t>in the sense of sharing the divine substance. Nor are created things made from some pre-existing substance. If creatures were from God as the Son and the Spirit are, they would be God and so evil would not be a possibility for them. This is why we say that it is creation from nothing which makes evil possible.</w:t>
      </w:r>
      <w:r>
        <w:rPr>
          <w:rStyle w:val="FootnoteReference"/>
          <w:rFonts w:cs="Times New Roman"/>
        </w:rPr>
        <w:footnoteReference w:id="67"/>
      </w:r>
    </w:p>
    <w:p w14:paraId="228FE630" w14:textId="655935F9" w:rsidR="00672AB0" w:rsidRDefault="00672AB0" w:rsidP="00646857">
      <w:pPr>
        <w:pStyle w:val="Standard"/>
        <w:spacing w:line="480" w:lineRule="auto"/>
        <w:jc w:val="both"/>
        <w:rPr>
          <w:rFonts w:cs="Times New Roman"/>
        </w:rPr>
      </w:pPr>
      <w:r>
        <w:rPr>
          <w:rFonts w:cs="Times New Roman"/>
        </w:rPr>
        <w:t xml:space="preserve">Thus, the </w:t>
      </w:r>
      <w:r>
        <w:rPr>
          <w:rFonts w:cs="Times New Roman"/>
          <w:i/>
        </w:rPr>
        <w:t>possibility</w:t>
      </w:r>
      <w:r>
        <w:rPr>
          <w:rFonts w:cs="Times New Roman"/>
        </w:rPr>
        <w:t xml:space="preserve"> of the Fall is grounded in the fact that “created beings are made from nothing, and thus […] have the ontological possibility of falling away from the good”.</w:t>
      </w:r>
      <w:r>
        <w:rPr>
          <w:rStyle w:val="FootnoteReference"/>
          <w:rFonts w:cs="Times New Roman"/>
        </w:rPr>
        <w:footnoteReference w:id="68"/>
      </w:r>
      <w:r>
        <w:rPr>
          <w:rFonts w:cs="Times New Roman"/>
        </w:rPr>
        <w:t xml:space="preserve"> </w:t>
      </w:r>
    </w:p>
    <w:p w14:paraId="54DBBC1C" w14:textId="6E445580" w:rsidR="00672AB0" w:rsidRDefault="00672AB0" w:rsidP="00646857">
      <w:pPr>
        <w:pStyle w:val="Standard"/>
        <w:spacing w:line="480" w:lineRule="auto"/>
        <w:jc w:val="both"/>
        <w:rPr>
          <w:rFonts w:cs="Times New Roman"/>
        </w:rPr>
      </w:pPr>
      <w:r>
        <w:rPr>
          <w:rFonts w:cs="Times New Roman"/>
        </w:rPr>
        <w:tab/>
        <w:t>Nothing indicates that Maximus accepts this account of the possibility of the Fall, and some aspects of his thinking would seem to militate against it. While Maximus links sin to generation, he distinguishes between generation, on the one hand, and creation as such, on the other.</w:t>
      </w:r>
      <w:r>
        <w:rPr>
          <w:rStyle w:val="FootnoteReference"/>
          <w:rFonts w:cs="Times New Roman"/>
        </w:rPr>
        <w:footnoteReference w:id="69"/>
      </w:r>
      <w:r>
        <w:rPr>
          <w:rFonts w:cs="Times New Roman"/>
        </w:rPr>
        <w:t xml:space="preserve"> Sin is only connected to the former of these; and even here, it is not generation that introduces sin, but sin that introduces generation and corruption.</w:t>
      </w:r>
      <w:r>
        <w:rPr>
          <w:rStyle w:val="FootnoteReference"/>
          <w:rFonts w:cs="Times New Roman"/>
        </w:rPr>
        <w:footnoteReference w:id="70"/>
      </w:r>
      <w:r>
        <w:rPr>
          <w:rFonts w:cs="Times New Roman"/>
        </w:rPr>
        <w:t xml:space="preserve"> </w:t>
      </w:r>
    </w:p>
    <w:p w14:paraId="6FC1F1F8" w14:textId="4C468B3D" w:rsidR="00672AB0" w:rsidRDefault="00672AB0" w:rsidP="00646857">
      <w:pPr>
        <w:pStyle w:val="Standard"/>
        <w:spacing w:line="480" w:lineRule="auto"/>
        <w:jc w:val="both"/>
        <w:rPr>
          <w:rFonts w:cs="Times New Roman"/>
        </w:rPr>
      </w:pPr>
      <w:r>
        <w:rPr>
          <w:rFonts w:cs="Times New Roman"/>
        </w:rPr>
        <w:tab/>
        <w:t xml:space="preserve">Maximus has the opportunity to advance something like the nothingness account in his refutation of Origenism in </w:t>
      </w:r>
      <w:r>
        <w:rPr>
          <w:rFonts w:cs="Times New Roman"/>
          <w:i/>
        </w:rPr>
        <w:t>Amb</w:t>
      </w:r>
      <w:r>
        <w:rPr>
          <w:rFonts w:cs="Times New Roman"/>
        </w:rPr>
        <w:t xml:space="preserve">. 7, where he attacks the idea that beings came to be created by a kind of ‘slipping away’ from God, thus moving from rest to being, perfection to imperfection. Maximus replies: </w:t>
      </w:r>
    </w:p>
    <w:p w14:paraId="5D329480" w14:textId="56841C7E" w:rsidR="00672AB0" w:rsidRDefault="00672AB0" w:rsidP="00646857">
      <w:pPr>
        <w:pStyle w:val="Standard"/>
        <w:spacing w:line="480" w:lineRule="auto"/>
        <w:ind w:left="900"/>
        <w:jc w:val="both"/>
        <w:rPr>
          <w:rFonts w:cs="Times New Roman"/>
        </w:rPr>
      </w:pPr>
      <w:r>
        <w:rPr>
          <w:rFonts w:cs="Times New Roman"/>
        </w:rPr>
        <w:t>Nothing that came into being is perfect in itself and complete. [...] Nor is anything that has come into being free of passions. Only what is unique, infinite and uncircumscribed is free of passions [...] No created thing then is at rest until it has attained the first and only cause, [...] or has possessed the ultimately desirable.</w:t>
      </w:r>
      <w:r>
        <w:rPr>
          <w:rStyle w:val="FootnoteReference"/>
          <w:rFonts w:cs="Times New Roman"/>
        </w:rPr>
        <w:footnoteReference w:id="71"/>
      </w:r>
    </w:p>
    <w:p w14:paraId="53768F7A" w14:textId="4E911386" w:rsidR="00672AB0" w:rsidRDefault="00672AB0" w:rsidP="00646857">
      <w:pPr>
        <w:pStyle w:val="Standard"/>
        <w:spacing w:line="480" w:lineRule="auto"/>
        <w:jc w:val="both"/>
        <w:rPr>
          <w:rFonts w:cs="Times New Roman"/>
        </w:rPr>
      </w:pPr>
      <w:r>
        <w:rPr>
          <w:rFonts w:cs="Times New Roman"/>
        </w:rPr>
        <w:lastRenderedPageBreak/>
        <w:t xml:space="preserve">Here, Maximus links imperfection and passibility to creation itself, without linking the possibility of </w:t>
      </w:r>
      <w:r w:rsidRPr="00687E6A">
        <w:rPr>
          <w:rFonts w:cs="Times New Roman"/>
          <w:i/>
        </w:rPr>
        <w:t>sin</w:t>
      </w:r>
      <w:r>
        <w:rPr>
          <w:rFonts w:cs="Times New Roman"/>
        </w:rPr>
        <w:t xml:space="preserve"> to creation. For Maximus, to be a created being is to be in movement from non-being towards being, until one’s final rest in God is reached. But this movement is something distinct from, and doesn’t entail the possibility of sin. Maximus writes:</w:t>
      </w:r>
    </w:p>
    <w:p w14:paraId="5A0E31BB" w14:textId="0A978D3E" w:rsidR="00672AB0" w:rsidRPr="00016BD8" w:rsidRDefault="00672AB0" w:rsidP="00646857">
      <w:pPr>
        <w:pStyle w:val="Standard"/>
        <w:spacing w:line="480" w:lineRule="auto"/>
        <w:ind w:left="900"/>
        <w:jc w:val="both"/>
        <w:rPr>
          <w:rFonts w:cs="Times New Roman"/>
        </w:rPr>
      </w:pPr>
      <w:r>
        <w:rPr>
          <w:rFonts w:cs="Times New Roman"/>
        </w:rPr>
        <w:t>The passibility spoken of in this connection does not refer to change or corruption of one’s power; passibility here indicates that which exists by nature in beings. For everything that comes into existence is subject to movement, since it is not self-moved or self-powered.</w:t>
      </w:r>
      <w:r>
        <w:rPr>
          <w:rStyle w:val="FootnoteReference"/>
          <w:rFonts w:cs="Times New Roman"/>
        </w:rPr>
        <w:footnoteReference w:id="72"/>
      </w:r>
    </w:p>
    <w:p w14:paraId="56BA2B39" w14:textId="327B8D5C" w:rsidR="00672AB0" w:rsidRDefault="00672AB0" w:rsidP="00646857">
      <w:pPr>
        <w:pStyle w:val="Standard"/>
        <w:spacing w:line="480" w:lineRule="auto"/>
        <w:jc w:val="both"/>
        <w:rPr>
          <w:rFonts w:cs="Times New Roman"/>
        </w:rPr>
      </w:pPr>
      <w:r>
        <w:rPr>
          <w:rFonts w:cs="Times New Roman"/>
        </w:rPr>
        <w:t>So the possibility spoken of is not anything purely negative and consequent upon the Fall, but rather part of created being as such.</w:t>
      </w:r>
    </w:p>
    <w:p w14:paraId="32A9F829" w14:textId="2C65B760" w:rsidR="00672AB0" w:rsidRDefault="00672AB0" w:rsidP="00646857">
      <w:pPr>
        <w:pStyle w:val="Heading2"/>
        <w:spacing w:before="0" w:line="480" w:lineRule="auto"/>
        <w:jc w:val="both"/>
      </w:pPr>
      <w:r>
        <w:t>3.4 Summary</w:t>
      </w:r>
    </w:p>
    <w:p w14:paraId="74169003" w14:textId="1187C076" w:rsidR="00672AB0" w:rsidRDefault="00672AB0" w:rsidP="00646857">
      <w:pPr>
        <w:pStyle w:val="Standard"/>
        <w:spacing w:line="480" w:lineRule="auto"/>
        <w:jc w:val="both"/>
        <w:rPr>
          <w:rFonts w:cs="Times New Roman"/>
        </w:rPr>
      </w:pPr>
      <w:r>
        <w:rPr>
          <w:rFonts w:cs="Times New Roman"/>
        </w:rPr>
        <w:tab/>
        <w:t xml:space="preserve">Augustine offers three different accounts of the Fall. Augustine neither advocates these accounts successively nor views them as competitors: rather, each account explains a different aspect of the Fall. The free-will account locates the proximate cause of the Fall in Adam’s will. The nothingness account denies that the will (or anything else) can be thought of as the </w:t>
      </w:r>
      <w:r>
        <w:rPr>
          <w:rFonts w:cs="Times New Roman"/>
          <w:i/>
        </w:rPr>
        <w:t xml:space="preserve">efficient </w:t>
      </w:r>
      <w:r>
        <w:rPr>
          <w:rFonts w:cs="Times New Roman"/>
        </w:rPr>
        <w:t xml:space="preserve">cause of the Fall. Further, the movement of the will in the Fall is relatively described as a movement from higher to lower goods, and more absolutely as a movement towards non-being. It is because the will, in choosing sin, is directed toward a privation that Augustine calls it a </w:t>
      </w:r>
      <w:r>
        <w:rPr>
          <w:rFonts w:cs="Times New Roman"/>
          <w:i/>
        </w:rPr>
        <w:t xml:space="preserve">deficient </w:t>
      </w:r>
      <w:r>
        <w:rPr>
          <w:rFonts w:cs="Times New Roman"/>
        </w:rPr>
        <w:t xml:space="preserve">cause. Lastly, Augustine grounds the possibility of the Fall in creation </w:t>
      </w:r>
      <w:r>
        <w:rPr>
          <w:rFonts w:cs="Times New Roman"/>
          <w:i/>
        </w:rPr>
        <w:t>ex nihilo</w:t>
      </w:r>
      <w:r>
        <w:rPr>
          <w:rFonts w:cs="Times New Roman"/>
        </w:rPr>
        <w:t>.</w:t>
      </w:r>
      <w:r w:rsidRPr="00A674B4">
        <w:rPr>
          <w:rFonts w:cs="Times New Roman"/>
        </w:rPr>
        <w:t xml:space="preserve"> </w:t>
      </w:r>
      <w:r>
        <w:rPr>
          <w:rFonts w:cs="Times New Roman"/>
        </w:rPr>
        <w:t>While it may be possible to offer provisional explanations for evil acts,</w:t>
      </w:r>
      <w:r>
        <w:rPr>
          <w:rStyle w:val="FootnoteReference"/>
          <w:rFonts w:cs="Times New Roman"/>
        </w:rPr>
        <w:footnoteReference w:id="73"/>
      </w:r>
      <w:r>
        <w:rPr>
          <w:rFonts w:cs="Times New Roman"/>
        </w:rPr>
        <w:t xml:space="preserve"> to ask for any sort of ultimate ground for Adam’s fall is to backslide into Manichaeism.</w:t>
      </w:r>
      <w:r>
        <w:rPr>
          <w:rStyle w:val="FootnoteReference"/>
          <w:rFonts w:cs="Times New Roman"/>
        </w:rPr>
        <w:footnoteReference w:id="74"/>
      </w:r>
    </w:p>
    <w:p w14:paraId="61111868" w14:textId="735EBB89" w:rsidR="00672AB0" w:rsidRPr="00D94CD3" w:rsidRDefault="00672AB0" w:rsidP="00646857">
      <w:pPr>
        <w:pStyle w:val="Standard"/>
        <w:spacing w:line="480" w:lineRule="auto"/>
        <w:jc w:val="both"/>
        <w:rPr>
          <w:rFonts w:cs="Times New Roman"/>
        </w:rPr>
      </w:pPr>
      <w:r>
        <w:rPr>
          <w:rFonts w:cs="Times New Roman"/>
        </w:rPr>
        <w:tab/>
        <w:t xml:space="preserve">Maximus, like Augustine, pairs privation and free-will accounts freely. We find him describing the Fall in terms of Adam’s choice, then characterizing this choice as a turn away </w:t>
      </w:r>
      <w:r>
        <w:rPr>
          <w:rFonts w:cs="Times New Roman"/>
        </w:rPr>
        <w:lastRenderedPageBreak/>
        <w:t xml:space="preserve">from being towards non-being: the Fall is conditioned by a lack of insight. As in Augustine, Adam’s choice is not characterized as spontaneous or uncaused; though for Maximus, the pleasure associated with the choice </w:t>
      </w:r>
      <w:r w:rsidRPr="00781AE1">
        <w:rPr>
          <w:rFonts w:cs="Times New Roman"/>
          <w:i/>
        </w:rPr>
        <w:t>is</w:t>
      </w:r>
      <w:r>
        <w:rPr>
          <w:rFonts w:cs="Times New Roman"/>
        </w:rPr>
        <w:t xml:space="preserve"> so regarded. Maximus’ claim that Adam fell immediately upon being created, while not an endorsement of the no-explanation account, does allow him to avoid giving an explanation of Fall’s antecedent conditions. Though there is ample room for Maximus to ground the possibility of the Fall in creation from nothing, he avoids doing so; rather, he grounds the experience of sin in generation and corruption, but distinguishes sexual generation, which is consequent upon the Fall and would not exist without it, from creation as such. The practical effect of this is that inasmuch as Maximus doesn’t address the causes of the situation leading up to Adam’s choice, the other elements of his account appear rather neatly subordinated to his free-will account – even if this account, given its close connection with the privation and hierarchical accounts in Maximus, is quite different from more recent free will accounts.</w:t>
      </w:r>
    </w:p>
    <w:p w14:paraId="2BBF6A6B" w14:textId="69624A55" w:rsidR="00672AB0" w:rsidRDefault="00672AB0" w:rsidP="00646857">
      <w:pPr>
        <w:pStyle w:val="Heading1"/>
        <w:spacing w:before="0" w:line="480" w:lineRule="auto"/>
        <w:jc w:val="both"/>
      </w:pPr>
      <w:r>
        <w:t>4 Original Sin</w:t>
      </w:r>
    </w:p>
    <w:p w14:paraId="3F38E99F" w14:textId="18B77B7A" w:rsidR="00672AB0" w:rsidRPr="001A78A3" w:rsidRDefault="00672AB0" w:rsidP="00646857">
      <w:pPr>
        <w:spacing w:line="480" w:lineRule="auto"/>
        <w:jc w:val="both"/>
      </w:pPr>
      <w:r>
        <w:tab/>
        <w:t>Having set out Maximus and Augustine’s views on the Fall, let’s move to their discussion of Original Sin. Here, we have two tasks, one negative, the other positive: the first, to show that the consequences of Original Sin on Augustine’s account don’t include the one he is most frequently associated with – inherited guilt; the second, to lay out the consequences of Adam’s sin on Augustine and Maximus’ respective accounts.</w:t>
      </w:r>
    </w:p>
    <w:p w14:paraId="1889798B" w14:textId="76ACAF8E" w:rsidR="00672AB0" w:rsidRDefault="00672AB0" w:rsidP="00646857">
      <w:pPr>
        <w:pStyle w:val="Heading2"/>
        <w:spacing w:before="0" w:line="480" w:lineRule="auto"/>
        <w:jc w:val="both"/>
      </w:pPr>
      <w:r>
        <w:t>4.1 The ambiguity of ‘sin’ in Augustine and Maximus</w:t>
      </w:r>
    </w:p>
    <w:p w14:paraId="6D08813E" w14:textId="76E72DF4" w:rsidR="00672AB0" w:rsidRDefault="00672AB0" w:rsidP="00646857">
      <w:pPr>
        <w:pStyle w:val="Standard"/>
        <w:spacing w:line="480" w:lineRule="auto"/>
        <w:ind w:firstLine="720"/>
        <w:jc w:val="both"/>
      </w:pPr>
      <w:r>
        <w:rPr>
          <w:rFonts w:cs="Times New Roman"/>
        </w:rPr>
        <w:t>Augustine employs the same fluidity with his use of the word ‘sin’ (</w:t>
      </w:r>
      <w:r>
        <w:rPr>
          <w:rFonts w:cs="Times New Roman"/>
          <w:i/>
        </w:rPr>
        <w:t>peccatum</w:t>
      </w:r>
      <w:r>
        <w:rPr>
          <w:rFonts w:cs="Times New Roman"/>
        </w:rPr>
        <w:t xml:space="preserve">), that we found earlier in his use of ‘nature’. He explains the relation between his different uses of the term in the third book of his </w:t>
      </w:r>
      <w:r>
        <w:rPr>
          <w:rFonts w:cs="Times New Roman"/>
          <w:i/>
        </w:rPr>
        <w:t>De Libero Arbitrio</w:t>
      </w:r>
      <w:r>
        <w:rPr>
          <w:rFonts w:cs="Times New Roman"/>
        </w:rPr>
        <w:t>:</w:t>
      </w:r>
    </w:p>
    <w:p w14:paraId="7A5306C1" w14:textId="04585B4E" w:rsidR="00672AB0" w:rsidRDefault="00672AB0" w:rsidP="00646857">
      <w:pPr>
        <w:pStyle w:val="Standard"/>
        <w:spacing w:line="480" w:lineRule="auto"/>
        <w:ind w:left="900"/>
        <w:jc w:val="both"/>
      </w:pPr>
      <w:r>
        <w:rPr>
          <w:rFonts w:cs="Times New Roman"/>
        </w:rPr>
        <w:lastRenderedPageBreak/>
        <w:t>Just as we call a tongue (</w:t>
      </w:r>
      <w:r>
        <w:rPr>
          <w:rFonts w:cs="Times New Roman"/>
          <w:i/>
        </w:rPr>
        <w:t>linguam</w:t>
      </w:r>
      <w:r>
        <w:rPr>
          <w:rFonts w:cs="Times New Roman"/>
        </w:rPr>
        <w:t>) not only the member that we move in our mouths when we speak, but also that which follows the motion of this member—that is, the form and rhythm of the words, in accordance with which motion one is called the Greek tongue, another the Latin—so not only do we call ‘sin’ (</w:t>
      </w:r>
      <w:r>
        <w:rPr>
          <w:rFonts w:cs="Times New Roman"/>
          <w:i/>
        </w:rPr>
        <w:t>peccatum</w:t>
      </w:r>
      <w:r>
        <w:rPr>
          <w:rFonts w:cs="Times New Roman"/>
        </w:rPr>
        <w:t>) that which is properly called sin (that is, an offense committed by free will and with knowledge), but also that which surely needs must follow from it as its punishment.</w:t>
      </w:r>
      <w:r>
        <w:rPr>
          <w:rStyle w:val="FootnoteReference"/>
          <w:rFonts w:cs="Times New Roman"/>
        </w:rPr>
        <w:footnoteReference w:id="75"/>
      </w:r>
    </w:p>
    <w:p w14:paraId="7783E23E" w14:textId="127CE9EB" w:rsidR="00672AB0" w:rsidRDefault="00672AB0" w:rsidP="00646857">
      <w:pPr>
        <w:pStyle w:val="Standard"/>
        <w:spacing w:line="480" w:lineRule="auto"/>
        <w:jc w:val="both"/>
        <w:rPr>
          <w:rFonts w:cs="Times New Roman"/>
        </w:rPr>
      </w:pPr>
      <w:r>
        <w:rPr>
          <w:rFonts w:cs="Times New Roman"/>
        </w:rPr>
        <w:tab/>
        <w:t>We find a similar double meaning in Maximus. Regarding the incarnation, Maximus writes:</w:t>
      </w:r>
    </w:p>
    <w:p w14:paraId="07B62440" w14:textId="76F95F4A" w:rsidR="00672AB0" w:rsidRDefault="00672AB0" w:rsidP="00646857">
      <w:pPr>
        <w:pStyle w:val="Standard"/>
        <w:spacing w:line="480" w:lineRule="auto"/>
        <w:ind w:left="907"/>
        <w:jc w:val="both"/>
        <w:rPr>
          <w:rFonts w:cs="Times New Roman"/>
        </w:rPr>
      </w:pPr>
      <w:r>
        <w:rPr>
          <w:rFonts w:cs="Times New Roman"/>
        </w:rPr>
        <w:t>Two sins were brought about in the first father by his transgression of God’s commandment: the one, culpable; the other, inculpable, having the culpable one as its cause; the one, of a will willingly putting aside the good; the other, of a nature through the will, unwillingly putting aside immortality.</w:t>
      </w:r>
      <w:r>
        <w:rPr>
          <w:rStyle w:val="FootnoteReference"/>
          <w:rFonts w:cs="Times New Roman"/>
        </w:rPr>
        <w:footnoteReference w:id="76"/>
      </w:r>
    </w:p>
    <w:p w14:paraId="56FB2C90" w14:textId="12A58BA0" w:rsidR="00672AB0" w:rsidRDefault="00672AB0" w:rsidP="00646857">
      <w:pPr>
        <w:pStyle w:val="Standard"/>
        <w:spacing w:line="480" w:lineRule="auto"/>
        <w:jc w:val="both"/>
        <w:rPr>
          <w:rFonts w:cs="Times New Roman"/>
        </w:rPr>
      </w:pPr>
      <w:r>
        <w:rPr>
          <w:rFonts w:cs="Times New Roman"/>
        </w:rPr>
        <w:t>For the present, it suffices to see that both Augustine and Maximus use ‘sin’ (</w:t>
      </w:r>
      <w:r w:rsidRPr="00A344F0">
        <w:rPr>
          <w:rFonts w:cs="Times New Roman"/>
          <w:i/>
        </w:rPr>
        <w:t>peccatum</w:t>
      </w:r>
      <w:r>
        <w:rPr>
          <w:rFonts w:cs="Times New Roman"/>
        </w:rPr>
        <w:t>, ἁμαρτία) to refer both to the offense itself as well as to its consequences. Consequently, the term “Original Sin” on its own need not directly implicate Adam’s descendants in his act.</w:t>
      </w:r>
    </w:p>
    <w:p w14:paraId="18482B94" w14:textId="7AD4F7AF" w:rsidR="00672AB0" w:rsidRPr="007015EB" w:rsidRDefault="00672AB0" w:rsidP="00646857">
      <w:pPr>
        <w:pStyle w:val="Heading2"/>
        <w:spacing w:before="0" w:line="480" w:lineRule="auto"/>
        <w:jc w:val="both"/>
      </w:pPr>
      <w:r>
        <w:t xml:space="preserve">4.2 The meaning of </w:t>
      </w:r>
      <w:r>
        <w:rPr>
          <w:i/>
        </w:rPr>
        <w:t xml:space="preserve">reus </w:t>
      </w:r>
      <w:r>
        <w:t xml:space="preserve">and </w:t>
      </w:r>
      <w:r>
        <w:rPr>
          <w:i/>
        </w:rPr>
        <w:t>reatus</w:t>
      </w:r>
    </w:p>
    <w:p w14:paraId="23BC8BB5" w14:textId="717C9E6C" w:rsidR="00672AB0" w:rsidRDefault="00672AB0" w:rsidP="00646857">
      <w:pPr>
        <w:pStyle w:val="Standard"/>
        <w:spacing w:line="480" w:lineRule="auto"/>
        <w:ind w:firstLine="720"/>
        <w:jc w:val="both"/>
        <w:rPr>
          <w:rFonts w:cs="Times New Roman"/>
        </w:rPr>
      </w:pPr>
      <w:r>
        <w:rPr>
          <w:rFonts w:cs="Times New Roman"/>
        </w:rPr>
        <w:t>Augustine’s main contribution to the doctrine of Original Sin, and the main aspect differentiating his doctrine from its Eastern counterparts, is thought to be the notion of inherited guilt. Couenhoven calls inherited sin the “conceptual core” of Augustine’s doctrine,</w:t>
      </w:r>
      <w:r>
        <w:rPr>
          <w:rStyle w:val="FootnoteReference"/>
          <w:rFonts w:cs="Times New Roman"/>
        </w:rPr>
        <w:footnoteReference w:id="77"/>
      </w:r>
      <w:r>
        <w:rPr>
          <w:rFonts w:cs="Times New Roman"/>
        </w:rPr>
        <w:t xml:space="preserve">  and sees common guilt as one of its two main forms.</w:t>
      </w:r>
      <w:r>
        <w:rPr>
          <w:rStyle w:val="FootnoteReference"/>
          <w:rFonts w:cs="Times New Roman"/>
        </w:rPr>
        <w:footnoteReference w:id="78"/>
      </w:r>
    </w:p>
    <w:p w14:paraId="149F3463" w14:textId="27506C26" w:rsidR="00672AB0" w:rsidRDefault="00672AB0" w:rsidP="00646857">
      <w:pPr>
        <w:pStyle w:val="Heading3"/>
        <w:spacing w:before="0" w:line="480" w:lineRule="auto"/>
        <w:jc w:val="both"/>
      </w:pPr>
      <w:r>
        <w:lastRenderedPageBreak/>
        <w:t xml:space="preserve">4.2.1 </w:t>
      </w:r>
      <w:r>
        <w:rPr>
          <w:i/>
        </w:rPr>
        <w:t xml:space="preserve">Reatus </w:t>
      </w:r>
      <w:r>
        <w:t>in Tertullian and a variant of Romans 3:19</w:t>
      </w:r>
    </w:p>
    <w:p w14:paraId="13486869" w14:textId="603B5713" w:rsidR="00672AB0" w:rsidRDefault="00672AB0" w:rsidP="00646857">
      <w:pPr>
        <w:pStyle w:val="Standard"/>
        <w:spacing w:line="480" w:lineRule="auto"/>
        <w:ind w:firstLine="720"/>
        <w:jc w:val="both"/>
        <w:rPr>
          <w:rFonts w:cs="Times New Roman"/>
        </w:rPr>
      </w:pPr>
      <w:r>
        <w:rPr>
          <w:rFonts w:cs="Times New Roman"/>
        </w:rPr>
        <w:t>Part of the reason for this reading comes from Augustine’s use of the terms ‘</w:t>
      </w:r>
      <w:r>
        <w:rPr>
          <w:rFonts w:cs="Times New Roman"/>
          <w:i/>
        </w:rPr>
        <w:t>reus</w:t>
      </w:r>
      <w:r>
        <w:rPr>
          <w:rFonts w:cs="Times New Roman"/>
        </w:rPr>
        <w:t>’</w:t>
      </w:r>
      <w:r>
        <w:rPr>
          <w:rFonts w:cs="Times New Roman"/>
          <w:i/>
        </w:rPr>
        <w:t xml:space="preserve"> </w:t>
      </w:r>
      <w:r>
        <w:rPr>
          <w:rFonts w:cs="Times New Roman"/>
        </w:rPr>
        <w:t>and ‘</w:t>
      </w:r>
      <w:r>
        <w:rPr>
          <w:rFonts w:cs="Times New Roman"/>
          <w:i/>
        </w:rPr>
        <w:t>reatus</w:t>
      </w:r>
      <w:r>
        <w:rPr>
          <w:rFonts w:cs="Times New Roman"/>
        </w:rPr>
        <w:t xml:space="preserve">’, commonly translated as ‘guilty’ and ‘guilt’, respectively. But the meaning of these Latin terms is considerably weaker than ‘guilt’. For instance, in his </w:t>
      </w:r>
      <w:r>
        <w:rPr>
          <w:rFonts w:cs="Times New Roman"/>
          <w:i/>
        </w:rPr>
        <w:t>Apology</w:t>
      </w:r>
      <w:r>
        <w:rPr>
          <w:rFonts w:cs="Times New Roman"/>
        </w:rPr>
        <w:t>, Tertullian writes, “Now, therefore, if the hatred is of the name [of Christian], of what [matter] is an indictment (</w:t>
      </w:r>
      <w:r>
        <w:rPr>
          <w:rFonts w:cs="Times New Roman"/>
          <w:i/>
        </w:rPr>
        <w:t>reatus</w:t>
      </w:r>
      <w:r>
        <w:rPr>
          <w:rFonts w:cs="Times New Roman"/>
        </w:rPr>
        <w:t>) of names, of what [concern] this accusation of words?”</w:t>
      </w:r>
      <w:r>
        <w:rPr>
          <w:rStyle w:val="FootnoteReference"/>
          <w:rFonts w:cs="Times New Roman"/>
        </w:rPr>
        <w:footnoteReference w:id="79"/>
      </w:r>
      <w:r>
        <w:rPr>
          <w:rFonts w:cs="Times New Roman"/>
        </w:rPr>
        <w:t xml:space="preserve"> In this passage, the impropriety of a translation of ‘guilt’ is more clearly brought out by Tertullian’s decision to juxtapose it rhetorically to the word ‘accusation’ (</w:t>
      </w:r>
      <w:r>
        <w:rPr>
          <w:rFonts w:cs="Times New Roman"/>
          <w:i/>
        </w:rPr>
        <w:t>accusatio</w:t>
      </w:r>
      <w:r>
        <w:rPr>
          <w:rFonts w:cs="Times New Roman"/>
        </w:rPr>
        <w:t>), which here acts as a synonym.</w:t>
      </w:r>
    </w:p>
    <w:p w14:paraId="1F3DD388" w14:textId="519C9AC6" w:rsidR="00672AB0" w:rsidRDefault="00672AB0" w:rsidP="00646857">
      <w:pPr>
        <w:pStyle w:val="Standard"/>
        <w:spacing w:line="480" w:lineRule="auto"/>
        <w:ind w:firstLine="720"/>
        <w:jc w:val="both"/>
        <w:rPr>
          <w:rFonts w:cs="Times New Roman"/>
        </w:rPr>
      </w:pPr>
      <w:r>
        <w:rPr>
          <w:rFonts w:cs="Times New Roman"/>
        </w:rPr>
        <w:t xml:space="preserve">Another indirect witness comes from Augustine’s </w:t>
      </w:r>
      <w:r>
        <w:rPr>
          <w:rFonts w:cs="Times New Roman"/>
          <w:i/>
        </w:rPr>
        <w:t>Contra Duas Epistolas Pelagianorum</w:t>
      </w:r>
      <w:r>
        <w:rPr>
          <w:rFonts w:cs="Times New Roman"/>
        </w:rPr>
        <w:t>. After a lengthy passage arguing that Saint Ambrose taught the doctrine of Original Sin, Augustine closes by saying Ambrose was agreeing with Saint Paul, quoting Romans 3: 19. “Now we know that whatever the law says, it speaks to those who are under the law, so that every mouth may be stopped, and all the world may be held accountable to God.”</w:t>
      </w:r>
      <w:r>
        <w:rPr>
          <w:rStyle w:val="FootnoteReference"/>
          <w:rFonts w:cs="Times New Roman"/>
        </w:rPr>
        <w:footnoteReference w:id="80"/>
      </w:r>
      <w:r>
        <w:rPr>
          <w:rFonts w:cs="Times New Roman"/>
        </w:rPr>
        <w:t xml:space="preserve"> Paul’s word for “to be held accountable” is </w:t>
      </w:r>
      <w:r>
        <w:rPr>
          <w:rStyle w:val="greek"/>
        </w:rPr>
        <w:t>ὑπόδικος</w:t>
      </w:r>
      <w:r>
        <w:rPr>
          <w:rFonts w:cs="Times New Roman"/>
        </w:rPr>
        <w:t xml:space="preserve">. The Vulgate translates this with </w:t>
      </w:r>
      <w:r>
        <w:rPr>
          <w:rFonts w:cs="Times New Roman"/>
          <w:i/>
        </w:rPr>
        <w:t>subditus</w:t>
      </w:r>
      <w:r>
        <w:rPr>
          <w:rFonts w:cs="Times New Roman"/>
        </w:rPr>
        <w:t>: “placed under, subjected,”</w:t>
      </w:r>
      <w:r>
        <w:rPr>
          <w:rStyle w:val="FootnoteReference"/>
          <w:rFonts w:cs="Times New Roman"/>
        </w:rPr>
        <w:footnoteReference w:id="81"/>
      </w:r>
      <w:r>
        <w:rPr>
          <w:rFonts w:cs="Times New Roman"/>
        </w:rPr>
        <w:t xml:space="preserve"> but Augustine’s text has </w:t>
      </w:r>
      <w:r>
        <w:rPr>
          <w:rFonts w:cs="Times New Roman"/>
          <w:i/>
        </w:rPr>
        <w:t>reatus</w:t>
      </w:r>
      <w:r>
        <w:rPr>
          <w:rFonts w:cs="Times New Roman"/>
        </w:rPr>
        <w:t xml:space="preserve">. This may have been a textual variant in Augustine’s time, or Augustine may have been recalling the passage from memory. If the former, then we have strong evidence that the sense of </w:t>
      </w:r>
      <w:r w:rsidRPr="00A7534D">
        <w:rPr>
          <w:rFonts w:cs="Times New Roman"/>
          <w:i/>
        </w:rPr>
        <w:t>reatus</w:t>
      </w:r>
      <w:r>
        <w:rPr>
          <w:rFonts w:cs="Times New Roman"/>
        </w:rPr>
        <w:t xml:space="preserve"> was taken to capture that of the Greek </w:t>
      </w:r>
      <w:r>
        <w:rPr>
          <w:rStyle w:val="greek"/>
        </w:rPr>
        <w:t>ὑπόδικος</w:t>
      </w:r>
      <w:r>
        <w:rPr>
          <w:rFonts w:cs="Times New Roman"/>
        </w:rPr>
        <w:t xml:space="preserve">. If the latter, we can assume Augustine thought the difference between </w:t>
      </w:r>
      <w:r>
        <w:rPr>
          <w:rFonts w:cs="Times New Roman"/>
          <w:i/>
        </w:rPr>
        <w:t xml:space="preserve">subditus </w:t>
      </w:r>
      <w:r>
        <w:rPr>
          <w:rFonts w:cs="Times New Roman"/>
        </w:rPr>
        <w:t xml:space="preserve">and </w:t>
      </w:r>
      <w:r>
        <w:rPr>
          <w:rFonts w:cs="Times New Roman"/>
          <w:i/>
        </w:rPr>
        <w:t xml:space="preserve">reatus </w:t>
      </w:r>
      <w:r>
        <w:rPr>
          <w:rFonts w:cs="Times New Roman"/>
        </w:rPr>
        <w:t>negligible enough that they could be used interchangeably in the context of Paul’s quote.</w:t>
      </w:r>
    </w:p>
    <w:p w14:paraId="6632AF4C" w14:textId="7DD17AD0" w:rsidR="00672AB0" w:rsidRDefault="00672AB0" w:rsidP="00646857">
      <w:pPr>
        <w:pStyle w:val="Heading3"/>
        <w:spacing w:before="0" w:line="480" w:lineRule="auto"/>
        <w:jc w:val="both"/>
      </w:pPr>
      <w:r>
        <w:t>4.2.2 Augustine</w:t>
      </w:r>
    </w:p>
    <w:p w14:paraId="5BDA4CD3" w14:textId="00107DD1" w:rsidR="00672AB0" w:rsidRPr="0031162A" w:rsidRDefault="00672AB0" w:rsidP="00646857">
      <w:pPr>
        <w:pStyle w:val="Standard"/>
        <w:spacing w:line="480" w:lineRule="auto"/>
        <w:ind w:firstLine="720"/>
        <w:jc w:val="both"/>
      </w:pPr>
      <w:r>
        <w:rPr>
          <w:rFonts w:cs="Times New Roman"/>
        </w:rPr>
        <w:t xml:space="preserve">Augustine avoids plainly stating that Adam’s descendants inherit his </w:t>
      </w:r>
      <w:r>
        <w:rPr>
          <w:rFonts w:cs="Times New Roman"/>
          <w:i/>
        </w:rPr>
        <w:t>guilt</w:t>
      </w:r>
      <w:r>
        <w:rPr>
          <w:rFonts w:cs="Times New Roman"/>
        </w:rPr>
        <w:t xml:space="preserve">; instead, he frequently resorts to circumlocutions in order to avoid this imputation. Infants inherit the </w:t>
      </w:r>
      <w:r>
        <w:rPr>
          <w:rFonts w:cs="Times New Roman"/>
        </w:rPr>
        <w:lastRenderedPageBreak/>
        <w:t>“sickness” of the Original Sin;</w:t>
      </w:r>
      <w:r>
        <w:rPr>
          <w:rStyle w:val="FootnoteReference"/>
          <w:rFonts w:cs="Times New Roman"/>
        </w:rPr>
        <w:footnoteReference w:id="82"/>
      </w:r>
      <w:r>
        <w:rPr>
          <w:rFonts w:cs="Times New Roman"/>
        </w:rPr>
        <w:t xml:space="preserve"> they are “poisoned by the bite of the serpent”;</w:t>
      </w:r>
      <w:r>
        <w:rPr>
          <w:rStyle w:val="FootnoteReference"/>
          <w:rFonts w:cs="Times New Roman"/>
        </w:rPr>
        <w:footnoteReference w:id="83"/>
      </w:r>
      <w:r>
        <w:rPr>
          <w:rFonts w:cs="Times New Roman"/>
        </w:rPr>
        <w:t xml:space="preserve"> they are “born with the contagion of sin”</w:t>
      </w:r>
      <w:r>
        <w:rPr>
          <w:rStyle w:val="FootnoteReference"/>
          <w:rFonts w:cs="Times New Roman"/>
        </w:rPr>
        <w:footnoteReference w:id="84"/>
      </w:r>
      <w:r>
        <w:rPr>
          <w:rFonts w:cs="Times New Roman"/>
        </w:rPr>
        <w:t xml:space="preserve"> even though they themselves are free from personal sins,</w:t>
      </w:r>
      <w:r>
        <w:rPr>
          <w:rStyle w:val="FootnoteReference"/>
          <w:rFonts w:cs="Times New Roman"/>
        </w:rPr>
        <w:footnoteReference w:id="85"/>
      </w:r>
      <w:r>
        <w:rPr>
          <w:rFonts w:cs="Times New Roman"/>
        </w:rPr>
        <w:t xml:space="preserve"> and are not even capable of committing personal sins.</w:t>
      </w:r>
      <w:r>
        <w:rPr>
          <w:rStyle w:val="FootnoteReference"/>
          <w:rFonts w:cs="Times New Roman"/>
        </w:rPr>
        <w:footnoteReference w:id="86"/>
      </w:r>
      <w:r>
        <w:t xml:space="preserve"> </w:t>
      </w:r>
      <w:r>
        <w:rPr>
          <w:rFonts w:cs="Times New Roman"/>
        </w:rPr>
        <w:t xml:space="preserve">Augustine’s use of </w:t>
      </w:r>
      <w:r>
        <w:rPr>
          <w:rFonts w:cs="Times New Roman"/>
          <w:i/>
        </w:rPr>
        <w:t xml:space="preserve">reatus </w:t>
      </w:r>
      <w:r>
        <w:rPr>
          <w:rFonts w:cs="Times New Roman"/>
        </w:rPr>
        <w:t>is in accord with this pattern. Take the following passage as an example:</w:t>
      </w:r>
    </w:p>
    <w:p w14:paraId="11B2AAC6" w14:textId="57A037F4" w:rsidR="00672AB0" w:rsidRPr="00A7534D" w:rsidRDefault="00672AB0" w:rsidP="00646857">
      <w:pPr>
        <w:pStyle w:val="Standard"/>
        <w:spacing w:line="480" w:lineRule="auto"/>
        <w:ind w:left="900"/>
        <w:jc w:val="both"/>
      </w:pPr>
      <w:r>
        <w:rPr>
          <w:rFonts w:cs="Times New Roman"/>
        </w:rPr>
        <w:t>Indeed this law of sin, which is in the members of this body of death, is both remitted by spiritual regeneration, and remains in mortal flesh. It is remitted, because its charge (</w:t>
      </w:r>
      <w:r>
        <w:rPr>
          <w:rFonts w:cs="Times New Roman"/>
          <w:i/>
        </w:rPr>
        <w:t>reatus eius</w:t>
      </w:r>
      <w:r>
        <w:rPr>
          <w:rFonts w:cs="Times New Roman"/>
        </w:rPr>
        <w:t>) is acquitted by the sacrament by which the faithful are reborn; yet it remains because it effects the desires against which even the faithful strive.</w:t>
      </w:r>
      <w:r>
        <w:rPr>
          <w:rStyle w:val="FootnoteReference"/>
          <w:rFonts w:cs="Times New Roman"/>
        </w:rPr>
        <w:footnoteReference w:id="87"/>
      </w:r>
    </w:p>
    <w:p w14:paraId="3EB192C1" w14:textId="42ABA104" w:rsidR="00672AB0" w:rsidRDefault="00672AB0" w:rsidP="00646857">
      <w:pPr>
        <w:pStyle w:val="Standard"/>
        <w:spacing w:line="480" w:lineRule="auto"/>
        <w:jc w:val="both"/>
        <w:rPr>
          <w:rFonts w:cs="Times New Roman"/>
        </w:rPr>
      </w:pPr>
      <w:r>
        <w:rPr>
          <w:rFonts w:cs="Times New Roman"/>
        </w:rPr>
        <w:t xml:space="preserve">Translating </w:t>
      </w:r>
      <w:r>
        <w:rPr>
          <w:rFonts w:cs="Times New Roman"/>
          <w:i/>
        </w:rPr>
        <w:t xml:space="preserve">reatus </w:t>
      </w:r>
      <w:r>
        <w:rPr>
          <w:rFonts w:cs="Times New Roman"/>
        </w:rPr>
        <w:t>here as ‘guilt’ would disconnect it from the verb of which it is the subject, namely ‘is acquitted’ (</w:t>
      </w:r>
      <w:r>
        <w:rPr>
          <w:rFonts w:cs="Times New Roman"/>
          <w:i/>
        </w:rPr>
        <w:t>solutus est</w:t>
      </w:r>
      <w:r>
        <w:rPr>
          <w:rFonts w:cs="Times New Roman"/>
        </w:rPr>
        <w:t xml:space="preserve">), and thereby upset the courtroom-esque picture Augustine is painting. While a defendant may be acquitted of the </w:t>
      </w:r>
      <w:r>
        <w:rPr>
          <w:rFonts w:cs="Times New Roman"/>
          <w:i/>
        </w:rPr>
        <w:t>suspicion</w:t>
      </w:r>
      <w:r>
        <w:rPr>
          <w:rFonts w:cs="Times New Roman"/>
        </w:rPr>
        <w:t xml:space="preserve"> of guilt, he is not acquitted of </w:t>
      </w:r>
      <w:r>
        <w:rPr>
          <w:rFonts w:cs="Times New Roman"/>
          <w:i/>
        </w:rPr>
        <w:t>guilt</w:t>
      </w:r>
      <w:r>
        <w:rPr>
          <w:rFonts w:cs="Times New Roman"/>
        </w:rPr>
        <w:t xml:space="preserve">; likewise, while </w:t>
      </w:r>
      <w:r w:rsidRPr="00581E9B">
        <w:rPr>
          <w:rFonts w:cs="Times New Roman"/>
          <w:i/>
        </w:rPr>
        <w:t>sin</w:t>
      </w:r>
      <w:r>
        <w:rPr>
          <w:rFonts w:cs="Times New Roman"/>
        </w:rPr>
        <w:t xml:space="preserve"> may incur guilt for the sinner, the </w:t>
      </w:r>
      <w:r w:rsidRPr="00581E9B">
        <w:rPr>
          <w:rFonts w:cs="Times New Roman"/>
          <w:i/>
        </w:rPr>
        <w:t>law of sin</w:t>
      </w:r>
      <w:r>
        <w:rPr>
          <w:rFonts w:cs="Times New Roman"/>
        </w:rPr>
        <w:t xml:space="preserve"> is not a cause of guilt, but rather the condition for the possibility of such. The law of sin is spatially represented as being in the flesh, but as in Saint Paul,</w:t>
      </w:r>
      <w:r>
        <w:rPr>
          <w:rStyle w:val="FootnoteReference"/>
          <w:rFonts w:cs="Times New Roman"/>
        </w:rPr>
        <w:footnoteReference w:id="88"/>
      </w:r>
      <w:r>
        <w:rPr>
          <w:rFonts w:cs="Times New Roman"/>
        </w:rPr>
        <w:t xml:space="preserve"> it is also personified as one whose charge – in the triple sense of accusation, custody, and jurisdiction – is acquitted. Evil actions result not merely in a certain moral status, but in a beholdenness to sin, recognizably instantiated in, for instance, bad habit.</w:t>
      </w:r>
      <w:r>
        <w:rPr>
          <w:rStyle w:val="FootnoteReference"/>
          <w:rFonts w:cs="Times New Roman"/>
        </w:rPr>
        <w:footnoteReference w:id="89"/>
      </w:r>
      <w:r>
        <w:rPr>
          <w:rFonts w:cs="Times New Roman"/>
        </w:rPr>
        <w:t xml:space="preserve"> “As if an evil action makes anything besides a nature indebted (</w:t>
      </w:r>
      <w:r>
        <w:rPr>
          <w:rFonts w:cs="Times New Roman"/>
          <w:i/>
        </w:rPr>
        <w:t xml:space="preserve">naturam </w:t>
      </w:r>
      <w:r w:rsidRPr="009E4396">
        <w:rPr>
          <w:rFonts w:cs="Times New Roman"/>
          <w:i/>
        </w:rPr>
        <w:t>ream</w:t>
      </w:r>
      <w:r>
        <w:rPr>
          <w:rFonts w:cs="Times New Roman"/>
        </w:rPr>
        <w:t>).”</w:t>
      </w:r>
      <w:r>
        <w:rPr>
          <w:rStyle w:val="FootnoteReference"/>
          <w:rFonts w:cs="Times New Roman"/>
        </w:rPr>
        <w:footnoteReference w:id="90"/>
      </w:r>
      <w:r>
        <w:rPr>
          <w:rFonts w:cs="Times New Roman"/>
        </w:rPr>
        <w:t xml:space="preserve"> </w:t>
      </w:r>
      <w:r w:rsidRPr="002A026A">
        <w:rPr>
          <w:rFonts w:cs="Times New Roman"/>
        </w:rPr>
        <w:t>The</w:t>
      </w:r>
      <w:r>
        <w:rPr>
          <w:rFonts w:cs="Times New Roman"/>
        </w:rPr>
        <w:t xml:space="preserve"> reality referred to here by Augustine’s use of ‘</w:t>
      </w:r>
      <w:r>
        <w:rPr>
          <w:rFonts w:cs="Times New Roman"/>
          <w:i/>
        </w:rPr>
        <w:t>reatus</w:t>
      </w:r>
      <w:r>
        <w:rPr>
          <w:rFonts w:cs="Times New Roman"/>
        </w:rPr>
        <w:t>’ is more relational than contemporary usage of ‘guilt’ would be liable to indicate.</w:t>
      </w:r>
    </w:p>
    <w:p w14:paraId="7B90911A" w14:textId="65E81442" w:rsidR="00672AB0" w:rsidRDefault="00672AB0" w:rsidP="00646857">
      <w:pPr>
        <w:pStyle w:val="Standard"/>
        <w:spacing w:line="480" w:lineRule="auto"/>
        <w:jc w:val="both"/>
        <w:rPr>
          <w:rFonts w:cs="Times New Roman"/>
        </w:rPr>
      </w:pPr>
      <w:r>
        <w:rPr>
          <w:rFonts w:cs="Times New Roman"/>
        </w:rPr>
        <w:lastRenderedPageBreak/>
        <w:tab/>
        <w:t>This same relational character is indicated when Augustine, explicating Saint Paul, writes:</w:t>
      </w:r>
    </w:p>
    <w:p w14:paraId="46218A48" w14:textId="792DDD98" w:rsidR="00672AB0" w:rsidRDefault="00672AB0" w:rsidP="00646857">
      <w:pPr>
        <w:pStyle w:val="Standard"/>
        <w:spacing w:line="480" w:lineRule="auto"/>
        <w:ind w:left="900"/>
        <w:jc w:val="both"/>
        <w:rPr>
          <w:rFonts w:cs="Times New Roman"/>
        </w:rPr>
      </w:pPr>
      <w:r>
        <w:rPr>
          <w:rFonts w:cs="Times New Roman"/>
        </w:rPr>
        <w:t>‘For the law of the spirit of life,’ he says, ‘freed me in Christ Jesus from the law of sin and death.’ How did it free? Only because it loosed its hold (</w:t>
      </w:r>
      <w:r>
        <w:rPr>
          <w:rFonts w:cs="Times New Roman"/>
          <w:i/>
        </w:rPr>
        <w:t xml:space="preserve">eius </w:t>
      </w:r>
      <w:r w:rsidRPr="002A026A">
        <w:rPr>
          <w:rFonts w:cs="Times New Roman"/>
          <w:i/>
        </w:rPr>
        <w:t>reatum</w:t>
      </w:r>
      <w:r>
        <w:rPr>
          <w:rFonts w:cs="Times New Roman"/>
        </w:rPr>
        <w:t>...</w:t>
      </w:r>
      <w:r>
        <w:rPr>
          <w:rFonts w:cs="Times New Roman"/>
          <w:i/>
        </w:rPr>
        <w:t>dissolvit</w:t>
      </w:r>
      <w:r>
        <w:rPr>
          <w:rFonts w:cs="Times New Roman"/>
        </w:rPr>
        <w:t>) by the remission of all sins, so that while it still remains and is diminished more and more day to day, yet it is not reckoned to sin (</w:t>
      </w:r>
      <w:r>
        <w:rPr>
          <w:rFonts w:cs="Times New Roman"/>
          <w:i/>
        </w:rPr>
        <w:t>in peccatum tamen non imputetur</w:t>
      </w:r>
      <w:r>
        <w:rPr>
          <w:rFonts w:cs="Times New Roman"/>
        </w:rPr>
        <w:t>).</w:t>
      </w:r>
      <w:r>
        <w:rPr>
          <w:rStyle w:val="FootnoteReference"/>
          <w:rFonts w:cs="Times New Roman"/>
        </w:rPr>
        <w:footnoteReference w:id="91"/>
      </w:r>
    </w:p>
    <w:p w14:paraId="727BCAF1" w14:textId="791FE0D7" w:rsidR="00672AB0" w:rsidRPr="0097484E" w:rsidRDefault="00672AB0" w:rsidP="00646857">
      <w:pPr>
        <w:pStyle w:val="Standard"/>
        <w:spacing w:line="480" w:lineRule="auto"/>
        <w:jc w:val="both"/>
        <w:rPr>
          <w:rFonts w:cs="Times New Roman"/>
        </w:rPr>
      </w:pPr>
      <w:r>
        <w:rPr>
          <w:rFonts w:cs="Times New Roman"/>
        </w:rPr>
        <w:t xml:space="preserve">What is at stake here is not sin’s residual presence in guilt, but its ruling power as a </w:t>
      </w:r>
      <w:r>
        <w:rPr>
          <w:rFonts w:cs="Times New Roman"/>
          <w:i/>
        </w:rPr>
        <w:t xml:space="preserve">telos </w:t>
      </w:r>
      <w:r>
        <w:rPr>
          <w:rFonts w:cs="Times New Roman"/>
        </w:rPr>
        <w:t>for the unredeemed man: sin lays claim to him, like a master owns a slave.</w:t>
      </w:r>
      <w:r>
        <w:rPr>
          <w:rStyle w:val="FootnoteReference"/>
          <w:rFonts w:cs="Times New Roman"/>
        </w:rPr>
        <w:footnoteReference w:id="92"/>
      </w:r>
      <w:r>
        <w:rPr>
          <w:rFonts w:cs="Times New Roman"/>
        </w:rPr>
        <w:t xml:space="preserve"> As before, we find here a kind of indebtedness, but still one tied too much to a cosmic order to signify the notion involved in personal guilt. Furthermore, guilt doesn’t seem to be the kind of thing that can be diminished over time, though diminution is ascribed to </w:t>
      </w:r>
      <w:r>
        <w:rPr>
          <w:rFonts w:cs="Times New Roman"/>
          <w:i/>
        </w:rPr>
        <w:t xml:space="preserve">reatus </w:t>
      </w:r>
      <w:r>
        <w:rPr>
          <w:rFonts w:cs="Times New Roman"/>
        </w:rPr>
        <w:t xml:space="preserve">here. Elsewhere, we find Augustine describing his opponents’ puzzlement over “why the death of the body remains when the </w:t>
      </w:r>
      <w:r>
        <w:rPr>
          <w:rFonts w:cs="Times New Roman"/>
          <w:i/>
        </w:rPr>
        <w:t>reatus</w:t>
      </w:r>
      <w:r>
        <w:rPr>
          <w:rFonts w:cs="Times New Roman"/>
        </w:rPr>
        <w:t xml:space="preserve"> of sin is loosed by grace,”</w:t>
      </w:r>
      <w:r>
        <w:rPr>
          <w:rStyle w:val="FootnoteReference"/>
          <w:rFonts w:cs="Times New Roman"/>
        </w:rPr>
        <w:footnoteReference w:id="93"/>
      </w:r>
      <w:r>
        <w:rPr>
          <w:rFonts w:cs="Times New Roman"/>
        </w:rPr>
        <w:t xml:space="preserve"> This puzzlement makes little sense if </w:t>
      </w:r>
      <w:r w:rsidRPr="00B370DC">
        <w:rPr>
          <w:rFonts w:cs="Times New Roman"/>
          <w:i/>
        </w:rPr>
        <w:t>reatus</w:t>
      </w:r>
      <w:r>
        <w:rPr>
          <w:rFonts w:cs="Times New Roman"/>
        </w:rPr>
        <w:t xml:space="preserve"> is read as ‘guilt’, if only because its frequent pairing with the verb ‘to loose’ (</w:t>
      </w:r>
      <w:r>
        <w:rPr>
          <w:rFonts w:cs="Times New Roman"/>
          <w:i/>
        </w:rPr>
        <w:t>solvere</w:t>
      </w:r>
      <w:r>
        <w:rPr>
          <w:rFonts w:cs="Times New Roman"/>
        </w:rPr>
        <w:t>) and its variants would render the combined meaning infelicitous.</w:t>
      </w:r>
      <w:r>
        <w:rPr>
          <w:rStyle w:val="FootnoteReference"/>
          <w:rFonts w:cs="Times New Roman"/>
        </w:rPr>
        <w:footnoteReference w:id="94"/>
      </w:r>
    </w:p>
    <w:p w14:paraId="07A2C48F" w14:textId="1716B66B" w:rsidR="00672AB0" w:rsidRDefault="00672AB0" w:rsidP="00646857">
      <w:pPr>
        <w:pStyle w:val="Heading3"/>
        <w:spacing w:before="0" w:line="480" w:lineRule="auto"/>
        <w:jc w:val="both"/>
        <w:rPr>
          <w:i/>
        </w:rPr>
      </w:pPr>
      <w:r>
        <w:t>4.2.3 Eriugena’s translations of Maximus</w:t>
      </w:r>
    </w:p>
    <w:p w14:paraId="7B9D4E31" w14:textId="5C47138B" w:rsidR="00672AB0" w:rsidRPr="007E6353" w:rsidRDefault="00672AB0" w:rsidP="00646857">
      <w:pPr>
        <w:suppressAutoHyphens w:val="0"/>
        <w:spacing w:line="480" w:lineRule="auto"/>
        <w:jc w:val="both"/>
        <w:rPr>
          <w:rFonts w:cs="Times New Roman"/>
        </w:rPr>
      </w:pPr>
      <w:r>
        <w:tab/>
        <w:t xml:space="preserve">This relational meaning of </w:t>
      </w:r>
      <w:r>
        <w:rPr>
          <w:i/>
        </w:rPr>
        <w:t>reatus</w:t>
      </w:r>
      <w:r>
        <w:t>, with connotations of indebtedness, indictment, and even ownership, continues to be its standard meaning in Eriugena’s translations of Maximus four centuries later. Maximus speaks of the unredeemed as “not freed, in his fear of death, from slavery to pleasure (</w:t>
      </w:r>
      <w:r>
        <w:rPr>
          <w:rFonts w:cs="Times New Roman"/>
        </w:rPr>
        <w:t>τῆς καθ’ ἡδονὴν ἐνοχῆς</w:t>
      </w:r>
      <w:r>
        <w:t>).”</w:t>
      </w:r>
      <w:r>
        <w:rPr>
          <w:rStyle w:val="FootnoteReference"/>
        </w:rPr>
        <w:footnoteReference w:id="95"/>
      </w:r>
      <w:r>
        <w:t xml:space="preserve"> Eriugena translates </w:t>
      </w:r>
      <w:r>
        <w:rPr>
          <w:rFonts w:cs="Times New Roman"/>
        </w:rPr>
        <w:t xml:space="preserve">τῆς καθ’ ἡδονὴν ἐνοχῆς with </w:t>
      </w:r>
      <w:r>
        <w:rPr>
          <w:rFonts w:cs="Times New Roman"/>
          <w:i/>
        </w:rPr>
        <w:t>reatu voluptatis</w:t>
      </w:r>
      <w:r>
        <w:rPr>
          <w:rFonts w:cs="Times New Roman"/>
        </w:rPr>
        <w:t xml:space="preserve">, with </w:t>
      </w:r>
      <w:r>
        <w:rPr>
          <w:rFonts w:cs="Times New Roman"/>
          <w:i/>
        </w:rPr>
        <w:t xml:space="preserve">reatus </w:t>
      </w:r>
      <w:r>
        <w:rPr>
          <w:rFonts w:cs="Times New Roman"/>
        </w:rPr>
        <w:t xml:space="preserve">used to capture this slavery. The notion of guilt is clearly not at issue in the text. The same is true in </w:t>
      </w:r>
      <w:r>
        <w:rPr>
          <w:rFonts w:cs="Times New Roman"/>
          <w:i/>
        </w:rPr>
        <w:t xml:space="preserve">Ad Thalassium </w:t>
      </w:r>
      <w:r>
        <w:rPr>
          <w:rFonts w:cs="Times New Roman"/>
        </w:rPr>
        <w:t xml:space="preserve">61, where Maximus, says Christ “brought an end </w:t>
      </w:r>
      <w:r>
        <w:rPr>
          <w:rFonts w:cs="Times New Roman"/>
        </w:rPr>
        <w:lastRenderedPageBreak/>
        <w:t>to both extremes [...] of the mode of human generation inherited from Adam</w:t>
      </w:r>
      <w:r>
        <w:rPr>
          <w:rStyle w:val="FootnoteReference"/>
          <w:rFonts w:cs="Times New Roman"/>
        </w:rPr>
        <w:footnoteReference w:id="96"/>
      </w:r>
      <w:r>
        <w:rPr>
          <w:rFonts w:cs="Times New Roman"/>
        </w:rPr>
        <w:t xml:space="preserve"> [...]; and he set all who are mystically reborn by his spirit free from liability to those extremes (τῆς ἐπ’ αὐτοῖς ἐνοχῆς ἐλευθέρους κατέστησεν, </w:t>
      </w:r>
      <w:r>
        <w:rPr>
          <w:rFonts w:cs="Times New Roman"/>
          <w:i/>
        </w:rPr>
        <w:t>reatu qui in ipsis est liberos constituit</w:t>
      </w:r>
      <w:r>
        <w:rPr>
          <w:rFonts w:cs="Times New Roman"/>
        </w:rPr>
        <w:t>).”</w:t>
      </w:r>
      <w:r>
        <w:rPr>
          <w:rStyle w:val="FootnoteReference"/>
          <w:rFonts w:cs="Times New Roman"/>
        </w:rPr>
        <w:footnoteReference w:id="97"/>
      </w:r>
      <w:r>
        <w:rPr>
          <w:rFonts w:cs="Times New Roman"/>
        </w:rPr>
        <w:t xml:space="preserve"> As in the previous quote, </w:t>
      </w:r>
      <w:r>
        <w:rPr>
          <w:rFonts w:cs="Times New Roman"/>
          <w:i/>
        </w:rPr>
        <w:t>reatu</w:t>
      </w:r>
      <w:r>
        <w:rPr>
          <w:rFonts w:cs="Times New Roman"/>
        </w:rPr>
        <w:t xml:space="preserve"> captures ἐνοχῆς, rendered by Blowers and Wilken into English as ‘liability’. This harmonizes with the previous rendering of ‘slavery’: man is liable to the extremes of pleasure and pain because indebted to them, because he is under their power. All these senses are captured by </w:t>
      </w:r>
      <w:r>
        <w:rPr>
          <w:rFonts w:cs="Times New Roman"/>
          <w:i/>
        </w:rPr>
        <w:t>reatus</w:t>
      </w:r>
      <w:r>
        <w:rPr>
          <w:rFonts w:cs="Times New Roman"/>
        </w:rPr>
        <w:t xml:space="preserve"> in Eriugena’s translation.</w:t>
      </w:r>
    </w:p>
    <w:p w14:paraId="78652313" w14:textId="0F02F10F" w:rsidR="00672AB0" w:rsidRPr="00186A0F" w:rsidRDefault="00672AB0" w:rsidP="00646857">
      <w:pPr>
        <w:pStyle w:val="Standard"/>
        <w:spacing w:line="480" w:lineRule="auto"/>
        <w:ind w:firstLine="720"/>
        <w:jc w:val="both"/>
        <w:rPr>
          <w:rFonts w:cs="Times New Roman"/>
        </w:rPr>
      </w:pPr>
      <w:r>
        <w:rPr>
          <w:rFonts w:cs="Times New Roman"/>
        </w:rPr>
        <w:t xml:space="preserve">While Augustine does think of Original Sin in terms of an inheritance, it is not an inheritance of guilt. This view is based on a translation of </w:t>
      </w:r>
      <w:r w:rsidRPr="00F00EAF">
        <w:rPr>
          <w:rFonts w:cs="Times New Roman"/>
          <w:i/>
        </w:rPr>
        <w:t>reatus</w:t>
      </w:r>
      <w:r>
        <w:rPr>
          <w:rFonts w:cs="Times New Roman"/>
        </w:rPr>
        <w:t xml:space="preserve"> as ‘guilt’, one that fails to withstand scrutiny not only in Augustine’s case, but also in that of earlier Latin fathers and even Eriugena’s later translations of Maximus. This removes the main aspect whereby Augustine’s account of Original Sin is differentiated from Eastern accounts generally and Maximus’ in particular.</w:t>
      </w:r>
    </w:p>
    <w:p w14:paraId="27B5C983" w14:textId="0209CDEF" w:rsidR="00672AB0" w:rsidRDefault="00672AB0" w:rsidP="00646857">
      <w:pPr>
        <w:pStyle w:val="Heading2"/>
        <w:tabs>
          <w:tab w:val="left" w:pos="1980"/>
        </w:tabs>
        <w:spacing w:before="0" w:line="480" w:lineRule="auto"/>
        <w:jc w:val="both"/>
      </w:pPr>
      <w:r>
        <w:t>4.3 The effects of Adam’s sin on the human condition</w:t>
      </w:r>
    </w:p>
    <w:p w14:paraId="494506C3" w14:textId="520646DF" w:rsidR="00672AB0" w:rsidRPr="00D25335" w:rsidRDefault="00672AB0" w:rsidP="00646857">
      <w:pPr>
        <w:pStyle w:val="Standard"/>
        <w:spacing w:line="480" w:lineRule="auto"/>
        <w:ind w:firstLine="720"/>
        <w:jc w:val="both"/>
      </w:pPr>
      <w:r>
        <w:rPr>
          <w:rFonts w:cs="Times New Roman"/>
        </w:rPr>
        <w:t>As noted above, the proper sense of ‘sin’, for Augustine as for Maximus, is that of a consciously committed evil act. Nevertheless, the term ‘sin’ can also be used to refer to the consequences of that act. The consequences of the sin of Adam fall into two principal categories—death</w:t>
      </w:r>
      <w:r>
        <w:rPr>
          <w:rStyle w:val="FootnoteReference"/>
          <w:rFonts w:cs="Times New Roman"/>
        </w:rPr>
        <w:footnoteReference w:id="98"/>
      </w:r>
      <w:r>
        <w:rPr>
          <w:rFonts w:cs="Times New Roman"/>
        </w:rPr>
        <w:t xml:space="preserve"> and deficiency</w:t>
      </w:r>
      <w:r>
        <w:rPr>
          <w:rStyle w:val="FootnoteReference"/>
          <w:rFonts w:cs="Times New Roman"/>
        </w:rPr>
        <w:footnoteReference w:id="99"/>
      </w:r>
      <w:r>
        <w:rPr>
          <w:rFonts w:cs="Times New Roman"/>
        </w:rPr>
        <w:t>—which themselves may be subdivided further into temporal and eternal death, on the one hand, and ignorance and difficulty, on the other. Like many Eastern fathers, Maximus does not appear to use the term ‘Original Sin’, though this does not prevent the substance of the doctrine from being present in his writings.</w:t>
      </w:r>
      <w:r>
        <w:rPr>
          <w:rStyle w:val="FootnoteReference"/>
          <w:rFonts w:cs="Times New Roman"/>
        </w:rPr>
        <w:footnoteReference w:id="100"/>
      </w:r>
    </w:p>
    <w:p w14:paraId="029AAABA" w14:textId="703A3019" w:rsidR="00672AB0" w:rsidRPr="00F252EF" w:rsidRDefault="00672AB0" w:rsidP="00646857">
      <w:pPr>
        <w:pStyle w:val="Heading3"/>
        <w:spacing w:before="0" w:line="480" w:lineRule="auto"/>
      </w:pPr>
      <w:r>
        <w:lastRenderedPageBreak/>
        <w:t>4.3.1 Ignorance and difficulty</w:t>
      </w:r>
    </w:p>
    <w:p w14:paraId="0294666F" w14:textId="6A7B3D61" w:rsidR="00672AB0" w:rsidRDefault="00672AB0" w:rsidP="00646857">
      <w:pPr>
        <w:pStyle w:val="Standard"/>
        <w:spacing w:line="480" w:lineRule="auto"/>
        <w:ind w:firstLine="720"/>
        <w:jc w:val="both"/>
        <w:rPr>
          <w:rFonts w:cs="Times New Roman"/>
        </w:rPr>
      </w:pPr>
      <w:r>
        <w:rPr>
          <w:rFonts w:cs="Times New Roman"/>
        </w:rPr>
        <w:t>For Augustine the main consequence of Adam’s transgression is the advent of ignorance and difficulty in the life of mankind.</w:t>
      </w:r>
      <w:r>
        <w:rPr>
          <w:rStyle w:val="FootnoteReference"/>
          <w:rFonts w:cs="Times New Roman"/>
        </w:rPr>
        <w:footnoteReference w:id="101"/>
      </w:r>
      <w:r>
        <w:rPr>
          <w:rFonts w:cs="Times New Roman"/>
        </w:rPr>
        <w:t xml:space="preserve"> Augustine’s focus on ignorance and difficulty as the lot of earthly existence does not appear to be a uniquely Christian one, but is partially drawn from pagan sources, particularly Cicero and Vergil.</w:t>
      </w:r>
      <w:r>
        <w:rPr>
          <w:rStyle w:val="FootnoteReference"/>
          <w:rFonts w:cs="Times New Roman"/>
        </w:rPr>
        <w:footnoteReference w:id="102"/>
      </w:r>
      <w:r>
        <w:rPr>
          <w:rFonts w:cs="Times New Roman"/>
        </w:rPr>
        <w:t xml:space="preserve"> These defects do not merely lead to sins of omission, but also bring about a defective </w:t>
      </w:r>
      <w:r>
        <w:rPr>
          <w:rFonts w:cs="Times New Roman"/>
          <w:i/>
        </w:rPr>
        <w:t>orientation</w:t>
      </w:r>
      <w:r>
        <w:rPr>
          <w:rFonts w:cs="Times New Roman"/>
        </w:rPr>
        <w:t xml:space="preserve"> of the will, leaving the human person dominated by base desires of the flesh, referred to as ‘</w:t>
      </w:r>
      <w:r>
        <w:rPr>
          <w:rFonts w:cs="Times New Roman"/>
          <w:i/>
        </w:rPr>
        <w:t xml:space="preserve">cupiditas’ </w:t>
      </w:r>
      <w:r>
        <w:rPr>
          <w:rFonts w:cs="Times New Roman"/>
        </w:rPr>
        <w:t>and ‘</w:t>
      </w:r>
      <w:r>
        <w:rPr>
          <w:rFonts w:cs="Times New Roman"/>
          <w:i/>
        </w:rPr>
        <w:t>libido’</w:t>
      </w:r>
      <w:r>
        <w:rPr>
          <w:rFonts w:cs="Times New Roman"/>
        </w:rPr>
        <w:t>.</w:t>
      </w:r>
      <w:r>
        <w:rPr>
          <w:rStyle w:val="FootnoteReference"/>
          <w:rFonts w:cs="Times New Roman"/>
        </w:rPr>
        <w:footnoteReference w:id="103"/>
      </w:r>
      <w:r>
        <w:rPr>
          <w:rFonts w:cs="Times New Roman"/>
        </w:rPr>
        <w:t xml:space="preserve"> That this state, rather than death, is the primary meaning of ‘Original Sin’ can be ascertained by the fact that while Augustine holds Christ was without </w:t>
      </w:r>
      <w:r>
        <w:rPr>
          <w:rFonts w:cs="Times New Roman"/>
          <w:i/>
        </w:rPr>
        <w:t>libido</w:t>
      </w:r>
      <w:r>
        <w:rPr>
          <w:rFonts w:cs="Times New Roman"/>
        </w:rPr>
        <w:t>,</w:t>
      </w:r>
      <w:r>
        <w:rPr>
          <w:rStyle w:val="FootnoteReference"/>
          <w:rFonts w:cs="Times New Roman"/>
        </w:rPr>
        <w:footnoteReference w:id="104"/>
      </w:r>
      <w:r>
        <w:rPr>
          <w:rFonts w:cs="Times New Roman"/>
        </w:rPr>
        <w:t xml:space="preserve"> free from ignorance and difficulty,</w:t>
      </w:r>
      <w:r>
        <w:rPr>
          <w:rStyle w:val="FootnoteReference"/>
          <w:rFonts w:cs="Times New Roman"/>
        </w:rPr>
        <w:footnoteReference w:id="105"/>
      </w:r>
      <w:r>
        <w:rPr>
          <w:rFonts w:cs="Times New Roman"/>
        </w:rPr>
        <w:t xml:space="preserve"> and therefore was without Original Sin,</w:t>
      </w:r>
      <w:r>
        <w:rPr>
          <w:rStyle w:val="FootnoteReference"/>
          <w:rFonts w:cs="Times New Roman"/>
        </w:rPr>
        <w:footnoteReference w:id="106"/>
      </w:r>
      <w:r>
        <w:rPr>
          <w:rFonts w:cs="Times New Roman"/>
        </w:rPr>
        <w:t xml:space="preserve"> he certainly confesses that Christ died.</w:t>
      </w:r>
    </w:p>
    <w:p w14:paraId="122A6108" w14:textId="77777777" w:rsidR="00672AB0" w:rsidRDefault="00672AB0" w:rsidP="00646857">
      <w:pPr>
        <w:pStyle w:val="Standard"/>
        <w:spacing w:line="480" w:lineRule="auto"/>
        <w:ind w:firstLine="720"/>
        <w:jc w:val="both"/>
        <w:rPr>
          <w:rFonts w:cs="Times New Roman"/>
        </w:rPr>
      </w:pPr>
      <w:r>
        <w:rPr>
          <w:rFonts w:cs="Times New Roman"/>
        </w:rPr>
        <w:t>Besides Original Sin, Augustine calls this inherited condition a “punitive nature (</w:t>
      </w:r>
      <w:r>
        <w:rPr>
          <w:rFonts w:cs="Times New Roman"/>
          <w:i/>
        </w:rPr>
        <w:t>natura poenalis</w:t>
      </w:r>
      <w:r>
        <w:rPr>
          <w:rFonts w:cs="Times New Roman"/>
        </w:rPr>
        <w:t>),”</w:t>
      </w:r>
      <w:r>
        <w:rPr>
          <w:rStyle w:val="FootnoteReference"/>
          <w:rFonts w:cs="Times New Roman"/>
        </w:rPr>
        <w:footnoteReference w:id="107"/>
      </w:r>
      <w:r>
        <w:rPr>
          <w:rFonts w:cs="Times New Roman"/>
        </w:rPr>
        <w:t xml:space="preserve"> a “hereditary evil (</w:t>
      </w:r>
      <w:r>
        <w:rPr>
          <w:rFonts w:cs="Times New Roman"/>
          <w:i/>
        </w:rPr>
        <w:t>haereditarium malum</w:t>
      </w:r>
      <w:r>
        <w:rPr>
          <w:rFonts w:cs="Times New Roman"/>
        </w:rPr>
        <w:t>),”</w:t>
      </w:r>
      <w:r>
        <w:rPr>
          <w:rStyle w:val="FootnoteReference"/>
          <w:rFonts w:cs="Times New Roman"/>
        </w:rPr>
        <w:footnoteReference w:id="108"/>
      </w:r>
      <w:r>
        <w:rPr>
          <w:rFonts w:cs="Times New Roman"/>
        </w:rPr>
        <w:t xml:space="preserve"> “hereditary indebtedness (</w:t>
      </w:r>
      <w:r>
        <w:rPr>
          <w:rFonts w:cs="Times New Roman"/>
          <w:i/>
        </w:rPr>
        <w:t>reatu haereditario</w:t>
      </w:r>
      <w:r>
        <w:rPr>
          <w:rFonts w:cs="Times New Roman"/>
        </w:rPr>
        <w:t>),”</w:t>
      </w:r>
      <w:r>
        <w:rPr>
          <w:rStyle w:val="FootnoteReference"/>
          <w:rFonts w:cs="Times New Roman"/>
        </w:rPr>
        <w:footnoteReference w:id="109"/>
      </w:r>
      <w:r>
        <w:rPr>
          <w:rFonts w:cs="Times New Roman"/>
        </w:rPr>
        <w:t xml:space="preserve"> “original evil (</w:t>
      </w:r>
      <w:r>
        <w:rPr>
          <w:rFonts w:cs="Times New Roman"/>
          <w:i/>
        </w:rPr>
        <w:t>originali malo</w:t>
      </w:r>
      <w:r>
        <w:rPr>
          <w:rFonts w:cs="Times New Roman"/>
        </w:rPr>
        <w:t>),”</w:t>
      </w:r>
      <w:r>
        <w:rPr>
          <w:rStyle w:val="FootnoteReference"/>
          <w:rFonts w:cs="Times New Roman"/>
        </w:rPr>
        <w:footnoteReference w:id="110"/>
      </w:r>
      <w:r>
        <w:rPr>
          <w:rFonts w:cs="Times New Roman"/>
        </w:rPr>
        <w:t xml:space="preserve"> “sin of origin (</w:t>
      </w:r>
      <w:r>
        <w:rPr>
          <w:rFonts w:cs="Times New Roman"/>
          <w:i/>
        </w:rPr>
        <w:t>peccato originis</w:t>
      </w:r>
      <w:r>
        <w:rPr>
          <w:rFonts w:cs="Times New Roman"/>
        </w:rPr>
        <w:t>),”</w:t>
      </w:r>
      <w:r>
        <w:rPr>
          <w:rStyle w:val="FootnoteReference"/>
          <w:rFonts w:cs="Times New Roman"/>
        </w:rPr>
        <w:footnoteReference w:id="111"/>
      </w:r>
      <w:r>
        <w:rPr>
          <w:rFonts w:cs="Times New Roman"/>
        </w:rPr>
        <w:t xml:space="preserve"> and “the original infection from the first sin (</w:t>
      </w:r>
      <w:r>
        <w:rPr>
          <w:rFonts w:cs="Times New Roman"/>
          <w:i/>
        </w:rPr>
        <w:t>primi peccati originale contagium</w:t>
      </w:r>
      <w:r>
        <w:rPr>
          <w:rFonts w:cs="Times New Roman"/>
        </w:rPr>
        <w:t>).”</w:t>
      </w:r>
      <w:r>
        <w:rPr>
          <w:rStyle w:val="FootnoteReference"/>
          <w:rFonts w:cs="Times New Roman"/>
        </w:rPr>
        <w:footnoteReference w:id="112"/>
      </w:r>
      <w:r>
        <w:rPr>
          <w:rFonts w:cs="Times New Roman"/>
        </w:rPr>
        <w:t xml:space="preserve"> This sin, so called because the consequence of Adam’s sin, is contracted, not brought about by imitation.</w:t>
      </w:r>
      <w:r>
        <w:rPr>
          <w:rStyle w:val="FootnoteReference"/>
          <w:rFonts w:cs="Times New Roman"/>
        </w:rPr>
        <w:footnoteReference w:id="113"/>
      </w:r>
      <w:r>
        <w:rPr>
          <w:rFonts w:cs="Times New Roman"/>
        </w:rPr>
        <w:t xml:space="preserve"> And though contracted rather than committed, the sin can really be said to belong to Adam’s descendants. Augustine explains: </w:t>
      </w:r>
    </w:p>
    <w:p w14:paraId="7ED93CED" w14:textId="77777777" w:rsidR="00672AB0" w:rsidRPr="001036AC" w:rsidRDefault="00672AB0" w:rsidP="00646857">
      <w:pPr>
        <w:pStyle w:val="Standard"/>
        <w:spacing w:line="480" w:lineRule="auto"/>
        <w:ind w:left="900"/>
        <w:jc w:val="both"/>
      </w:pPr>
      <w:r>
        <w:rPr>
          <w:rFonts w:cs="Times New Roman"/>
        </w:rPr>
        <w:lastRenderedPageBreak/>
        <w:t>The sins of the parents are in a certain respect called foreign, and again in a certain respect found to be our own</w:t>
      </w:r>
      <w:r>
        <w:t>: foreign, obviously by the possession of the action; but ours, by the infection of the line of descent.</w:t>
      </w:r>
      <w:r>
        <w:rPr>
          <w:rStyle w:val="FootnoteReference"/>
        </w:rPr>
        <w:footnoteReference w:id="114"/>
      </w:r>
    </w:p>
    <w:p w14:paraId="6F033E2F" w14:textId="77777777" w:rsidR="00672AB0" w:rsidRPr="00C24DF1" w:rsidRDefault="00672AB0" w:rsidP="00646857">
      <w:pPr>
        <w:pStyle w:val="Standard"/>
        <w:spacing w:line="480" w:lineRule="auto"/>
        <w:jc w:val="both"/>
        <w:rPr>
          <w:rFonts w:cs="Times New Roman"/>
        </w:rPr>
      </w:pPr>
      <w:r>
        <w:rPr>
          <w:rFonts w:cs="Times New Roman"/>
        </w:rPr>
        <w:t xml:space="preserve">Hence, though Augustine does talk about participation in Adam, this participation is not so strong as to suggest the sin of Adam </w:t>
      </w:r>
      <w:r>
        <w:rPr>
          <w:rFonts w:cs="Times New Roman"/>
          <w:i/>
        </w:rPr>
        <w:t xml:space="preserve">properly </w:t>
      </w:r>
      <w:r>
        <w:rPr>
          <w:rFonts w:cs="Times New Roman"/>
        </w:rPr>
        <w:t>belongs to Adam’s descendants.</w:t>
      </w:r>
    </w:p>
    <w:p w14:paraId="6A75830A" w14:textId="7DE44E53" w:rsidR="00672AB0" w:rsidRDefault="00672AB0" w:rsidP="00646857">
      <w:pPr>
        <w:pStyle w:val="Standard"/>
        <w:spacing w:line="480" w:lineRule="auto"/>
        <w:jc w:val="both"/>
      </w:pPr>
      <w:r>
        <w:rPr>
          <w:rFonts w:cs="Times New Roman"/>
        </w:rPr>
        <w:tab/>
        <w:t>Maximus’ claims about the effects of sin on human faculties line up closely with those of Augustine. He writes that on account of Adam’s sin, “the capacity to render to God what is due to God alone, to love him with all of our mind, was destroyed”;</w:t>
      </w:r>
      <w:r w:rsidRPr="001A2B70">
        <w:rPr>
          <w:rStyle w:val="FootnoteReference"/>
          <w:rFonts w:cs="Times New Roman"/>
        </w:rPr>
        <w:t xml:space="preserve"> </w:t>
      </w:r>
      <w:r>
        <w:rPr>
          <w:rStyle w:val="FootnoteReference"/>
          <w:rFonts w:cs="Times New Roman"/>
        </w:rPr>
        <w:footnoteReference w:id="115"/>
      </w:r>
      <w:r>
        <w:rPr>
          <w:rFonts w:cs="Times New Roman"/>
        </w:rPr>
        <w:t xml:space="preserve"> that “the earth cursed in Adam’s works is the flesh of Adam”;</w:t>
      </w:r>
      <w:r>
        <w:rPr>
          <w:rStyle w:val="FootnoteReference"/>
          <w:rFonts w:cs="Times New Roman"/>
        </w:rPr>
        <w:footnoteReference w:id="116"/>
      </w:r>
      <w:r>
        <w:rPr>
          <w:rFonts w:cs="Times New Roman"/>
        </w:rPr>
        <w:t xml:space="preserve"> and again that “there is no human being who is sinless, since everyone is naturally subject to the law of sexual procreation that was introduced […] in consequence of his sin.”</w:t>
      </w:r>
      <w:r>
        <w:rPr>
          <w:rStyle w:val="FootnoteReference"/>
          <w:rFonts w:cs="Times New Roman"/>
        </w:rPr>
        <w:footnoteReference w:id="117"/>
      </w:r>
      <w:r>
        <w:rPr>
          <w:rFonts w:cs="Times New Roman"/>
        </w:rPr>
        <w:t xml:space="preserve"> In a lengthier passage commenting on Ezekiel, Maximus writes:</w:t>
      </w:r>
    </w:p>
    <w:p w14:paraId="3930FB1D" w14:textId="2D80CE25" w:rsidR="00672AB0" w:rsidRPr="006A38A8" w:rsidRDefault="00672AB0" w:rsidP="00646857">
      <w:pPr>
        <w:pStyle w:val="Standard"/>
        <w:spacing w:line="480" w:lineRule="auto"/>
        <w:ind w:left="907"/>
        <w:jc w:val="both"/>
      </w:pPr>
      <w:r>
        <w:rPr>
          <w:rFonts w:cs="Times New Roman"/>
        </w:rPr>
        <w:t>[Christ] came to trample the wickedness into which, through deceit, our nature unnaturally fell at the instant it was created, thus depleting its whole potential. He came to bind to himself the faculty of desire […], that it might take on a procreative disposition fixed and unalterable in the good; he came […] to cleanse it of the taints of ignorance by washing it in the ocean of knowledge bestowed by grace; he came […] to render its natural operation steadfast by the Spirit in the good for which it was created, and thereby to cleanse it of the decay of the passions […] and to bring it fully to completion by securing it in […] the principles of created beings.</w:t>
      </w:r>
      <w:r>
        <w:rPr>
          <w:rStyle w:val="FootnoteReference"/>
          <w:rFonts w:cs="Times New Roman"/>
        </w:rPr>
        <w:footnoteReference w:id="118"/>
      </w:r>
    </w:p>
    <w:p w14:paraId="24A917EE" w14:textId="35EA8439" w:rsidR="00672AB0" w:rsidRDefault="00672AB0" w:rsidP="00646857">
      <w:pPr>
        <w:pStyle w:val="Standard"/>
        <w:spacing w:line="480" w:lineRule="auto"/>
        <w:jc w:val="both"/>
        <w:rPr>
          <w:rFonts w:cs="Times New Roman"/>
        </w:rPr>
      </w:pPr>
      <w:r>
        <w:rPr>
          <w:rFonts w:cs="Times New Roman"/>
        </w:rPr>
        <w:t xml:space="preserve">From the above passages, we can discern several points of contact between Augustine and Maximus on Original Sin. First, Maximus affirms Adam’s sin did not merely bring death into the world, but had a deleterious effect on natural human capacities as well. Second, he affirms with </w:t>
      </w:r>
      <w:r>
        <w:rPr>
          <w:rFonts w:cs="Times New Roman"/>
        </w:rPr>
        <w:lastRenderedPageBreak/>
        <w:t>Augustine that the transmission of Original Sin is biological, and not merely social or environmental.</w:t>
      </w:r>
      <w:r>
        <w:rPr>
          <w:rStyle w:val="FootnoteReference"/>
        </w:rPr>
        <w:footnoteReference w:id="119"/>
      </w:r>
      <w:r>
        <w:rPr>
          <w:rFonts w:cs="Times New Roman"/>
        </w:rPr>
        <w:t xml:space="preserve"> Third, the effects of Original Sin are the “taints of ignorance” and the “decay of the passions”, which seem to closely track the Augustinian categories of ignorance and difficulty. Fourth, everybody is a sinner by virtue of the passions incumbent upon their subjection “to the law of sexual procreation.” </w:t>
      </w:r>
    </w:p>
    <w:p w14:paraId="271E5144" w14:textId="501B1FED" w:rsidR="00672AB0" w:rsidRDefault="00672AB0" w:rsidP="00646857">
      <w:pPr>
        <w:pStyle w:val="Standard"/>
        <w:spacing w:line="480" w:lineRule="auto"/>
        <w:jc w:val="both"/>
        <w:rPr>
          <w:rFonts w:cs="Times New Roman"/>
        </w:rPr>
      </w:pPr>
      <w:r>
        <w:rPr>
          <w:rFonts w:cs="Times New Roman"/>
        </w:rPr>
        <w:tab/>
        <w:t>Unlike Augustine, however, Maximus regards mutability as such,</w:t>
      </w:r>
      <w:r w:rsidRPr="00C8590B">
        <w:rPr>
          <w:rFonts w:cs="Times New Roman"/>
        </w:rPr>
        <w:t xml:space="preserve"> </w:t>
      </w:r>
      <w:r>
        <w:rPr>
          <w:rFonts w:cs="Times New Roman"/>
        </w:rPr>
        <w:t>having its source in sexual generation, as the proximate source of the difficulties of postlapsarian man. It is not merely, as for Augustine, that sin has worked its way into an otherwise innocent faculty for sexual generation: it is rather that sin is inextricably bound up with the entire cosmic order of pain and pleasure, generation and corruption. It is this order itself, identified by Maximus as “the law of sin, not created by God in paradise,”</w:t>
      </w:r>
      <w:r>
        <w:rPr>
          <w:rStyle w:val="FootnoteReference"/>
          <w:rFonts w:cs="Times New Roman"/>
        </w:rPr>
        <w:footnoteReference w:id="120"/>
      </w:r>
      <w:r>
        <w:rPr>
          <w:rFonts w:cs="Times New Roman"/>
        </w:rPr>
        <w:t xml:space="preserve"> that is to be condemned. In his most straightforward exposition of Adam’s fall and its consequences, he writes:</w:t>
      </w:r>
    </w:p>
    <w:p w14:paraId="0D923589" w14:textId="71BC1967" w:rsidR="00672AB0" w:rsidRDefault="00672AB0" w:rsidP="00646857">
      <w:pPr>
        <w:pStyle w:val="Standard"/>
        <w:spacing w:line="480" w:lineRule="auto"/>
        <w:ind w:left="900"/>
        <w:jc w:val="both"/>
        <w:rPr>
          <w:rFonts w:cs="Times New Roman"/>
        </w:rPr>
      </w:pPr>
      <w:r>
        <w:rPr>
          <w:rFonts w:cs="Times New Roman"/>
        </w:rPr>
        <w:t>In the beginning sin seduced Adam and persuaded him to transgress God’s commandment, whereby sin gave rise to pleasure, and, by means of this pleasure, nailed itself in Adam to the very depths (τῷ πυθμένι) of our nature, thus condemning our whole nature to death, and via humanity, pressing the nature of (all) created beings toward mortal extinction (πρὸς ἀπογένεσιν).</w:t>
      </w:r>
      <w:r>
        <w:rPr>
          <w:rStyle w:val="FootnoteReference"/>
          <w:rFonts w:cs="Times New Roman"/>
        </w:rPr>
        <w:footnoteReference w:id="121"/>
      </w:r>
    </w:p>
    <w:p w14:paraId="41CACF27" w14:textId="7B5501B5" w:rsidR="00672AB0" w:rsidRDefault="00672AB0" w:rsidP="00646857">
      <w:pPr>
        <w:pStyle w:val="Standard"/>
        <w:spacing w:line="480" w:lineRule="auto"/>
        <w:jc w:val="both"/>
      </w:pPr>
      <w:r>
        <w:rPr>
          <w:rFonts w:cs="Times New Roman"/>
        </w:rPr>
        <w:t>For Maximus, this cycle of pleasure and pain is this law of sin. It is fixed in the very constitution of fallen man, and it is because this law is so fixed that human beings must return to nothing.</w:t>
      </w:r>
      <w:r>
        <w:rPr>
          <w:rStyle w:val="FootnoteReference"/>
          <w:rFonts w:cs="Times New Roman"/>
        </w:rPr>
        <w:footnoteReference w:id="122"/>
      </w:r>
      <w:r>
        <w:rPr>
          <w:rFonts w:cs="Times New Roman"/>
        </w:rPr>
        <w:t xml:space="preserve"> The resulting picture is clearly more harmonious than the one we find in Augustine. This harmony, however, would seem to come at the expense of its </w:t>
      </w:r>
      <w:r>
        <w:rPr>
          <w:rFonts w:cs="Times New Roman"/>
          <w:i/>
        </w:rPr>
        <w:t xml:space="preserve">prima facie </w:t>
      </w:r>
      <w:r>
        <w:rPr>
          <w:rFonts w:cs="Times New Roman"/>
        </w:rPr>
        <w:t xml:space="preserve">credibility. But given </w:t>
      </w:r>
      <w:r>
        <w:rPr>
          <w:rFonts w:cs="Times New Roman"/>
        </w:rPr>
        <w:lastRenderedPageBreak/>
        <w:t>Maximus’ views about the ignorance present in man’s fallen state, it should not be entirely surprising that his account would be something of a stumbling block.</w:t>
      </w:r>
    </w:p>
    <w:p w14:paraId="4DC33832" w14:textId="144A402A" w:rsidR="00672AB0" w:rsidRDefault="00672AB0" w:rsidP="00646857">
      <w:pPr>
        <w:pStyle w:val="Heading3"/>
        <w:spacing w:before="0" w:line="480" w:lineRule="auto"/>
      </w:pPr>
      <w:r>
        <w:t>4.3.2 The relation between sin and death</w:t>
      </w:r>
    </w:p>
    <w:p w14:paraId="643260EE" w14:textId="29059000" w:rsidR="00672AB0" w:rsidRDefault="00672AB0" w:rsidP="00646857">
      <w:pPr>
        <w:pStyle w:val="Standard"/>
        <w:spacing w:line="480" w:lineRule="auto"/>
        <w:ind w:firstLine="720"/>
        <w:jc w:val="both"/>
        <w:rPr>
          <w:rFonts w:cs="Times New Roman"/>
        </w:rPr>
      </w:pPr>
      <w:r>
        <w:rPr>
          <w:rFonts w:cs="Times New Roman"/>
        </w:rPr>
        <w:t>The idea that death, rather than sin, is the primary consequence of the Fall has been advocated by a number of more recent theologians, and represented as the historical teaching of the Eastern fathers as a corporate body on the subject.</w:t>
      </w:r>
      <w:r>
        <w:rPr>
          <w:rStyle w:val="FootnoteReference"/>
          <w:rFonts w:cs="Times New Roman"/>
        </w:rPr>
        <w:footnoteReference w:id="123"/>
      </w:r>
      <w:r>
        <w:rPr>
          <w:rFonts w:cs="Times New Roman"/>
        </w:rPr>
        <w:t xml:space="preserve"> In this model, sin is represented as an existential condition grounded in external circumstances rather than a biological condition determined by intrinsic constitution. From a strictly theoretical perspective, what is strange about this model is that it seems to presuppose a picture of death disconnected from its biological and material characteristics. For this reason, we don’t find such a picture in either Augustine or Maximus. </w:t>
      </w:r>
      <w:r>
        <w:t>There are, however, real differences in how the relation between sin and death is conceived by these two theologians.</w:t>
      </w:r>
    </w:p>
    <w:p w14:paraId="1C70831D" w14:textId="024B20AB" w:rsidR="00672AB0" w:rsidRDefault="00672AB0" w:rsidP="00646857">
      <w:pPr>
        <w:pStyle w:val="Standard"/>
        <w:spacing w:line="480" w:lineRule="auto"/>
        <w:ind w:firstLine="720"/>
        <w:jc w:val="both"/>
        <w:rPr>
          <w:rFonts w:cs="Times New Roman"/>
        </w:rPr>
      </w:pPr>
      <w:r>
        <w:rPr>
          <w:rFonts w:cs="Times New Roman"/>
        </w:rPr>
        <w:t>Augustine holds the penalty for the first sin was not merely bodily death, but also death of the soul, i.e. eternal damnation.</w:t>
      </w:r>
      <w:r>
        <w:rPr>
          <w:rStyle w:val="FootnoteReference"/>
          <w:rFonts w:cs="Times New Roman"/>
        </w:rPr>
        <w:footnoteReference w:id="124"/>
      </w:r>
      <w:r>
        <w:rPr>
          <w:rFonts w:cs="Times New Roman"/>
        </w:rPr>
        <w:t xml:space="preserve"> Therefore, while Augustine believes unbaptized infants are condemned “by a most mild condemnation,”</w:t>
      </w:r>
      <w:r>
        <w:rPr>
          <w:rStyle w:val="FootnoteReference"/>
          <w:rFonts w:cs="Times New Roman"/>
        </w:rPr>
        <w:footnoteReference w:id="125"/>
      </w:r>
      <w:r>
        <w:rPr>
          <w:rFonts w:cs="Times New Roman"/>
        </w:rPr>
        <w:t xml:space="preserve"> this is not so much because infants are personally guilty of Adam’s sin as because they are under the dominion of death</w:t>
      </w:r>
      <w:r>
        <w:rPr>
          <w:rStyle w:val="FootnoteReference"/>
          <w:rFonts w:cs="Times New Roman"/>
        </w:rPr>
        <w:footnoteReference w:id="126"/>
      </w:r>
      <w:r>
        <w:rPr>
          <w:rFonts w:cs="Times New Roman"/>
        </w:rPr>
        <w:t xml:space="preserve"> – which, for Augustine, refers to eternal death just as much as the death of the body.</w:t>
      </w:r>
      <w:r>
        <w:rPr>
          <w:rStyle w:val="FootnoteReference"/>
          <w:rFonts w:cs="Times New Roman"/>
        </w:rPr>
        <w:footnoteReference w:id="127"/>
      </w:r>
      <w:r>
        <w:rPr>
          <w:rFonts w:cs="Times New Roman"/>
        </w:rPr>
        <w:t xml:space="preserve"> The above point may seem minor </w:t>
      </w:r>
      <w:r>
        <w:rPr>
          <w:rFonts w:cs="Times New Roman"/>
        </w:rPr>
        <w:lastRenderedPageBreak/>
        <w:t xml:space="preserve">(the end result, for Augustine, is much the same); but it shows that far from being opposed to the idea that </w:t>
      </w:r>
      <w:r>
        <w:rPr>
          <w:rFonts w:cs="Times New Roman"/>
          <w:i/>
        </w:rPr>
        <w:t>death</w:t>
      </w:r>
      <w:r>
        <w:rPr>
          <w:rFonts w:cs="Times New Roman"/>
        </w:rPr>
        <w:t>, not guilt,</w:t>
      </w:r>
      <w:r>
        <w:rPr>
          <w:rFonts w:cs="Times New Roman"/>
          <w:i/>
        </w:rPr>
        <w:t xml:space="preserve"> </w:t>
      </w:r>
      <w:r>
        <w:rPr>
          <w:rFonts w:cs="Times New Roman"/>
        </w:rPr>
        <w:t>is the consequence of sin,</w:t>
      </w:r>
      <w:r>
        <w:rPr>
          <w:rStyle w:val="FootnoteReference"/>
          <w:rFonts w:cs="Times New Roman"/>
        </w:rPr>
        <w:footnoteReference w:id="128"/>
      </w:r>
      <w:r>
        <w:rPr>
          <w:rFonts w:cs="Times New Roman"/>
        </w:rPr>
        <w:t xml:space="preserve"> Augustine’s analysis presupposes it.</w:t>
      </w:r>
    </w:p>
    <w:p w14:paraId="0434E3EE" w14:textId="32901D30" w:rsidR="00672AB0" w:rsidRDefault="00672AB0" w:rsidP="00646857">
      <w:pPr>
        <w:pStyle w:val="Standard"/>
        <w:spacing w:line="480" w:lineRule="auto"/>
        <w:ind w:firstLine="720"/>
        <w:jc w:val="both"/>
        <w:rPr>
          <w:rFonts w:cs="Times New Roman"/>
        </w:rPr>
      </w:pPr>
      <w:r w:rsidRPr="00507FDA">
        <w:rPr>
          <w:rFonts w:cs="Times New Roman"/>
        </w:rPr>
        <w:t xml:space="preserve">However, </w:t>
      </w:r>
      <w:r>
        <w:rPr>
          <w:rFonts w:cs="Times New Roman"/>
        </w:rPr>
        <w:t xml:space="preserve">Augustine is equally clear that </w:t>
      </w:r>
      <w:r w:rsidRPr="00507FDA">
        <w:rPr>
          <w:rFonts w:cs="Times New Roman"/>
        </w:rPr>
        <w:t>death</w:t>
      </w:r>
      <w:r>
        <w:rPr>
          <w:rFonts w:cs="Times New Roman"/>
        </w:rPr>
        <w:t xml:space="preserve"> is neither the exclusive nor the primary consequence of Adam’s Fall. He writes:</w:t>
      </w:r>
    </w:p>
    <w:p w14:paraId="4CF84D68" w14:textId="492FE7ED" w:rsidR="00672AB0" w:rsidRDefault="00672AB0" w:rsidP="00646857">
      <w:pPr>
        <w:pStyle w:val="Standard"/>
        <w:spacing w:line="480" w:lineRule="auto"/>
        <w:ind w:left="900"/>
        <w:jc w:val="both"/>
        <w:rPr>
          <w:rFonts w:cs="Times New Roman"/>
        </w:rPr>
      </w:pPr>
      <w:r>
        <w:rPr>
          <w:rFonts w:cs="Times New Roman"/>
        </w:rPr>
        <w:t>But what do the Pelagians mean when they say “only death passed to us through Adam?” For if we die because he died, - he died, though, because he sinned – they say that the penalty was passed on without the fault, and that innocent little ones are punished by an unjust punishment, death being handed down without what merits death. But the catholic faith knows of only one – the mediator of God and man, the man Christ Jesus – who</w:t>
      </w:r>
      <w:r w:rsidRPr="00A86173">
        <w:rPr>
          <w:rFonts w:cs="Times New Roman"/>
        </w:rPr>
        <w:t xml:space="preserve"> </w:t>
      </w:r>
      <w:r>
        <w:rPr>
          <w:rFonts w:cs="Times New Roman"/>
        </w:rPr>
        <w:t>without sin, deigned to undergo the punishment for sin. For just as he alone became the Son of man that we might become sons of God through him, so he alone took on the penalty for us without evils merited that we might achieve favor through him without goods merited. Just as there was not any good owed to us, so neither any evil to him.</w:t>
      </w:r>
      <w:r>
        <w:rPr>
          <w:rStyle w:val="FootnoteReference"/>
          <w:rFonts w:cs="Times New Roman"/>
        </w:rPr>
        <w:footnoteReference w:id="129"/>
      </w:r>
    </w:p>
    <w:p w14:paraId="15C71399" w14:textId="318DDF26" w:rsidR="00672AB0" w:rsidRDefault="00672AB0" w:rsidP="00646857">
      <w:pPr>
        <w:pStyle w:val="Standard"/>
        <w:spacing w:line="480" w:lineRule="auto"/>
        <w:jc w:val="both"/>
        <w:rPr>
          <w:rFonts w:cs="Times New Roman"/>
        </w:rPr>
      </w:pPr>
      <w:r>
        <w:rPr>
          <w:rFonts w:cs="Times New Roman"/>
        </w:rPr>
        <w:t>Here, Augustine argues that if death alone is our Adamic inheritance, then we must deny that Christ alone is sinless among human beings. Further, he argues, this would entail the very kind of situation Augustine himself is frequently charged with postulating in his own thinking about Original Sin: one where the punishment of the guilty one is unjustly meted out to innocent parties.</w:t>
      </w:r>
      <w:r>
        <w:rPr>
          <w:rStyle w:val="FootnoteReference"/>
          <w:rFonts w:cs="Times New Roman"/>
        </w:rPr>
        <w:footnoteReference w:id="130"/>
      </w:r>
    </w:p>
    <w:p w14:paraId="31E65CCA" w14:textId="77777777" w:rsidR="00672AB0" w:rsidRDefault="00672AB0" w:rsidP="00646857">
      <w:pPr>
        <w:pStyle w:val="Standard"/>
        <w:spacing w:line="480" w:lineRule="auto"/>
        <w:jc w:val="both"/>
        <w:rPr>
          <w:rFonts w:cs="Times New Roman"/>
        </w:rPr>
      </w:pPr>
      <w:r>
        <w:rPr>
          <w:rFonts w:cs="Times New Roman"/>
        </w:rPr>
        <w:tab/>
        <w:t xml:space="preserve"> Augustine goes on to argue against death’s priority in the next paragraph:</w:t>
      </w:r>
    </w:p>
    <w:p w14:paraId="6D827471" w14:textId="77777777" w:rsidR="00672AB0" w:rsidRDefault="00672AB0" w:rsidP="00646857">
      <w:pPr>
        <w:pStyle w:val="Standard"/>
        <w:spacing w:line="480" w:lineRule="auto"/>
        <w:ind w:left="900"/>
        <w:jc w:val="both"/>
        <w:rPr>
          <w:rFonts w:cs="Times New Roman"/>
        </w:rPr>
      </w:pPr>
      <w:r>
        <w:rPr>
          <w:rFonts w:cs="Times New Roman"/>
        </w:rPr>
        <w:t>Where the apostle says “</w:t>
      </w:r>
      <w:r w:rsidRPr="00A64AAB">
        <w:rPr>
          <w:rFonts w:cs="Times New Roman"/>
        </w:rPr>
        <w:t>sin entered in</w:t>
      </w:r>
      <w:r>
        <w:rPr>
          <w:rFonts w:cs="Times New Roman"/>
        </w:rPr>
        <w:t>to the world</w:t>
      </w:r>
      <w:r w:rsidRPr="00A64AAB">
        <w:rPr>
          <w:rFonts w:cs="Times New Roman"/>
        </w:rPr>
        <w:t xml:space="preserve"> through one man, and through</w:t>
      </w:r>
      <w:r>
        <w:rPr>
          <w:rFonts w:cs="Times New Roman"/>
        </w:rPr>
        <w:t xml:space="preserve"> sin, death, and so passed over to all men” There [the Pelagians] want it to be understood not that sin passed over, but death. What, then, is what follows: “in which all sinned”? For </w:t>
      </w:r>
      <w:r>
        <w:rPr>
          <w:rFonts w:cs="Times New Roman"/>
        </w:rPr>
        <w:lastRenderedPageBreak/>
        <w:t>either the apostle says all have sinned in that one man [...] or in that sin, or at least in death. [...] But I don’t clearly see how this [i.e. “in death”] can be understood. For “in sin all men die,” not in death all are sinners. Indeed, “the sting of death is sin” – that is, the sting, by whose sting death is brought about, not the sting by which death stings – just as poison, if it is drunk, is called ‘the cup of death’, because by that cup death is brought about, not because the cup is made by death or given by death.</w:t>
      </w:r>
      <w:r>
        <w:rPr>
          <w:rStyle w:val="FootnoteReference"/>
          <w:rFonts w:cs="Times New Roman"/>
        </w:rPr>
        <w:footnoteReference w:id="131"/>
      </w:r>
    </w:p>
    <w:p w14:paraId="40BA02B2" w14:textId="77777777" w:rsidR="00672AB0" w:rsidRPr="00A64AAB" w:rsidRDefault="00672AB0" w:rsidP="00646857">
      <w:pPr>
        <w:pStyle w:val="Standard"/>
        <w:spacing w:line="480" w:lineRule="auto"/>
        <w:jc w:val="both"/>
        <w:rPr>
          <w:rFonts w:cs="Times New Roman"/>
        </w:rPr>
      </w:pPr>
      <w:r>
        <w:rPr>
          <w:rFonts w:cs="Times New Roman"/>
        </w:rPr>
        <w:t>This is one of the few passages where Augustine expresses puzzlement at a scriptural interpretation. Regardless, it is clear that Augustine rejects the notion that death has any sort of causal or explanatory role in accounting for the sins of fallen humanity.</w:t>
      </w:r>
    </w:p>
    <w:p w14:paraId="67628C81" w14:textId="0E497BBB" w:rsidR="00672AB0" w:rsidRPr="00B65BAA" w:rsidRDefault="00672AB0" w:rsidP="00646857">
      <w:pPr>
        <w:pStyle w:val="Standard"/>
        <w:spacing w:line="480" w:lineRule="auto"/>
        <w:ind w:firstLine="720"/>
        <w:jc w:val="both"/>
        <w:rPr>
          <w:rFonts w:cs="Times New Roman"/>
        </w:rPr>
      </w:pPr>
      <w:r>
        <w:rPr>
          <w:rFonts w:cs="Times New Roman"/>
        </w:rPr>
        <w:t>Like Augustine, Maximus holds “The punishment [for Adam’s sin] was death,”</w:t>
      </w:r>
      <w:r>
        <w:rPr>
          <w:rStyle w:val="FootnoteReference"/>
          <w:rFonts w:cs="Times New Roman"/>
        </w:rPr>
        <w:footnoteReference w:id="132"/>
      </w:r>
      <w:r>
        <w:rPr>
          <w:rFonts w:cs="Times New Roman"/>
        </w:rPr>
        <w:t xml:space="preserve"> though without regarding it as what is primary in our Adamic inheritance. This comes out clearly in his discussion of how Christ is said to have become sin, even though he was sinless:</w:t>
      </w:r>
    </w:p>
    <w:p w14:paraId="4AB516B1" w14:textId="77777777" w:rsidR="00672AB0" w:rsidRDefault="00672AB0" w:rsidP="00646857">
      <w:pPr>
        <w:pStyle w:val="Standard"/>
        <w:spacing w:line="480" w:lineRule="auto"/>
        <w:ind w:left="907"/>
        <w:jc w:val="both"/>
        <w:rPr>
          <w:rFonts w:cs="Times New Roman"/>
        </w:rPr>
      </w:pPr>
      <w:r>
        <w:rPr>
          <w:rFonts w:cs="Times New Roman"/>
        </w:rPr>
        <w:t xml:space="preserve">Therefore the Lord did not </w:t>
      </w:r>
      <w:r>
        <w:rPr>
          <w:rFonts w:cs="Times New Roman"/>
          <w:i/>
        </w:rPr>
        <w:t>know</w:t>
      </w:r>
      <w:r>
        <w:rPr>
          <w:rFonts w:cs="Times New Roman"/>
        </w:rPr>
        <w:t xml:space="preserve"> ‘my sin’ (αμαρτια), that is, the mutability of my free choice. […] Rather, he </w:t>
      </w:r>
      <w:r>
        <w:rPr>
          <w:rFonts w:cs="Times New Roman"/>
          <w:i/>
        </w:rPr>
        <w:t>became</w:t>
      </w:r>
      <w:r>
        <w:rPr>
          <w:rFonts w:cs="Times New Roman"/>
        </w:rPr>
        <w:t xml:space="preserve"> the ‘sin that I caused’; in other words, he assumed the corruption of human nature that was a consequence of the mutability of my free choice.</w:t>
      </w:r>
      <w:r>
        <w:rPr>
          <w:rStyle w:val="FootnoteReference"/>
          <w:rFonts w:cs="Times New Roman"/>
        </w:rPr>
        <w:footnoteReference w:id="133"/>
      </w:r>
    </w:p>
    <w:p w14:paraId="2034585F" w14:textId="60FEF293" w:rsidR="00672AB0" w:rsidRDefault="00672AB0" w:rsidP="00646857">
      <w:pPr>
        <w:pStyle w:val="Standard"/>
        <w:spacing w:line="480" w:lineRule="auto"/>
        <w:jc w:val="both"/>
        <w:rPr>
          <w:rFonts w:cs="Times New Roman"/>
        </w:rPr>
      </w:pPr>
      <w:r>
        <w:rPr>
          <w:rFonts w:cs="Times New Roman"/>
        </w:rPr>
        <w:t>Here, ‘the sin I caused’ is human mortality, which exists because of the mutability of human freedom towards sin.</w:t>
      </w:r>
      <w:r>
        <w:rPr>
          <w:rStyle w:val="FootnoteReference"/>
          <w:rFonts w:cs="Times New Roman"/>
        </w:rPr>
        <w:footnoteReference w:id="134"/>
      </w:r>
      <w:r>
        <w:rPr>
          <w:rFonts w:cs="Times New Roman"/>
        </w:rPr>
        <w:t xml:space="preserve"> Maximus insists, like Augustine, on the reality of the death of Christ, but denies that Christ’s choice was ‘mutable’ i.e. that Christ was subject to what Augustine refers to as ‘concupiscence’; though he is subject to the “liability to the passions”, since he took on “the original condition of Adam as he was in the very beginning.”</w:t>
      </w:r>
      <w:r>
        <w:rPr>
          <w:rStyle w:val="FootnoteReference"/>
          <w:rFonts w:cs="Times New Roman"/>
        </w:rPr>
        <w:footnoteReference w:id="135"/>
      </w:r>
      <w:r>
        <w:rPr>
          <w:rFonts w:cs="Times New Roman"/>
        </w:rPr>
        <w:t xml:space="preserve"> For Maximus, Christ was subject </w:t>
      </w:r>
      <w:r>
        <w:rPr>
          <w:rFonts w:cs="Times New Roman"/>
        </w:rPr>
        <w:lastRenderedPageBreak/>
        <w:t>to desires such as hunger and thirst;</w:t>
      </w:r>
      <w:r>
        <w:rPr>
          <w:rStyle w:val="FootnoteReference"/>
          <w:rFonts w:cs="Times New Roman"/>
        </w:rPr>
        <w:footnoteReference w:id="136"/>
      </w:r>
      <w:r>
        <w:rPr>
          <w:rFonts w:cs="Times New Roman"/>
        </w:rPr>
        <w:t xml:space="preserve"> but he was not subject to the disordered passions associated with the fallen state of post-Adamic humanity.</w:t>
      </w:r>
      <w:r>
        <w:rPr>
          <w:rStyle w:val="FootnoteReference"/>
        </w:rPr>
        <w:footnoteReference w:id="137"/>
      </w:r>
    </w:p>
    <w:p w14:paraId="4D0916E9" w14:textId="38FE682B" w:rsidR="00672AB0" w:rsidRDefault="00672AB0" w:rsidP="00646857">
      <w:pPr>
        <w:pStyle w:val="Standard"/>
        <w:spacing w:line="480" w:lineRule="auto"/>
        <w:jc w:val="both"/>
        <w:rPr>
          <w:rFonts w:cs="Times New Roman"/>
        </w:rPr>
      </w:pPr>
      <w:r>
        <w:rPr>
          <w:rFonts w:cs="Times New Roman"/>
        </w:rPr>
        <w:tab/>
        <w:t>Maximus’ position on the relative priority of death or sin is best discerned by comparing his use of Romans 5 with that of Augustine above. Where for Augustine, Adam’s sin causes death, on the one hand, and a fallen inclination toward sin, on the other, Maximus sees these conditions as essentially two sides of the same coin that is corruptibility. “Just as through one man, who turned voluntarily from the good, human nature was changed from incorruption to corruption to the detriment of all humanity [...], just as in Adam, with his own act of freely choosing evil, the common glory of human nature, incorruption, was expelled [...],”</w:t>
      </w:r>
      <w:r>
        <w:rPr>
          <w:rStyle w:val="FootnoteReference"/>
          <w:rFonts w:cs="Times New Roman"/>
        </w:rPr>
        <w:footnoteReference w:id="138"/>
      </w:r>
      <w:r>
        <w:rPr>
          <w:rFonts w:cs="Times New Roman"/>
        </w:rPr>
        <w:t xml:space="preserve"> so through Christ’s willful obedience was immortality restored. </w:t>
      </w:r>
    </w:p>
    <w:p w14:paraId="6F9EEB1B" w14:textId="28F9C4A4" w:rsidR="00672AB0" w:rsidRDefault="00672AB0" w:rsidP="00646857">
      <w:pPr>
        <w:pStyle w:val="Standard"/>
        <w:spacing w:line="480" w:lineRule="auto"/>
        <w:ind w:left="900"/>
        <w:jc w:val="both"/>
        <w:rPr>
          <w:rFonts w:cs="Times New Roman"/>
        </w:rPr>
      </w:pPr>
      <w:r>
        <w:rPr>
          <w:rFonts w:cs="Times New Roman"/>
        </w:rPr>
        <w:t>Through Adam, who by his disobedience gave rise to both the law of birth through pleasure and the death of our nature which was its condemnation, all of his posterity who come into existence according to this law of birth through pleasure are necessarily subject – even if unwilling – to the death that is functionally linked with this birth and serves to condemn our nature.</w:t>
      </w:r>
      <w:r>
        <w:rPr>
          <w:rStyle w:val="FootnoteReference"/>
          <w:rFonts w:cs="Times New Roman"/>
        </w:rPr>
        <w:footnoteReference w:id="139"/>
      </w:r>
    </w:p>
    <w:p w14:paraId="414FA8BC" w14:textId="1018469C" w:rsidR="00EF5B1D" w:rsidRPr="00EF5B1D" w:rsidRDefault="00EF5B1D" w:rsidP="00646857">
      <w:pPr>
        <w:pStyle w:val="Standard"/>
        <w:spacing w:line="480" w:lineRule="auto"/>
        <w:jc w:val="both"/>
      </w:pPr>
      <w:r>
        <w:rPr>
          <w:rFonts w:cs="Times New Roman"/>
        </w:rPr>
        <w:t xml:space="preserve">In short, the mortality imposed on Adam and Eve for their transgression was not one instituted by God at will, but rather was a necessary consequence of the </w:t>
      </w:r>
      <w:r>
        <w:rPr>
          <w:rFonts w:cs="Times New Roman"/>
          <w:i/>
        </w:rPr>
        <w:t xml:space="preserve">nature </w:t>
      </w:r>
      <w:r>
        <w:rPr>
          <w:rFonts w:cs="Times New Roman"/>
        </w:rPr>
        <w:t xml:space="preserve">of that transgression: since the transgression introduced pleasure and generation into the cosmic order, it thereby introduced their opposites, pain and death, as well. </w:t>
      </w:r>
      <w:r w:rsidR="00E8630A">
        <w:rPr>
          <w:rFonts w:cs="Times New Roman"/>
        </w:rPr>
        <w:t xml:space="preserve">It is human subjection to passibility, the source of </w:t>
      </w:r>
      <w:r w:rsidR="00735649">
        <w:rPr>
          <w:rFonts w:cs="Times New Roman"/>
        </w:rPr>
        <w:t xml:space="preserve">sensual </w:t>
      </w:r>
      <w:r w:rsidR="00E8630A">
        <w:rPr>
          <w:rFonts w:cs="Times New Roman"/>
        </w:rPr>
        <w:t xml:space="preserve">pleasure and pain, and hence of </w:t>
      </w:r>
      <w:r w:rsidR="00735649">
        <w:rPr>
          <w:rFonts w:cs="Times New Roman"/>
        </w:rPr>
        <w:t>attachment to them, that is the tree from which the fruit of death is reaped.</w:t>
      </w:r>
    </w:p>
    <w:p w14:paraId="065A2C29" w14:textId="5502F060" w:rsidR="00C92343" w:rsidRDefault="00C92343" w:rsidP="00646857">
      <w:pPr>
        <w:pStyle w:val="Heading1"/>
        <w:spacing w:before="0" w:line="480" w:lineRule="auto"/>
        <w:jc w:val="both"/>
      </w:pPr>
      <w:r>
        <w:lastRenderedPageBreak/>
        <w:t>5 Conclusion</w:t>
      </w:r>
    </w:p>
    <w:p w14:paraId="7DCBC79E" w14:textId="03536782" w:rsidR="004B6F1D" w:rsidRDefault="004B6F1D" w:rsidP="00646857">
      <w:pPr>
        <w:pStyle w:val="Standard"/>
        <w:spacing w:line="480" w:lineRule="auto"/>
        <w:ind w:firstLine="720"/>
        <w:jc w:val="both"/>
      </w:pPr>
      <w:r>
        <w:rPr>
          <w:rFonts w:cs="Times New Roman"/>
        </w:rPr>
        <w:t>By comparing what are arguably two of the most signific</w:t>
      </w:r>
      <w:r w:rsidR="00822449">
        <w:rPr>
          <w:rFonts w:cs="Times New Roman"/>
        </w:rPr>
        <w:t>ant figures of the Eastern and W</w:t>
      </w:r>
      <w:r>
        <w:rPr>
          <w:rFonts w:cs="Times New Roman"/>
        </w:rPr>
        <w:t xml:space="preserve">estern Patristic traditions, </w:t>
      </w:r>
      <w:r w:rsidR="00F00219">
        <w:rPr>
          <w:rFonts w:cs="Times New Roman"/>
        </w:rPr>
        <w:t xml:space="preserve">this study aimed to </w:t>
      </w:r>
      <w:r w:rsidR="00881DE2">
        <w:rPr>
          <w:rFonts w:cs="Times New Roman"/>
        </w:rPr>
        <w:t>displace</w:t>
      </w:r>
      <w:r>
        <w:rPr>
          <w:rFonts w:cs="Times New Roman"/>
        </w:rPr>
        <w:t xml:space="preserve"> </w:t>
      </w:r>
      <w:r w:rsidR="00881DE2">
        <w:rPr>
          <w:rFonts w:cs="Times New Roman"/>
        </w:rPr>
        <w:t xml:space="preserve">common </w:t>
      </w:r>
      <w:r w:rsidR="00921109">
        <w:rPr>
          <w:rFonts w:cs="Times New Roman"/>
        </w:rPr>
        <w:t xml:space="preserve">dichotomies </w:t>
      </w:r>
      <w:r>
        <w:rPr>
          <w:rFonts w:cs="Times New Roman"/>
        </w:rPr>
        <w:t xml:space="preserve">about the relationship between East and West in favor of a more nuanced appreciation of the unity and diversity present within the Christianity of the first millennium. I hope to have shown through this study of Maximus and Augustine that such dichotomies stem not from the thinkers themselves so much as from oversimplified readings of their insights that, in this case, replace Maximus and Augustine with semi-Pelagian and semi-Calvinist caricatures of </w:t>
      </w:r>
      <w:r w:rsidR="007C3EA7">
        <w:rPr>
          <w:rFonts w:cs="Times New Roman"/>
        </w:rPr>
        <w:t>them</w:t>
      </w:r>
      <w:r w:rsidR="008C253C">
        <w:rPr>
          <w:rFonts w:cs="Times New Roman"/>
        </w:rPr>
        <w:t>selves</w:t>
      </w:r>
      <w:r>
        <w:rPr>
          <w:rFonts w:cs="Times New Roman"/>
        </w:rPr>
        <w:t>.</w:t>
      </w:r>
    </w:p>
    <w:p w14:paraId="298962B5" w14:textId="464881C1" w:rsidR="00D52762" w:rsidRDefault="0018256F" w:rsidP="00646857">
      <w:pPr>
        <w:pStyle w:val="Standard"/>
        <w:spacing w:line="480" w:lineRule="auto"/>
        <w:ind w:firstLine="720"/>
        <w:jc w:val="both"/>
        <w:rPr>
          <w:rFonts w:cs="Times New Roman"/>
        </w:rPr>
      </w:pPr>
      <w:r>
        <w:rPr>
          <w:rFonts w:cs="Times New Roman"/>
        </w:rPr>
        <w:t>While there are differences between Maximus and Augustin</w:t>
      </w:r>
      <w:r w:rsidR="00F81749">
        <w:rPr>
          <w:rFonts w:cs="Times New Roman"/>
        </w:rPr>
        <w:t>e’s respective accounts of the F</w:t>
      </w:r>
      <w:r>
        <w:rPr>
          <w:rFonts w:cs="Times New Roman"/>
        </w:rPr>
        <w:t xml:space="preserve">all and Original Sin, the two accounts are closer to each other than usually suggested, and the differences between them are not where they are usually supposed to be. Both thinkers use their respective terms for nature and sin freely; both advance a </w:t>
      </w:r>
      <w:r w:rsidR="008C253C">
        <w:rPr>
          <w:rFonts w:cs="Times New Roman"/>
        </w:rPr>
        <w:t xml:space="preserve">broadly </w:t>
      </w:r>
      <w:r>
        <w:rPr>
          <w:rFonts w:cs="Times New Roman"/>
        </w:rPr>
        <w:t>compatibi</w:t>
      </w:r>
      <w:r w:rsidR="00FD5E63">
        <w:rPr>
          <w:rFonts w:cs="Times New Roman"/>
        </w:rPr>
        <w:t>list account of human willing</w:t>
      </w:r>
      <w:r>
        <w:rPr>
          <w:rFonts w:cs="Times New Roman"/>
        </w:rPr>
        <w:t xml:space="preserve">; both give credence to an understanding of the human condition that </w:t>
      </w:r>
      <w:r w:rsidR="00162930">
        <w:rPr>
          <w:rFonts w:cs="Times New Roman"/>
        </w:rPr>
        <w:t xml:space="preserve">appears </w:t>
      </w:r>
      <w:r>
        <w:rPr>
          <w:rFonts w:cs="Times New Roman"/>
        </w:rPr>
        <w:t>pessimistic</w:t>
      </w:r>
      <w:r w:rsidR="00162930" w:rsidRPr="00162930">
        <w:rPr>
          <w:rFonts w:cs="Times New Roman"/>
        </w:rPr>
        <w:t xml:space="preserve"> </w:t>
      </w:r>
      <w:r w:rsidR="00162930">
        <w:rPr>
          <w:rFonts w:cs="Times New Roman"/>
        </w:rPr>
        <w:t>at first</w:t>
      </w:r>
      <w:r>
        <w:rPr>
          <w:rFonts w:cs="Times New Roman"/>
        </w:rPr>
        <w:t xml:space="preserve">, but </w:t>
      </w:r>
      <w:r w:rsidR="00FD5E63">
        <w:rPr>
          <w:rFonts w:cs="Times New Roman"/>
        </w:rPr>
        <w:t>undergird</w:t>
      </w:r>
      <w:r w:rsidR="00162930">
        <w:rPr>
          <w:rFonts w:cs="Times New Roman"/>
        </w:rPr>
        <w:t>s</w:t>
      </w:r>
      <w:r>
        <w:rPr>
          <w:rFonts w:cs="Times New Roman"/>
        </w:rPr>
        <w:t xml:space="preserve"> an account of human freedom able to recognize that the conditions for </w:t>
      </w:r>
      <w:r w:rsidR="000A0C65">
        <w:rPr>
          <w:rFonts w:cs="Times New Roman"/>
        </w:rPr>
        <w:t xml:space="preserve">exercising it </w:t>
      </w:r>
      <w:r w:rsidR="0025337F">
        <w:rPr>
          <w:rFonts w:cs="Times New Roman"/>
        </w:rPr>
        <w:t xml:space="preserve">depend </w:t>
      </w:r>
      <w:r>
        <w:rPr>
          <w:rFonts w:cs="Times New Roman"/>
        </w:rPr>
        <w:t>on both intrinsic and extr</w:t>
      </w:r>
      <w:r w:rsidR="00C459B7">
        <w:rPr>
          <w:rFonts w:cs="Times New Roman"/>
        </w:rPr>
        <w:t>insic</w:t>
      </w:r>
      <w:r w:rsidR="0025337F">
        <w:rPr>
          <w:rFonts w:cs="Times New Roman"/>
        </w:rPr>
        <w:t xml:space="preserve"> factors</w:t>
      </w:r>
      <w:r w:rsidR="00C459B7">
        <w:rPr>
          <w:rFonts w:cs="Times New Roman"/>
        </w:rPr>
        <w:t>;</w:t>
      </w:r>
      <w:r>
        <w:rPr>
          <w:rFonts w:cs="Times New Roman"/>
        </w:rPr>
        <w:t xml:space="preserve"> both locate the immediate cause of th</w:t>
      </w:r>
      <w:r w:rsidR="007D64C4">
        <w:rPr>
          <w:rFonts w:cs="Times New Roman"/>
        </w:rPr>
        <w:t>e F</w:t>
      </w:r>
      <w:r>
        <w:rPr>
          <w:rFonts w:cs="Times New Roman"/>
        </w:rPr>
        <w:t xml:space="preserve">all in </w:t>
      </w:r>
      <w:r w:rsidR="00BE531A">
        <w:rPr>
          <w:rFonts w:cs="Times New Roman"/>
        </w:rPr>
        <w:t>Adam’s will and</w:t>
      </w:r>
      <w:r w:rsidR="001924FB">
        <w:rPr>
          <w:rFonts w:cs="Times New Roman"/>
        </w:rPr>
        <w:t xml:space="preserve"> the nature of the F</w:t>
      </w:r>
      <w:r>
        <w:rPr>
          <w:rFonts w:cs="Times New Roman"/>
        </w:rPr>
        <w:t>all in a disruption of divinely-ordered hierarchy, while refusing to provide an ultimate explanation for its</w:t>
      </w:r>
      <w:r w:rsidR="00D52762">
        <w:rPr>
          <w:rFonts w:cs="Times New Roman"/>
        </w:rPr>
        <w:t xml:space="preserve"> actual occurrence</w:t>
      </w:r>
      <w:r>
        <w:rPr>
          <w:rFonts w:cs="Times New Roman"/>
        </w:rPr>
        <w:t xml:space="preserve">; </w:t>
      </w:r>
      <w:r w:rsidR="00431DA4">
        <w:rPr>
          <w:rFonts w:cs="Times New Roman"/>
        </w:rPr>
        <w:t>both use privation</w:t>
      </w:r>
      <w:r w:rsidR="001924FB">
        <w:rPr>
          <w:rFonts w:cs="Times New Roman"/>
        </w:rPr>
        <w:t xml:space="preserve"> and free-will accounts of the F</w:t>
      </w:r>
      <w:r w:rsidR="00431DA4">
        <w:rPr>
          <w:rFonts w:cs="Times New Roman"/>
        </w:rPr>
        <w:t xml:space="preserve">all not as competitors, but as complements to each other; </w:t>
      </w:r>
      <w:r>
        <w:rPr>
          <w:rFonts w:cs="Times New Roman"/>
        </w:rPr>
        <w:t>both think Adam’s sin brought about a weakening of</w:t>
      </w:r>
      <w:r w:rsidR="007208E3">
        <w:rPr>
          <w:rFonts w:cs="Times New Roman"/>
        </w:rPr>
        <w:t xml:space="preserve"> the natural capacities of post</w:t>
      </w:r>
      <w:r>
        <w:rPr>
          <w:rFonts w:cs="Times New Roman"/>
        </w:rPr>
        <w:t>lapsarian man; bo</w:t>
      </w:r>
      <w:r w:rsidR="00D52762">
        <w:rPr>
          <w:rFonts w:cs="Times New Roman"/>
        </w:rPr>
        <w:t>th identify the effects of the F</w:t>
      </w:r>
      <w:r>
        <w:rPr>
          <w:rFonts w:cs="Times New Roman"/>
        </w:rPr>
        <w:t xml:space="preserve">all with death, on the one hand, and ignorance and weakness, on the other; both think Original Sin is transmitted via sexual procreation; neither holds that guilt is inherited in Original Sin. </w:t>
      </w:r>
    </w:p>
    <w:p w14:paraId="0B860881" w14:textId="1AC08D86" w:rsidR="0018256F" w:rsidRDefault="0018256F" w:rsidP="00646857">
      <w:pPr>
        <w:pStyle w:val="Standard"/>
        <w:spacing w:line="480" w:lineRule="auto"/>
        <w:ind w:firstLine="720"/>
        <w:jc w:val="both"/>
        <w:rPr>
          <w:rFonts w:cs="Times New Roman"/>
        </w:rPr>
      </w:pPr>
      <w:r>
        <w:rPr>
          <w:rFonts w:cs="Times New Roman"/>
        </w:rPr>
        <w:t xml:space="preserve">However, </w:t>
      </w:r>
      <w:r w:rsidR="007D64C4">
        <w:rPr>
          <w:rFonts w:cs="Times New Roman"/>
        </w:rPr>
        <w:t xml:space="preserve">where </w:t>
      </w:r>
      <w:r w:rsidR="00431DA4">
        <w:rPr>
          <w:rFonts w:cs="Times New Roman"/>
        </w:rPr>
        <w:t xml:space="preserve">Augustine’s account of the Fall aims to expose the conditions that led to it, Maximus’ does not; where Augustine takes creation </w:t>
      </w:r>
      <w:r w:rsidR="00431DA4">
        <w:rPr>
          <w:rFonts w:cs="Times New Roman"/>
          <w:i/>
        </w:rPr>
        <w:t xml:space="preserve">ex nihilo </w:t>
      </w:r>
      <w:r w:rsidR="00431DA4">
        <w:rPr>
          <w:rFonts w:cs="Times New Roman"/>
        </w:rPr>
        <w:t xml:space="preserve">to suffice for the possibility of </w:t>
      </w:r>
      <w:r w:rsidR="00431DA4">
        <w:rPr>
          <w:rFonts w:cs="Times New Roman"/>
        </w:rPr>
        <w:lastRenderedPageBreak/>
        <w:t>sin, Maximus regard</w:t>
      </w:r>
      <w:r w:rsidR="00CB48C7">
        <w:rPr>
          <w:rFonts w:cs="Times New Roman"/>
        </w:rPr>
        <w:t>s</w:t>
      </w:r>
      <w:r w:rsidR="00431DA4">
        <w:rPr>
          <w:rFonts w:cs="Times New Roman"/>
        </w:rPr>
        <w:t xml:space="preserve"> only generation as such; </w:t>
      </w:r>
      <w:r>
        <w:rPr>
          <w:rFonts w:cs="Times New Roman"/>
        </w:rPr>
        <w:t xml:space="preserve">where Augustine thinks only the character of sexual procreation is a consequence of the Fall, Maximus holds its very </w:t>
      </w:r>
      <w:r w:rsidR="007D64C4">
        <w:rPr>
          <w:rFonts w:cs="Times New Roman"/>
        </w:rPr>
        <w:t xml:space="preserve">presence </w:t>
      </w:r>
      <w:r>
        <w:rPr>
          <w:rFonts w:cs="Times New Roman"/>
        </w:rPr>
        <w:t xml:space="preserve">to be </w:t>
      </w:r>
      <w:r w:rsidR="00230C8D">
        <w:rPr>
          <w:rFonts w:cs="Times New Roman"/>
        </w:rPr>
        <w:t>so</w:t>
      </w:r>
      <w:r>
        <w:rPr>
          <w:rFonts w:cs="Times New Roman"/>
        </w:rPr>
        <w:t>; where Augustine sees death as a punitive measure instituted by God for Adam and Eve eating a particular fruit</w:t>
      </w:r>
      <w:r w:rsidR="00D423FD">
        <w:rPr>
          <w:rFonts w:cs="Times New Roman"/>
        </w:rPr>
        <w:t xml:space="preserve"> and thereby transgressing a command</w:t>
      </w:r>
      <w:r>
        <w:rPr>
          <w:rFonts w:cs="Times New Roman"/>
        </w:rPr>
        <w:t xml:space="preserve">, Maximus sees death as a constitutive consequence of the kind of pleasure associated with eating as an activity that contributes to bodily augmentation, and hence </w:t>
      </w:r>
      <w:r w:rsidR="007D64C4">
        <w:rPr>
          <w:rFonts w:cs="Times New Roman"/>
        </w:rPr>
        <w:t xml:space="preserve">to </w:t>
      </w:r>
      <w:r>
        <w:rPr>
          <w:rFonts w:cs="Times New Roman"/>
        </w:rPr>
        <w:t>generation.</w:t>
      </w:r>
    </w:p>
    <w:p w14:paraId="6A06A613" w14:textId="553E5420" w:rsidR="004B6F1D" w:rsidRDefault="004B6F1D" w:rsidP="00646857">
      <w:pPr>
        <w:pStyle w:val="Standard"/>
        <w:spacing w:line="480" w:lineRule="auto"/>
        <w:ind w:firstLine="720"/>
        <w:jc w:val="both"/>
        <w:rPr>
          <w:rFonts w:cs="Times New Roman"/>
        </w:rPr>
      </w:pPr>
      <w:r>
        <w:rPr>
          <w:rFonts w:cs="Times New Roman"/>
        </w:rPr>
        <w:t xml:space="preserve">In short, </w:t>
      </w:r>
      <w:r w:rsidR="006C10A3">
        <w:rPr>
          <w:rFonts w:cs="Times New Roman"/>
        </w:rPr>
        <w:t xml:space="preserve">rather than disagreeing along linguistic </w:t>
      </w:r>
      <w:r w:rsidR="00BA5CB8">
        <w:rPr>
          <w:rFonts w:cs="Times New Roman"/>
        </w:rPr>
        <w:t xml:space="preserve">or cultural </w:t>
      </w:r>
      <w:r w:rsidR="006C10A3">
        <w:rPr>
          <w:rFonts w:cs="Times New Roman"/>
        </w:rPr>
        <w:t xml:space="preserve">lines, </w:t>
      </w:r>
      <w:r>
        <w:rPr>
          <w:rFonts w:cs="Times New Roman"/>
        </w:rPr>
        <w:t xml:space="preserve">Maximus the Confessor and Augustine substantially </w:t>
      </w:r>
      <w:r w:rsidR="006C10A3">
        <w:rPr>
          <w:rFonts w:cs="Times New Roman"/>
        </w:rPr>
        <w:t xml:space="preserve">agree on their </w:t>
      </w:r>
      <w:r>
        <w:rPr>
          <w:rFonts w:cs="Times New Roman"/>
        </w:rPr>
        <w:t>unde</w:t>
      </w:r>
      <w:r w:rsidR="006C10A3">
        <w:rPr>
          <w:rFonts w:cs="Times New Roman"/>
        </w:rPr>
        <w:t>rstanding of Original Sin, the Fall, and Human N</w:t>
      </w:r>
      <w:r>
        <w:rPr>
          <w:rFonts w:cs="Times New Roman"/>
        </w:rPr>
        <w:t>ature</w:t>
      </w:r>
      <w:r w:rsidR="006C10A3">
        <w:rPr>
          <w:rFonts w:cs="Times New Roman"/>
        </w:rPr>
        <w:t xml:space="preserve">, and </w:t>
      </w:r>
      <w:r w:rsidR="00AA019B">
        <w:rPr>
          <w:rFonts w:cs="Times New Roman"/>
        </w:rPr>
        <w:t xml:space="preserve">do so in a way </w:t>
      </w:r>
      <w:r w:rsidR="006C10A3">
        <w:rPr>
          <w:rFonts w:cs="Times New Roman"/>
        </w:rPr>
        <w:t xml:space="preserve">that challenges both the content </w:t>
      </w:r>
      <w:r w:rsidR="006A3EE4">
        <w:rPr>
          <w:rFonts w:cs="Times New Roman"/>
        </w:rPr>
        <w:t xml:space="preserve">and the historiography used to justify </w:t>
      </w:r>
      <w:r w:rsidR="006C10A3">
        <w:rPr>
          <w:rFonts w:cs="Times New Roman"/>
        </w:rPr>
        <w:t>more common Eastern and Western</w:t>
      </w:r>
      <w:r w:rsidR="007C6497">
        <w:rPr>
          <w:rFonts w:cs="Times New Roman"/>
        </w:rPr>
        <w:t xml:space="preserve"> </w:t>
      </w:r>
      <w:r w:rsidR="006A3EE4">
        <w:rPr>
          <w:rFonts w:cs="Times New Roman"/>
        </w:rPr>
        <w:t>accounts of the Fall, Original Sin, and human freedom</w:t>
      </w:r>
      <w:r w:rsidR="00842217">
        <w:rPr>
          <w:rFonts w:cs="Times New Roman"/>
        </w:rPr>
        <w:t>; and</w:t>
      </w:r>
      <w:r w:rsidR="006C10A3">
        <w:rPr>
          <w:rFonts w:cs="Times New Roman"/>
        </w:rPr>
        <w:t xml:space="preserve"> </w:t>
      </w:r>
      <w:r w:rsidR="00842217">
        <w:rPr>
          <w:rFonts w:cs="Times New Roman"/>
        </w:rPr>
        <w:t>t</w:t>
      </w:r>
      <w:r w:rsidR="00473BD5">
        <w:rPr>
          <w:rFonts w:cs="Times New Roman"/>
        </w:rPr>
        <w:t xml:space="preserve">he unity and diversity of their </w:t>
      </w:r>
      <w:r w:rsidR="0089260F">
        <w:rPr>
          <w:rFonts w:cs="Times New Roman"/>
        </w:rPr>
        <w:t>thinking through the</w:t>
      </w:r>
      <w:r w:rsidR="00842217">
        <w:rPr>
          <w:rFonts w:cs="Times New Roman"/>
        </w:rPr>
        <w:t>ir</w:t>
      </w:r>
      <w:r w:rsidR="0089260F">
        <w:rPr>
          <w:rFonts w:cs="Times New Roman"/>
        </w:rPr>
        <w:t xml:space="preserve"> Christian inheritance </w:t>
      </w:r>
      <w:r w:rsidR="00842217">
        <w:rPr>
          <w:rFonts w:cs="Times New Roman"/>
        </w:rPr>
        <w:t xml:space="preserve">provides a model </w:t>
      </w:r>
      <w:r w:rsidR="00107BC3">
        <w:rPr>
          <w:rFonts w:cs="Times New Roman"/>
        </w:rPr>
        <w:t xml:space="preserve">for </w:t>
      </w:r>
      <w:r w:rsidR="00C4287E">
        <w:rPr>
          <w:rFonts w:cs="Times New Roman"/>
        </w:rPr>
        <w:t>the</w:t>
      </w:r>
      <w:r w:rsidR="00842217">
        <w:rPr>
          <w:rFonts w:cs="Times New Roman"/>
        </w:rPr>
        <w:t xml:space="preserve"> </w:t>
      </w:r>
      <w:r w:rsidR="00473BD5">
        <w:rPr>
          <w:rFonts w:cs="Times New Roman"/>
        </w:rPr>
        <w:t xml:space="preserve">heirs </w:t>
      </w:r>
      <w:r w:rsidR="00C4287E">
        <w:rPr>
          <w:rFonts w:cs="Times New Roman"/>
        </w:rPr>
        <w:t xml:space="preserve">of that tradition, to return </w:t>
      </w:r>
      <w:r w:rsidR="007672B1" w:rsidRPr="007672B1">
        <w:rPr>
          <w:rFonts w:cs="Times New Roman"/>
          <w:i/>
        </w:rPr>
        <w:t>ad fontes</w:t>
      </w:r>
      <w:r w:rsidR="007672B1">
        <w:rPr>
          <w:rFonts w:cs="Times New Roman"/>
        </w:rPr>
        <w:t xml:space="preserve"> in order to renew it.</w:t>
      </w:r>
    </w:p>
    <w:p w14:paraId="34BBDE42" w14:textId="77777777" w:rsidR="00E514C7" w:rsidRPr="00E514C7" w:rsidRDefault="00E514C7" w:rsidP="00E514C7">
      <w:pPr>
        <w:pStyle w:val="Standard"/>
        <w:spacing w:line="480" w:lineRule="auto"/>
        <w:ind w:firstLine="720"/>
        <w:jc w:val="right"/>
        <w:rPr>
          <w:rFonts w:cs="Times New Roman"/>
        </w:rPr>
      </w:pPr>
      <w:r w:rsidRPr="00E514C7">
        <w:rPr>
          <w:rFonts w:cs="Times New Roman"/>
        </w:rPr>
        <w:t>Jacob Archambault</w:t>
      </w:r>
    </w:p>
    <w:p w14:paraId="5A779BBA" w14:textId="28411656" w:rsidR="00C92343" w:rsidRPr="00102540" w:rsidRDefault="00E514C7" w:rsidP="00102540">
      <w:pPr>
        <w:pStyle w:val="Standard"/>
        <w:spacing w:line="480" w:lineRule="auto"/>
        <w:ind w:firstLine="720"/>
        <w:jc w:val="right"/>
        <w:rPr>
          <w:rFonts w:cs="Times New Roman"/>
        </w:rPr>
      </w:pPr>
      <w:r w:rsidRPr="00E514C7">
        <w:rPr>
          <w:rFonts w:cs="Times New Roman"/>
        </w:rPr>
        <w:t>Fordham University, department of Philosophy</w:t>
      </w:r>
    </w:p>
    <w:sectPr w:rsidR="00C92343" w:rsidRPr="00102540">
      <w:endnotePr>
        <w:numFmt w:val="decimal"/>
      </w:endnotePr>
      <w:pgSz w:w="12240" w:h="15840"/>
      <w:pgMar w:top="77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5EE88" w14:textId="77777777" w:rsidR="00383A64" w:rsidRDefault="00383A64">
      <w:r>
        <w:separator/>
      </w:r>
    </w:p>
  </w:endnote>
  <w:endnote w:type="continuationSeparator" w:id="0">
    <w:p w14:paraId="797745EE" w14:textId="77777777" w:rsidR="00383A64" w:rsidRDefault="0038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710AC" w14:textId="77777777" w:rsidR="00383A64" w:rsidRDefault="00383A64">
      <w:r>
        <w:rPr>
          <w:color w:val="000000"/>
        </w:rPr>
        <w:separator/>
      </w:r>
    </w:p>
  </w:footnote>
  <w:footnote w:type="continuationSeparator" w:id="0">
    <w:p w14:paraId="588E1617" w14:textId="77777777" w:rsidR="00383A64" w:rsidRDefault="00383A64">
      <w:r>
        <w:continuationSeparator/>
      </w:r>
    </w:p>
  </w:footnote>
  <w:footnote w:id="1">
    <w:p w14:paraId="3EF09194" w14:textId="3AF25358" w:rsidR="00672AB0" w:rsidRDefault="00672AB0" w:rsidP="0076306E">
      <w:pPr>
        <w:pStyle w:val="FootnoteText"/>
        <w:jc w:val="both"/>
        <w:rPr>
          <w:rFonts w:cs="Times New Roman"/>
        </w:rPr>
      </w:pPr>
      <w:r>
        <w:rPr>
          <w:rStyle w:val="FootnoteReference"/>
        </w:rPr>
        <w:footnoteRef/>
      </w:r>
      <w:r>
        <w:t xml:space="preserve"> </w:t>
      </w:r>
      <w:r>
        <w:rPr>
          <w:rFonts w:cs="Times New Roman"/>
        </w:rPr>
        <w:t xml:space="preserve">Augustine’s works are cited by book, in Roman numerals, and paragraph, in Arabic numerals. Translations from Latin texts, unless stated otherwise, are my own, and are based on either Migne’s </w:t>
      </w:r>
      <w:r>
        <w:rPr>
          <w:rFonts w:cs="Times New Roman"/>
          <w:i/>
        </w:rPr>
        <w:t xml:space="preserve">Patrologia Latina </w:t>
      </w:r>
      <w:r>
        <w:rPr>
          <w:rFonts w:cs="Times New Roman"/>
        </w:rPr>
        <w:t xml:space="preserve">or the </w:t>
      </w:r>
      <w:r>
        <w:rPr>
          <w:rFonts w:cs="Times New Roman"/>
          <w:i/>
        </w:rPr>
        <w:t>Corpus Christianorum Series Latina</w:t>
      </w:r>
      <w:r w:rsidRPr="009C300C">
        <w:rPr>
          <w:rFonts w:cs="Times New Roman"/>
        </w:rPr>
        <w:t xml:space="preserve"> </w:t>
      </w:r>
      <w:r>
        <w:rPr>
          <w:rFonts w:cs="Times New Roman"/>
        </w:rPr>
        <w:t xml:space="preserve">where available. References to Maximus’ </w:t>
      </w:r>
      <w:r>
        <w:rPr>
          <w:rFonts w:cs="Times New Roman"/>
          <w:i/>
        </w:rPr>
        <w:t>Ambigua</w:t>
      </w:r>
      <w:r>
        <w:rPr>
          <w:rFonts w:cs="Times New Roman"/>
        </w:rPr>
        <w:t xml:space="preserve"> [</w:t>
      </w:r>
      <w:r>
        <w:rPr>
          <w:rFonts w:cs="Times New Roman"/>
          <w:i/>
        </w:rPr>
        <w:t>Amb.</w:t>
      </w:r>
      <w:r>
        <w:rPr>
          <w:rFonts w:cs="Times New Roman"/>
        </w:rPr>
        <w:t xml:space="preserve">], </w:t>
      </w:r>
      <w:r>
        <w:rPr>
          <w:rFonts w:cs="Times New Roman"/>
          <w:i/>
        </w:rPr>
        <w:t xml:space="preserve">Opuscula Theologica et Polemica </w:t>
      </w:r>
      <w:r>
        <w:rPr>
          <w:rFonts w:cs="Times New Roman"/>
        </w:rPr>
        <w:t>[</w:t>
      </w:r>
      <w:r>
        <w:rPr>
          <w:rFonts w:cs="Times New Roman"/>
          <w:i/>
        </w:rPr>
        <w:t>OTP</w:t>
      </w:r>
      <w:r>
        <w:rPr>
          <w:rFonts w:cs="Times New Roman"/>
        </w:rPr>
        <w:t xml:space="preserve">], and </w:t>
      </w:r>
      <w:r>
        <w:rPr>
          <w:rFonts w:cs="Times New Roman"/>
          <w:i/>
        </w:rPr>
        <w:t xml:space="preserve">Disputatio cum Pyrrho </w:t>
      </w:r>
      <w:r>
        <w:t>[</w:t>
      </w:r>
      <w:r>
        <w:rPr>
          <w:i/>
        </w:rPr>
        <w:t>DP</w:t>
      </w:r>
      <w:r>
        <w:t>]</w:t>
      </w:r>
      <w:r>
        <w:rPr>
          <w:rFonts w:cs="Times New Roman"/>
          <w:i/>
        </w:rPr>
        <w:t xml:space="preserve"> </w:t>
      </w:r>
      <w:r>
        <w:rPr>
          <w:rFonts w:cs="Times New Roman"/>
        </w:rPr>
        <w:t xml:space="preserve">follow the pagination of Migne’s </w:t>
      </w:r>
      <w:r>
        <w:rPr>
          <w:rFonts w:cs="Times New Roman"/>
          <w:i/>
        </w:rPr>
        <w:t>Patrologia Graeca</w:t>
      </w:r>
      <w:r>
        <w:rPr>
          <w:rFonts w:cs="Times New Roman"/>
        </w:rPr>
        <w:t xml:space="preserve">, vol. 91. References to Maximus’ </w:t>
      </w:r>
      <w:r>
        <w:rPr>
          <w:rFonts w:cs="Times New Roman"/>
          <w:i/>
        </w:rPr>
        <w:t>Quaestiones ad Thalassium</w:t>
      </w:r>
      <w:r>
        <w:rPr>
          <w:rFonts w:cs="Times New Roman"/>
        </w:rPr>
        <w:t xml:space="preserve"> [</w:t>
      </w:r>
      <w:r w:rsidRPr="000A6D4E">
        <w:rPr>
          <w:rFonts w:cs="Times New Roman"/>
          <w:i/>
        </w:rPr>
        <w:t>QT</w:t>
      </w:r>
      <w:r>
        <w:rPr>
          <w:rFonts w:cs="Times New Roman"/>
        </w:rPr>
        <w:t xml:space="preserve">] </w:t>
      </w:r>
      <w:r w:rsidRPr="000A6D4E">
        <w:rPr>
          <w:rFonts w:cs="Times New Roman"/>
        </w:rPr>
        <w:t>are</w:t>
      </w:r>
      <w:r>
        <w:rPr>
          <w:rFonts w:cs="Times New Roman"/>
        </w:rPr>
        <w:t xml:space="preserve"> according to the page numbering of the </w:t>
      </w:r>
      <w:r>
        <w:rPr>
          <w:rFonts w:cs="Times New Roman"/>
          <w:i/>
        </w:rPr>
        <w:t>Corpus Christianorum Series Graeca</w:t>
      </w:r>
      <w:r>
        <w:rPr>
          <w:rFonts w:cs="Times New Roman"/>
        </w:rPr>
        <w:t>, vols. 7 &amp; 22.</w:t>
      </w:r>
      <w:r w:rsidRPr="00CB6997">
        <w:rPr>
          <w:rFonts w:cs="Times New Roman"/>
        </w:rPr>
        <w:t xml:space="preserve"> </w:t>
      </w:r>
    </w:p>
    <w:p w14:paraId="05253714" w14:textId="6A1BBE07" w:rsidR="00672AB0" w:rsidRPr="00E514C7" w:rsidRDefault="00672AB0" w:rsidP="0076306E">
      <w:pPr>
        <w:pStyle w:val="FootnoteText"/>
        <w:jc w:val="both"/>
      </w:pPr>
      <w:r>
        <w:rPr>
          <w:rFonts w:cs="Times New Roman"/>
        </w:rPr>
        <w:t>Translations for Maximus are taken from the following works:</w:t>
      </w:r>
      <w:r w:rsidRPr="008C5D94">
        <w:rPr>
          <w:rFonts w:cs="Times New Roman"/>
        </w:rPr>
        <w:t xml:space="preserve"> </w:t>
      </w:r>
      <w:r>
        <w:rPr>
          <w:rFonts w:cs="Times New Roman"/>
        </w:rPr>
        <w:t xml:space="preserve">Paul M. Blowers and Robert Louis Wilken, (eds. and trans.), </w:t>
      </w:r>
      <w:r>
        <w:rPr>
          <w:rFonts w:cs="Times New Roman"/>
          <w:i/>
        </w:rPr>
        <w:t>On the Cosmic Mystery of Jesus Christ: selected writings from St. Maximus the Confessor</w:t>
      </w:r>
      <w:r>
        <w:rPr>
          <w:rFonts w:cs="Times New Roman"/>
        </w:rPr>
        <w:t xml:space="preserve">, Crestwood, NY, St. Vladimir’s Seminary Press, 2003 [BW]; Andrew Louth, </w:t>
      </w:r>
      <w:r>
        <w:rPr>
          <w:rFonts w:cs="Times New Roman"/>
          <w:i/>
        </w:rPr>
        <w:t>Maximus the Confessor</w:t>
      </w:r>
      <w:r>
        <w:rPr>
          <w:rFonts w:cs="Times New Roman"/>
        </w:rPr>
        <w:t>, New York, Routledge, 1996 [Louth]. Where no English source is listed, Greek translations are my own.</w:t>
      </w:r>
    </w:p>
  </w:footnote>
  <w:footnote w:id="2">
    <w:p w14:paraId="5CF9D995" w14:textId="06A9CC49" w:rsidR="00672AB0" w:rsidRDefault="00672AB0" w:rsidP="0076306E">
      <w:pPr>
        <w:pStyle w:val="Footnote"/>
        <w:ind w:left="0" w:firstLine="0"/>
        <w:jc w:val="both"/>
      </w:pPr>
      <w:r>
        <w:rPr>
          <w:rStyle w:val="FootnoteReference"/>
        </w:rPr>
        <w:footnoteRef/>
      </w:r>
      <w:r>
        <w:t xml:space="preserve"> “Augustine </w:t>
      </w:r>
      <w:r>
        <w:rPr>
          <w:rFonts w:cs="Times New Roman"/>
        </w:rPr>
        <w:t xml:space="preserve">introduced a false moralistic philosophical approach [to the Fall] which […] was not accepted by the patristic tradition of the East.” John Romanides, “Original Sin According to St. Paul” </w:t>
      </w:r>
      <w:r>
        <w:rPr>
          <w:rFonts w:cs="Times New Roman"/>
          <w:i/>
        </w:rPr>
        <w:t xml:space="preserve">St. Vladimir’s Seminary Quarterly </w:t>
      </w:r>
      <w:r>
        <w:rPr>
          <w:rFonts w:cs="Times New Roman"/>
        </w:rPr>
        <w:t>4 (1955), 5-28, 7</w:t>
      </w:r>
      <w:r>
        <w:t xml:space="preserve">; cf. </w:t>
      </w:r>
      <w:r>
        <w:rPr>
          <w:rFonts w:cs="Times New Roman"/>
        </w:rPr>
        <w:t xml:space="preserve">Timothy Ware, </w:t>
      </w:r>
      <w:r>
        <w:rPr>
          <w:rFonts w:cs="Times New Roman"/>
          <w:i/>
        </w:rPr>
        <w:t>The Orthodox Church</w:t>
      </w:r>
      <w:r>
        <w:rPr>
          <w:rFonts w:cs="Times New Roman"/>
        </w:rPr>
        <w:t xml:space="preserve">, Baltimore, Penguin, 1964, </w:t>
      </w:r>
      <w:r>
        <w:t>229.</w:t>
      </w:r>
    </w:p>
  </w:footnote>
  <w:footnote w:id="3">
    <w:p w14:paraId="2E0479AA" w14:textId="1E8E2C05" w:rsidR="00672AB0" w:rsidRDefault="00672AB0" w:rsidP="0076306E">
      <w:pPr>
        <w:pStyle w:val="FootnoteText"/>
        <w:jc w:val="both"/>
      </w:pPr>
      <w:r>
        <w:rPr>
          <w:rStyle w:val="FootnoteReference"/>
        </w:rPr>
        <w:footnoteRef/>
      </w:r>
      <w:r>
        <w:t xml:space="preserve"> </w:t>
      </w:r>
      <w:r>
        <w:rPr>
          <w:rFonts w:cs="Times New Roman"/>
        </w:rPr>
        <w:t xml:space="preserve">Jesse Couenhoven, “St. Augustine's Doctrine of Original Sin” </w:t>
      </w:r>
      <w:r>
        <w:rPr>
          <w:rFonts w:cs="Times New Roman"/>
          <w:i/>
          <w:iCs/>
        </w:rPr>
        <w:t xml:space="preserve">Augustinian Studies </w:t>
      </w:r>
      <w:r>
        <w:rPr>
          <w:rFonts w:cs="Times New Roman"/>
        </w:rPr>
        <w:t xml:space="preserve">36 (2005), 359-396, </w:t>
      </w:r>
      <w:r>
        <w:t xml:space="preserve">369-72; </w:t>
      </w:r>
      <w:r w:rsidRPr="00D07588">
        <w:rPr>
          <w:rFonts w:cs="Times New Roman"/>
          <w:lang w:val="fr-FR"/>
        </w:rPr>
        <w:t xml:space="preserve">Jean-Claude Larchet, </w:t>
      </w:r>
      <w:r w:rsidRPr="00D07588">
        <w:rPr>
          <w:rFonts w:cs="Times New Roman"/>
          <w:i/>
          <w:lang w:val="fr-FR"/>
        </w:rPr>
        <w:t>Maxime le Confesseur, médiateur entre l’Orient et l’Occident</w:t>
      </w:r>
      <w:r>
        <w:rPr>
          <w:rFonts w:cs="Times New Roman"/>
          <w:lang w:val="fr-FR"/>
        </w:rPr>
        <w:t>, Paris, Les Éditions du Cerf, 1998</w:t>
      </w:r>
      <w:r>
        <w:t>, 79.</w:t>
      </w:r>
    </w:p>
  </w:footnote>
  <w:footnote w:id="4">
    <w:p w14:paraId="14DAEF7F" w14:textId="75B4945D" w:rsidR="00672AB0" w:rsidRDefault="00672AB0" w:rsidP="0076306E">
      <w:pPr>
        <w:pStyle w:val="Footnote"/>
        <w:ind w:left="0" w:firstLine="0"/>
        <w:jc w:val="both"/>
      </w:pPr>
      <w:r>
        <w:rPr>
          <w:rStyle w:val="FootnoteReference"/>
        </w:rPr>
        <w:footnoteRef/>
      </w:r>
      <w:r>
        <w:t xml:space="preserve"> See John Boojamra, “Original Sin According to St. Maximus the Confessor” </w:t>
      </w:r>
      <w:r>
        <w:rPr>
          <w:i/>
          <w:iCs/>
        </w:rPr>
        <w:t xml:space="preserve">St Vladimir's Theological Quarterly </w:t>
      </w:r>
      <w:r>
        <w:t xml:space="preserve">20 (1976), 19-30, 25: “We can, in general, conclude that for Maximus, </w:t>
      </w:r>
      <w:r>
        <w:rPr>
          <w:i/>
          <w:iCs/>
        </w:rPr>
        <w:t>and indeed for all the Greek Fathers</w:t>
      </w:r>
      <w:r>
        <w:t xml:space="preserve">, the Original Sin as a process extended in time is not defined by the Augustinian transmission of a real culpability through sexual generation” (emphasis mine); cf. </w:t>
      </w:r>
      <w:r>
        <w:rPr>
          <w:rFonts w:cs="Times New Roman"/>
        </w:rPr>
        <w:t xml:space="preserve">Daniel Haynes, “The Transgression of Adam and Christ the New Adam: St. Augustine and St. Maximus the Confessor on the Doctrine of Original Sin” </w:t>
      </w:r>
      <w:r>
        <w:rPr>
          <w:rFonts w:cs="Times New Roman"/>
          <w:i/>
          <w:iCs/>
        </w:rPr>
        <w:t xml:space="preserve">St. Vladimir's Theological Quarterly </w:t>
      </w:r>
      <w:r>
        <w:rPr>
          <w:rFonts w:cs="Times New Roman"/>
        </w:rPr>
        <w:t>55 (2011), 293-317</w:t>
      </w:r>
      <w:r>
        <w:t>, 293-95.</w:t>
      </w:r>
    </w:p>
  </w:footnote>
  <w:footnote w:id="5">
    <w:p w14:paraId="3099A36D" w14:textId="7EBB569B" w:rsidR="00672AB0" w:rsidRDefault="00672AB0" w:rsidP="0076306E">
      <w:pPr>
        <w:pStyle w:val="FootnoteText"/>
        <w:jc w:val="both"/>
      </w:pPr>
      <w:r>
        <w:rPr>
          <w:rStyle w:val="FootnoteReference"/>
        </w:rPr>
        <w:footnoteRef/>
      </w:r>
      <w:r>
        <w:t xml:space="preserve"> Couenhoven (2005), 388.</w:t>
      </w:r>
    </w:p>
  </w:footnote>
  <w:footnote w:id="6">
    <w:p w14:paraId="28A1C47C" w14:textId="02CC5D93" w:rsidR="00672AB0" w:rsidRDefault="00672AB0" w:rsidP="0076306E">
      <w:pPr>
        <w:pStyle w:val="FootnoteText"/>
        <w:jc w:val="both"/>
      </w:pPr>
      <w:r>
        <w:rPr>
          <w:rStyle w:val="FootnoteReference"/>
        </w:rPr>
        <w:footnoteRef/>
      </w:r>
      <w:r>
        <w:t xml:space="preserve"> Ian A. </w:t>
      </w:r>
      <w:r>
        <w:rPr>
          <w:rFonts w:cs="Times New Roman"/>
        </w:rPr>
        <w:t xml:space="preserve">McFarland, “‘Willing is not Choosing’: Some Anthropological Implications of Diothelite Christology,” </w:t>
      </w:r>
      <w:r>
        <w:rPr>
          <w:rFonts w:cs="Times New Roman"/>
          <w:i/>
        </w:rPr>
        <w:t xml:space="preserve">International Journal of Systematic Theology </w:t>
      </w:r>
      <w:r>
        <w:rPr>
          <w:rFonts w:cs="Times New Roman"/>
        </w:rPr>
        <w:t>9 (2007), 3-23. 3.</w:t>
      </w:r>
    </w:p>
  </w:footnote>
  <w:footnote w:id="7">
    <w:p w14:paraId="4CC6C1FE" w14:textId="0DADE6B5" w:rsidR="00672AB0" w:rsidRPr="0076306E" w:rsidRDefault="00672AB0" w:rsidP="0076306E">
      <w:pPr>
        <w:pStyle w:val="FootnoteText"/>
        <w:tabs>
          <w:tab w:val="left" w:pos="900"/>
        </w:tabs>
        <w:jc w:val="both"/>
        <w:rPr>
          <w:rFonts w:cs="Times New Roman"/>
        </w:rPr>
      </w:pPr>
      <w:r>
        <w:rPr>
          <w:rStyle w:val="FootnoteReference"/>
        </w:rPr>
        <w:footnoteRef/>
      </w:r>
      <w:r>
        <w:t xml:space="preserve"> </w:t>
      </w:r>
      <w:r>
        <w:rPr>
          <w:rFonts w:cs="Times New Roman"/>
        </w:rPr>
        <w:t xml:space="preserve">McFarland calls Maximus’ diothelite Christology “a contribution to the Augustinian tradition.” </w:t>
      </w:r>
      <w:r w:rsidRPr="00D07588">
        <w:rPr>
          <w:rFonts w:cs="Times New Roman"/>
          <w:lang w:val="fr-FR"/>
        </w:rPr>
        <w:t xml:space="preserve">And for Larchet, “La conception de saint Maxime présente sans aucun doute, plus que celle de tout autre Père grec, des similitudes troublantes avec la conception occidentale d’origine augustinienne.” </w:t>
      </w:r>
      <w:r>
        <w:rPr>
          <w:rFonts w:cs="Times New Roman"/>
        </w:rPr>
        <w:t>(1998, 120).</w:t>
      </w:r>
      <w:r w:rsidRPr="008668A3">
        <w:rPr>
          <w:rFonts w:cs="Times New Roman"/>
        </w:rPr>
        <w:t xml:space="preserve"> </w:t>
      </w:r>
      <w:r>
        <w:rPr>
          <w:rFonts w:cs="Times New Roman"/>
        </w:rPr>
        <w:t xml:space="preserve">Ian A McFarland, “Naturally and by Grace: Maximus the Confessor on the operation of the will” </w:t>
      </w:r>
      <w:r>
        <w:rPr>
          <w:rFonts w:cs="Times New Roman"/>
          <w:i/>
        </w:rPr>
        <w:t>The Scottish Journal of Theology</w:t>
      </w:r>
      <w:r>
        <w:rPr>
          <w:rFonts w:cs="Times New Roman"/>
        </w:rPr>
        <w:t xml:space="preserve"> 58 (2005), 410-433, 430.</w:t>
      </w:r>
    </w:p>
  </w:footnote>
  <w:footnote w:id="8">
    <w:p w14:paraId="35C6092A" w14:textId="436482BF" w:rsidR="00672AB0" w:rsidRDefault="00672AB0" w:rsidP="0076306E">
      <w:pPr>
        <w:pStyle w:val="FootnoteText"/>
        <w:jc w:val="both"/>
      </w:pPr>
      <w:r>
        <w:rPr>
          <w:rStyle w:val="FootnoteReference"/>
        </w:rPr>
        <w:footnoteRef/>
      </w:r>
      <w:r>
        <w:t xml:space="preserve"> </w:t>
      </w:r>
      <w:r>
        <w:rPr>
          <w:rFonts w:cs="Times New Roman"/>
        </w:rPr>
        <w:t xml:space="preserve">There is circumstantial evidence suggesting Maximus may have been influenced by Augustine’s works, directly or indirectly. </w:t>
      </w:r>
      <w:r w:rsidRPr="00D07588">
        <w:rPr>
          <w:lang w:val="fr-FR"/>
        </w:rPr>
        <w:t xml:space="preserve">See </w:t>
      </w:r>
      <w:r>
        <w:rPr>
          <w:lang w:val="fr-FR"/>
        </w:rPr>
        <w:t xml:space="preserve">J. M. </w:t>
      </w:r>
      <w:r>
        <w:rPr>
          <w:rFonts w:cs="Times New Roman"/>
          <w:lang w:val="fr-FR"/>
        </w:rPr>
        <w:t>Garrigues,</w:t>
      </w:r>
      <w:r w:rsidRPr="00D07588">
        <w:rPr>
          <w:rFonts w:cs="Times New Roman"/>
          <w:lang w:val="fr-FR"/>
        </w:rPr>
        <w:t xml:space="preserve"> </w:t>
      </w:r>
      <w:r w:rsidRPr="00D07588">
        <w:rPr>
          <w:rFonts w:cs="Times New Roman"/>
          <w:i/>
          <w:lang w:val="fr-FR"/>
        </w:rPr>
        <w:t>Maxime le Confesseur. La charité, avenir divin de l’homme</w:t>
      </w:r>
      <w:r>
        <w:rPr>
          <w:rFonts w:cs="Times New Roman"/>
          <w:lang w:val="fr-FR"/>
        </w:rPr>
        <w:t xml:space="preserve">, </w:t>
      </w:r>
      <w:r w:rsidRPr="00D07588">
        <w:rPr>
          <w:rFonts w:cs="Times New Roman"/>
          <w:lang w:val="fr-FR"/>
        </w:rPr>
        <w:t>Paris</w:t>
      </w:r>
      <w:r>
        <w:rPr>
          <w:rFonts w:cs="Times New Roman"/>
          <w:lang w:val="fr-FR"/>
        </w:rPr>
        <w:t>,</w:t>
      </w:r>
      <w:r w:rsidRPr="00D07588">
        <w:rPr>
          <w:rFonts w:cs="Times New Roman"/>
          <w:lang w:val="fr-FR"/>
        </w:rPr>
        <w:t xml:space="preserve"> </w:t>
      </w:r>
      <w:r w:rsidRPr="00D07588">
        <w:rPr>
          <w:rFonts w:eastAsia="Arial Unicode MS" w:cs="Times New Roman"/>
          <w:lang w:val="fr-FR"/>
        </w:rPr>
        <w:t>Beauchesne</w:t>
      </w:r>
      <w:r>
        <w:rPr>
          <w:rFonts w:cs="Times New Roman"/>
          <w:lang w:val="fr-FR"/>
        </w:rPr>
        <w:t>,</w:t>
      </w:r>
      <w:r>
        <w:rPr>
          <w:lang w:val="fr-FR"/>
        </w:rPr>
        <w:t xml:space="preserve"> 1976</w:t>
      </w:r>
      <w:r w:rsidRPr="00D07588">
        <w:rPr>
          <w:lang w:val="fr-FR"/>
        </w:rPr>
        <w:t xml:space="preserve">, 60; </w:t>
      </w:r>
      <w:r>
        <w:rPr>
          <w:lang w:val="fr-FR"/>
        </w:rPr>
        <w:t xml:space="preserve">G. C. </w:t>
      </w:r>
      <w:r>
        <w:t xml:space="preserve">Berthold, “Did Maximus the Confessor Know Augustine?” </w:t>
      </w:r>
      <w:r>
        <w:rPr>
          <w:i/>
        </w:rPr>
        <w:t xml:space="preserve">Studia Patristica </w:t>
      </w:r>
      <w:r>
        <w:t>17 (1982), 14-17</w:t>
      </w:r>
      <w:r w:rsidRPr="00D07588">
        <w:rPr>
          <w:lang w:val="fr-FR"/>
        </w:rPr>
        <w:t>; Larchet (1998), 122, fn. 181: “...les conciles locaux africains qui, encouragés par Maxime, ont condamné l’</w:t>
      </w:r>
      <w:r w:rsidRPr="00D07588">
        <w:rPr>
          <w:i/>
          <w:lang w:val="fr-FR"/>
        </w:rPr>
        <w:t xml:space="preserve">Ekthèse </w:t>
      </w:r>
      <w:r w:rsidRPr="00D07588">
        <w:rPr>
          <w:lang w:val="fr-FR"/>
        </w:rPr>
        <w:t>en 645, citent Augustin dans leurs actes (voir Mansi X, 937-940), de même que le cite les Actes du synode du Latran (649) auquel Maxime a activement participé...”</w:t>
      </w:r>
    </w:p>
  </w:footnote>
  <w:footnote w:id="9">
    <w:p w14:paraId="3315CC4C" w14:textId="54349C1E" w:rsidR="00672AB0" w:rsidRDefault="00672AB0" w:rsidP="0076306E">
      <w:pPr>
        <w:pStyle w:val="Footnote"/>
        <w:ind w:left="0" w:firstLine="0"/>
        <w:jc w:val="both"/>
      </w:pPr>
      <w:r>
        <w:rPr>
          <w:rStyle w:val="FootnoteReference"/>
        </w:rPr>
        <w:footnoteRef/>
      </w:r>
      <w:r>
        <w:t xml:space="preserve">See Ian A. McFarland, </w:t>
      </w:r>
      <w:r>
        <w:rPr>
          <w:rFonts w:cs="Times New Roman"/>
        </w:rPr>
        <w:t xml:space="preserve">“Fallen or Unfallen? Christ’s Human Nature and the Ontology of Human Sinfulness,” </w:t>
      </w:r>
      <w:r>
        <w:rPr>
          <w:rFonts w:cs="Times New Roman"/>
          <w:i/>
        </w:rPr>
        <w:t xml:space="preserve">International Journal of Systematic Theology </w:t>
      </w:r>
      <w:r>
        <w:rPr>
          <w:rFonts w:cs="Times New Roman"/>
        </w:rPr>
        <w:t>10 (2008), 399-415</w:t>
      </w:r>
      <w:r>
        <w:t>, 402; cf. Haynes (2011), 295.</w:t>
      </w:r>
    </w:p>
  </w:footnote>
  <w:footnote w:id="10">
    <w:p w14:paraId="18C4936E" w14:textId="6F2BF3B5" w:rsidR="00672AB0" w:rsidRDefault="00672AB0" w:rsidP="0076306E">
      <w:pPr>
        <w:pStyle w:val="FootnoteText"/>
        <w:jc w:val="both"/>
      </w:pPr>
      <w:r>
        <w:rPr>
          <w:rStyle w:val="FootnoteReference"/>
        </w:rPr>
        <w:footnoteRef/>
      </w:r>
      <w:r>
        <w:t xml:space="preserve"> </w:t>
      </w:r>
      <w:r>
        <w:rPr>
          <w:i/>
        </w:rPr>
        <w:t xml:space="preserve">C.Iul. </w:t>
      </w:r>
      <w:r>
        <w:t>I. 37.</w:t>
      </w:r>
    </w:p>
  </w:footnote>
  <w:footnote w:id="11">
    <w:p w14:paraId="4858AEAD" w14:textId="03C71FCA" w:rsidR="00672AB0" w:rsidRDefault="00672AB0" w:rsidP="0076306E">
      <w:pPr>
        <w:pStyle w:val="Footnote"/>
        <w:ind w:left="0" w:firstLine="0"/>
        <w:jc w:val="both"/>
      </w:pPr>
      <w:r>
        <w:rPr>
          <w:rStyle w:val="FootnoteReference"/>
        </w:rPr>
        <w:footnoteRef/>
      </w:r>
      <w:r>
        <w:rPr>
          <w:i/>
          <w:iCs/>
        </w:rPr>
        <w:t xml:space="preserve">Lib.arb. </w:t>
      </w:r>
      <w:r>
        <w:t xml:space="preserve">III. 38; cf. </w:t>
      </w:r>
      <w:r>
        <w:rPr>
          <w:i/>
          <w:iCs/>
        </w:rPr>
        <w:t>Civ.Dei</w:t>
      </w:r>
      <w:r>
        <w:t xml:space="preserve"> XI. 15, 17.</w:t>
      </w:r>
    </w:p>
  </w:footnote>
  <w:footnote w:id="12">
    <w:p w14:paraId="0D31FE87" w14:textId="1A10D938" w:rsidR="00672AB0" w:rsidRPr="00D40E26" w:rsidRDefault="00672AB0" w:rsidP="0076306E">
      <w:pPr>
        <w:pStyle w:val="Footnote"/>
        <w:ind w:left="0" w:firstLine="0"/>
        <w:jc w:val="both"/>
      </w:pPr>
      <w:r>
        <w:rPr>
          <w:rStyle w:val="FootnoteReference"/>
        </w:rPr>
        <w:footnoteRef/>
      </w:r>
      <w:r>
        <w:rPr>
          <w:i/>
          <w:iCs/>
        </w:rPr>
        <w:t xml:space="preserve">Lib.arb. </w:t>
      </w:r>
      <w:r>
        <w:t xml:space="preserve">III. 32; cf. </w:t>
      </w:r>
      <w:r>
        <w:rPr>
          <w:i/>
          <w:iCs/>
        </w:rPr>
        <w:t>Lib.arb.</w:t>
      </w:r>
      <w:r>
        <w:rPr>
          <w:i/>
        </w:rPr>
        <w:t xml:space="preserve"> </w:t>
      </w:r>
      <w:r>
        <w:t xml:space="preserve">III.36; </w:t>
      </w:r>
      <w:r>
        <w:rPr>
          <w:i/>
        </w:rPr>
        <w:t xml:space="preserve">C.Iul. </w:t>
      </w:r>
      <w:r>
        <w:t>I. 40.</w:t>
      </w:r>
    </w:p>
  </w:footnote>
  <w:footnote w:id="13">
    <w:p w14:paraId="3FCE2BD2" w14:textId="77777777" w:rsidR="00672AB0" w:rsidRDefault="00672AB0" w:rsidP="002A43A6">
      <w:pPr>
        <w:pStyle w:val="FootnoteText"/>
        <w:jc w:val="both"/>
      </w:pPr>
      <w:r>
        <w:rPr>
          <w:rStyle w:val="FootnoteReference"/>
        </w:rPr>
        <w:footnoteRef/>
      </w:r>
      <w:r>
        <w:t xml:space="preserve"> </w:t>
      </w:r>
      <w:r>
        <w:rPr>
          <w:i/>
          <w:iCs/>
        </w:rPr>
        <w:t>Lib.arb.</w:t>
      </w:r>
      <w:r>
        <w:rPr>
          <w:i/>
        </w:rPr>
        <w:t xml:space="preserve"> </w:t>
      </w:r>
      <w:r>
        <w:t>III.54; cf. Eph 2:3</w:t>
      </w:r>
    </w:p>
  </w:footnote>
  <w:footnote w:id="14">
    <w:p w14:paraId="1EAD9573" w14:textId="2DD27D49" w:rsidR="00672AB0" w:rsidRDefault="00672AB0" w:rsidP="0076306E">
      <w:pPr>
        <w:pStyle w:val="FootnoteText"/>
        <w:jc w:val="both"/>
      </w:pPr>
      <w:r>
        <w:rPr>
          <w:rStyle w:val="FootnoteReference"/>
        </w:rPr>
        <w:footnoteRef/>
      </w:r>
      <w:r>
        <w:t xml:space="preserve"> </w:t>
      </w:r>
      <w:r>
        <w:rPr>
          <w:i/>
        </w:rPr>
        <w:t xml:space="preserve">Nat. et gr. </w:t>
      </w:r>
      <w:r>
        <w:t xml:space="preserve">3; cf. </w:t>
      </w:r>
      <w:r>
        <w:rPr>
          <w:i/>
        </w:rPr>
        <w:t xml:space="preserve">Nat. et gr. </w:t>
      </w:r>
      <w:r>
        <w:t>57; 62-63.</w:t>
      </w:r>
    </w:p>
  </w:footnote>
  <w:footnote w:id="15">
    <w:p w14:paraId="4E5AF195" w14:textId="308C756F" w:rsidR="00672AB0" w:rsidRDefault="00672AB0" w:rsidP="0076306E">
      <w:pPr>
        <w:pStyle w:val="FootnoteText"/>
        <w:jc w:val="both"/>
      </w:pPr>
      <w:r>
        <w:rPr>
          <w:rStyle w:val="FootnoteReference"/>
        </w:rPr>
        <w:footnoteRef/>
      </w:r>
      <w:r>
        <w:t xml:space="preserve"> </w:t>
      </w:r>
      <w:r>
        <w:rPr>
          <w:rFonts w:cs="Times New Roman"/>
          <w:i/>
        </w:rPr>
        <w:t xml:space="preserve">Amb. </w:t>
      </w:r>
      <w:r>
        <w:rPr>
          <w:rFonts w:cs="Times New Roman"/>
        </w:rPr>
        <w:t>42 = PG 91:1321B = BW 85.</w:t>
      </w:r>
    </w:p>
  </w:footnote>
  <w:footnote w:id="16">
    <w:p w14:paraId="346EA278" w14:textId="0156A5B2" w:rsidR="00672AB0" w:rsidRDefault="00672AB0" w:rsidP="0076306E">
      <w:pPr>
        <w:pStyle w:val="FootnoteText"/>
        <w:jc w:val="both"/>
      </w:pPr>
      <w:r>
        <w:rPr>
          <w:rStyle w:val="FootnoteReference"/>
        </w:rPr>
        <w:footnoteRef/>
      </w:r>
      <w:r>
        <w:t xml:space="preserve"> Letter 2 = PG 91: 396C = Louth 86.</w:t>
      </w:r>
    </w:p>
  </w:footnote>
  <w:footnote w:id="17">
    <w:p w14:paraId="7B939DC3" w14:textId="09A56451" w:rsidR="00672AB0" w:rsidRDefault="00672AB0" w:rsidP="0076306E">
      <w:pPr>
        <w:pStyle w:val="FootnoteText"/>
        <w:jc w:val="both"/>
      </w:pPr>
      <w:r>
        <w:rPr>
          <w:rStyle w:val="FootnoteReference"/>
        </w:rPr>
        <w:footnoteRef/>
      </w:r>
      <w:r>
        <w:t xml:space="preserve"> Letter 2 = PG 91: 396D-397A = Louth 87.</w:t>
      </w:r>
    </w:p>
  </w:footnote>
  <w:footnote w:id="18">
    <w:p w14:paraId="35F1877C" w14:textId="515264B9" w:rsidR="00672AB0" w:rsidRPr="005214F1" w:rsidRDefault="00672AB0" w:rsidP="0076306E">
      <w:pPr>
        <w:pStyle w:val="FootnoteText"/>
        <w:jc w:val="both"/>
      </w:pPr>
      <w:r>
        <w:rPr>
          <w:rStyle w:val="FootnoteReference"/>
        </w:rPr>
        <w:footnoteRef/>
      </w:r>
      <w:r>
        <w:t xml:space="preserve"> </w:t>
      </w:r>
      <w:r>
        <w:rPr>
          <w:i/>
        </w:rPr>
        <w:t>QAT</w:t>
      </w:r>
      <w:r>
        <w:t xml:space="preserve"> 42 = CCSG 7: 285 = BW 119. Cf. </w:t>
      </w:r>
      <w:r>
        <w:rPr>
          <w:i/>
        </w:rPr>
        <w:t xml:space="preserve">Amb. </w:t>
      </w:r>
      <w:r>
        <w:t xml:space="preserve">8 = PG 91: 1104A = BW 76. Augustine likewise assumes Adam would not have died had he not sinned. </w:t>
      </w:r>
      <w:r>
        <w:rPr>
          <w:i/>
        </w:rPr>
        <w:t xml:space="preserve">gr.et pecc.or. </w:t>
      </w:r>
      <w:r>
        <w:t xml:space="preserve">II. 12; </w:t>
      </w:r>
      <w:r>
        <w:rPr>
          <w:i/>
        </w:rPr>
        <w:t xml:space="preserve">gest.Pel. </w:t>
      </w:r>
      <w:r>
        <w:t>23-24, 57, 65.</w:t>
      </w:r>
    </w:p>
  </w:footnote>
  <w:footnote w:id="19">
    <w:p w14:paraId="3C2C87B0" w14:textId="77A3D280" w:rsidR="00672AB0" w:rsidRPr="00F83997" w:rsidRDefault="00672AB0" w:rsidP="0076306E">
      <w:pPr>
        <w:pStyle w:val="FootnoteText"/>
        <w:jc w:val="both"/>
      </w:pPr>
      <w:r>
        <w:rPr>
          <w:rStyle w:val="FootnoteReference"/>
        </w:rPr>
        <w:footnoteRef/>
      </w:r>
      <w:r>
        <w:t xml:space="preserve"> </w:t>
      </w:r>
      <w:r w:rsidRPr="00F83997">
        <w:rPr>
          <w:i/>
        </w:rPr>
        <w:t>Amb.</w:t>
      </w:r>
      <w:r>
        <w:t xml:space="preserve"> 10. 28 = PG 91:1156D = Louth 126.</w:t>
      </w:r>
    </w:p>
  </w:footnote>
  <w:footnote w:id="20">
    <w:p w14:paraId="17D7A3CA" w14:textId="0C8E2F97" w:rsidR="00672AB0" w:rsidRPr="004375EA" w:rsidRDefault="00672AB0" w:rsidP="0076306E">
      <w:pPr>
        <w:pStyle w:val="FootnoteText"/>
        <w:jc w:val="both"/>
      </w:pPr>
      <w:r>
        <w:rPr>
          <w:rStyle w:val="FootnoteReference"/>
        </w:rPr>
        <w:footnoteRef/>
      </w:r>
      <w:r>
        <w:t xml:space="preserve"> </w:t>
      </w:r>
      <w:r>
        <w:rPr>
          <w:i/>
        </w:rPr>
        <w:t xml:space="preserve">Hom. Opif, </w:t>
      </w:r>
      <w:r>
        <w:t>16.3-7 = PG 44: 180B-181A.</w:t>
      </w:r>
    </w:p>
  </w:footnote>
  <w:footnote w:id="21">
    <w:p w14:paraId="5E2B540D" w14:textId="0F1FCD40" w:rsidR="00672AB0" w:rsidRDefault="00672AB0" w:rsidP="0076306E">
      <w:pPr>
        <w:pStyle w:val="FootnoteText"/>
        <w:jc w:val="both"/>
      </w:pPr>
      <w:r>
        <w:rPr>
          <w:rStyle w:val="FootnoteReference"/>
        </w:rPr>
        <w:footnoteRef/>
      </w:r>
      <w:r>
        <w:t xml:space="preserve"> </w:t>
      </w:r>
      <w:r>
        <w:rPr>
          <w:i/>
        </w:rPr>
        <w:t xml:space="preserve">Amb. </w:t>
      </w:r>
      <w:r>
        <w:t xml:space="preserve">8 = PG 91: 1104B; </w:t>
      </w:r>
      <w:r>
        <w:rPr>
          <w:i/>
        </w:rPr>
        <w:t xml:space="preserve">Amb. </w:t>
      </w:r>
      <w:r>
        <w:t>41 in PG 91:1305C = Louth, 157; cf. Louth, 27, 73; Boojamra (1976), 28.</w:t>
      </w:r>
    </w:p>
  </w:footnote>
  <w:footnote w:id="22">
    <w:p w14:paraId="5BE1A27E" w14:textId="4A5C2547" w:rsidR="00672AB0" w:rsidRDefault="00672AB0" w:rsidP="0076306E">
      <w:pPr>
        <w:pStyle w:val="FootnoteText"/>
        <w:jc w:val="both"/>
      </w:pPr>
      <w:r>
        <w:rPr>
          <w:rStyle w:val="FootnoteReference"/>
        </w:rPr>
        <w:footnoteRef/>
      </w:r>
      <w:r>
        <w:t xml:space="preserve"> </w:t>
      </w:r>
      <w:r>
        <w:rPr>
          <w:i/>
        </w:rPr>
        <w:t xml:space="preserve">Gr.et pecc.or. </w:t>
      </w:r>
      <w:r>
        <w:t>II. 40.</w:t>
      </w:r>
    </w:p>
  </w:footnote>
  <w:footnote w:id="23">
    <w:p w14:paraId="56BB6688" w14:textId="7D375BFC" w:rsidR="00672AB0" w:rsidRPr="001466E0" w:rsidRDefault="00672AB0" w:rsidP="0076306E">
      <w:pPr>
        <w:pStyle w:val="FootnoteText"/>
        <w:jc w:val="both"/>
      </w:pPr>
      <w:r>
        <w:rPr>
          <w:rStyle w:val="FootnoteReference"/>
        </w:rPr>
        <w:footnoteRef/>
      </w:r>
      <w:r>
        <w:t xml:space="preserve"> See esp. his discussion of the Fall in </w:t>
      </w:r>
      <w:r>
        <w:rPr>
          <w:i/>
        </w:rPr>
        <w:t>GnLit</w:t>
      </w:r>
      <w:r>
        <w:t xml:space="preserve"> XI, passim. Cf. </w:t>
      </w:r>
      <w:r>
        <w:rPr>
          <w:rFonts w:cs="Times New Roman"/>
        </w:rPr>
        <w:t xml:space="preserve">J. Patout Burns, “Augustine on the Origin and Progress of Evil” </w:t>
      </w:r>
      <w:r>
        <w:rPr>
          <w:i/>
        </w:rPr>
        <w:t>Journal of Religious Ethics</w:t>
      </w:r>
      <w:r>
        <w:t xml:space="preserve"> 16 </w:t>
      </w:r>
      <w:r>
        <w:rPr>
          <w:rFonts w:cs="Times New Roman"/>
        </w:rPr>
        <w:t>(1988)</w:t>
      </w:r>
      <w:r>
        <w:t>, 9-27, 19-21.</w:t>
      </w:r>
    </w:p>
  </w:footnote>
  <w:footnote w:id="24">
    <w:p w14:paraId="0573ACB4" w14:textId="54E4857D" w:rsidR="00672AB0" w:rsidRPr="004023AA" w:rsidRDefault="00672AB0" w:rsidP="0076306E">
      <w:pPr>
        <w:pStyle w:val="FootnoteText"/>
        <w:jc w:val="both"/>
      </w:pPr>
      <w:r>
        <w:rPr>
          <w:rStyle w:val="FootnoteReference"/>
        </w:rPr>
        <w:footnoteRef/>
      </w:r>
      <w:r>
        <w:t xml:space="preserve"> In several places, Maximus states Adam fell “at the instant he was created” (</w:t>
      </w:r>
      <w:r>
        <w:rPr>
          <w:i/>
        </w:rPr>
        <w:t>Amb. 42</w:t>
      </w:r>
      <w:r>
        <w:t xml:space="preserve"> = PG 91: 1321B = BW 85; </w:t>
      </w:r>
      <w:r>
        <w:rPr>
          <w:i/>
        </w:rPr>
        <w:t xml:space="preserve">QAT </w:t>
      </w:r>
      <w:r>
        <w:t xml:space="preserve"> 61 = CCSG 22:85, 8-16 = BW 131). Though Augustine denies this in the case of human beings, he accepts it in the case of the angels. </w:t>
      </w:r>
      <w:r>
        <w:rPr>
          <w:i/>
        </w:rPr>
        <w:t xml:space="preserve">GnLit </w:t>
      </w:r>
      <w:r>
        <w:t xml:space="preserve">XI. 25-30; cf. Jesse Couenhoven, </w:t>
      </w:r>
      <w:r>
        <w:rPr>
          <w:rFonts w:cs="Times New Roman"/>
        </w:rPr>
        <w:t xml:space="preserve">“Augustine’s rejection of the free-will defence: an overview of the late Augustine’s theodicy,” </w:t>
      </w:r>
      <w:r>
        <w:rPr>
          <w:rFonts w:cs="Times New Roman"/>
          <w:i/>
        </w:rPr>
        <w:t xml:space="preserve">Religious Studies </w:t>
      </w:r>
      <w:r>
        <w:rPr>
          <w:rFonts w:cs="Times New Roman"/>
        </w:rPr>
        <w:t xml:space="preserve">43 </w:t>
      </w:r>
      <w:r>
        <w:t>(2007)</w:t>
      </w:r>
      <w:r>
        <w:rPr>
          <w:rFonts w:cs="Times New Roman"/>
        </w:rPr>
        <w:t>, 279-298</w:t>
      </w:r>
      <w:r>
        <w:t>, 282.</w:t>
      </w:r>
    </w:p>
  </w:footnote>
  <w:footnote w:id="25">
    <w:p w14:paraId="2406BD7B" w14:textId="730E30C7" w:rsidR="00672AB0" w:rsidRDefault="00672AB0" w:rsidP="0076306E">
      <w:pPr>
        <w:pStyle w:val="FootnoteText"/>
        <w:jc w:val="both"/>
      </w:pPr>
      <w:r>
        <w:rPr>
          <w:rStyle w:val="FootnoteReference"/>
        </w:rPr>
        <w:footnoteRef/>
      </w:r>
      <w:r>
        <w:t xml:space="preserve"> Baker and Rogers read Augustine as a compatibilist. Wetzel holds Augustine was a libertarian early on, and later became a compatibilist. Stump takes Augustine to defend libertarianism even in his later works.</w:t>
      </w:r>
      <w:r w:rsidRPr="00995EA8">
        <w:rPr>
          <w:rFonts w:cs="Times New Roman"/>
        </w:rPr>
        <w:t xml:space="preserve"> </w:t>
      </w:r>
      <w:r>
        <w:t xml:space="preserve">For Greer the will is libertarian prior to, but not after the Fall. For Couenhoven, not even Adam’s pre-fallen will can be regarded as libertarian (2007, 289-90). Lynne Rudder Baker, “Why Christians should not be libertarians: an Augustinian Challenge,” </w:t>
      </w:r>
      <w:r>
        <w:rPr>
          <w:i/>
        </w:rPr>
        <w:t xml:space="preserve">Faith and Philosophy </w:t>
      </w:r>
      <w:r>
        <w:t xml:space="preserve">20 (2003), 360-78. </w:t>
      </w:r>
      <w:r>
        <w:rPr>
          <w:rFonts w:cs="Times New Roman"/>
        </w:rPr>
        <w:t xml:space="preserve">Rowan A. Greer, “Augustine's Transformation of the Free Will Defence,” </w:t>
      </w:r>
      <w:r>
        <w:rPr>
          <w:rFonts w:cs="Times New Roman"/>
          <w:i/>
          <w:iCs/>
        </w:rPr>
        <w:t xml:space="preserve">Faith and Philosophy </w:t>
      </w:r>
      <w:r>
        <w:rPr>
          <w:rFonts w:cs="Times New Roman"/>
        </w:rPr>
        <w:t>13 (1996), 471-86.</w:t>
      </w:r>
      <w:r w:rsidRPr="00AB0ECD">
        <w:t xml:space="preserve"> </w:t>
      </w:r>
      <w:r>
        <w:t xml:space="preserve">Katherin A. Rogers, “Augustine's Compatibilism,” </w:t>
      </w:r>
      <w:r>
        <w:rPr>
          <w:i/>
          <w:iCs/>
        </w:rPr>
        <w:t xml:space="preserve">Religious Studies </w:t>
      </w:r>
      <w:r>
        <w:t>40 (2004), 415-435.</w:t>
      </w:r>
      <w:r w:rsidRPr="00842873">
        <w:rPr>
          <w:rFonts w:cs="Times New Roman"/>
        </w:rPr>
        <w:t xml:space="preserve"> </w:t>
      </w:r>
      <w:r>
        <w:rPr>
          <w:rFonts w:cs="Times New Roman"/>
        </w:rPr>
        <w:t xml:space="preserve">Eleonore Stump, “Augustine on free will,” in Eleonore Stump and Norman Kretzman (eds.), </w:t>
      </w:r>
      <w:r>
        <w:rPr>
          <w:rFonts w:cs="Times New Roman"/>
          <w:i/>
        </w:rPr>
        <w:t>The Cambridge Companion to Augustine</w:t>
      </w:r>
      <w:r>
        <w:rPr>
          <w:rFonts w:cs="Times New Roman"/>
        </w:rPr>
        <w:t>,</w:t>
      </w:r>
      <w:r>
        <w:t xml:space="preserve"> Cambridge Cambridge University Press</w:t>
      </w:r>
      <w:r>
        <w:rPr>
          <w:rFonts w:cs="Times New Roman"/>
        </w:rPr>
        <w:t>, 2001</w:t>
      </w:r>
      <w:r>
        <w:t>, 124-147.</w:t>
      </w:r>
      <w:r w:rsidRPr="003E0305">
        <w:t xml:space="preserve"> </w:t>
      </w:r>
      <w:r>
        <w:t xml:space="preserve">James Wetzel, </w:t>
      </w:r>
      <w:r>
        <w:rPr>
          <w:rFonts w:cs="Times New Roman"/>
          <w:i/>
        </w:rPr>
        <w:t>Augustine and the Limits of Virtue</w:t>
      </w:r>
      <w:r>
        <w:rPr>
          <w:rFonts w:cs="Times New Roman"/>
        </w:rPr>
        <w:t>, Cambridge, Cambridge University Press, 1992, 8.</w:t>
      </w:r>
    </w:p>
  </w:footnote>
  <w:footnote w:id="26">
    <w:p w14:paraId="3B5B6550" w14:textId="56620B15" w:rsidR="00672AB0" w:rsidRDefault="00672AB0" w:rsidP="0076306E">
      <w:pPr>
        <w:pStyle w:val="FootnoteText"/>
        <w:jc w:val="both"/>
      </w:pPr>
      <w:r>
        <w:rPr>
          <w:rStyle w:val="FootnoteReference"/>
        </w:rPr>
        <w:footnoteRef/>
      </w:r>
      <w:r>
        <w:t xml:space="preserve"> </w:t>
      </w:r>
      <w:r>
        <w:rPr>
          <w:rFonts w:cs="Times New Roman"/>
          <w:i/>
        </w:rPr>
        <w:t xml:space="preserve">Amb. </w:t>
      </w:r>
      <w:r>
        <w:rPr>
          <w:rFonts w:cs="Times New Roman"/>
        </w:rPr>
        <w:t>42 = PG 91:1348C = BW 94.</w:t>
      </w:r>
    </w:p>
  </w:footnote>
  <w:footnote w:id="27">
    <w:p w14:paraId="3C4A7984" w14:textId="0D39A674" w:rsidR="00672AB0" w:rsidRDefault="00672AB0" w:rsidP="0076306E">
      <w:pPr>
        <w:pStyle w:val="FootnoteText"/>
        <w:jc w:val="both"/>
      </w:pPr>
      <w:r>
        <w:rPr>
          <w:rStyle w:val="FootnoteReference"/>
        </w:rPr>
        <w:footnoteRef/>
      </w:r>
      <w:r>
        <w:t xml:space="preserve"> </w:t>
      </w:r>
      <w:r>
        <w:rPr>
          <w:rFonts w:cs="Times New Roman"/>
          <w:i/>
        </w:rPr>
        <w:t xml:space="preserve">Gr.et lib.arb. </w:t>
      </w:r>
      <w:r>
        <w:rPr>
          <w:rFonts w:cs="Times New Roman"/>
        </w:rPr>
        <w:t>31.</w:t>
      </w:r>
    </w:p>
  </w:footnote>
  <w:footnote w:id="28">
    <w:p w14:paraId="0CFDC261" w14:textId="5EFDF6E8" w:rsidR="00672AB0" w:rsidRDefault="00672AB0" w:rsidP="0076306E">
      <w:pPr>
        <w:pStyle w:val="FootnoteText"/>
        <w:jc w:val="both"/>
      </w:pPr>
      <w:r>
        <w:rPr>
          <w:rStyle w:val="FootnoteReference"/>
        </w:rPr>
        <w:footnoteRef/>
      </w:r>
      <w:r>
        <w:t xml:space="preserve"> Cf. Couenhoven (2007), 284.</w:t>
      </w:r>
    </w:p>
  </w:footnote>
  <w:footnote w:id="29">
    <w:p w14:paraId="0B5975D5" w14:textId="326C87E4" w:rsidR="00672AB0" w:rsidRPr="009E692A" w:rsidRDefault="00672AB0" w:rsidP="0076306E">
      <w:pPr>
        <w:pStyle w:val="FootnoteText"/>
        <w:jc w:val="both"/>
      </w:pPr>
      <w:r>
        <w:rPr>
          <w:rStyle w:val="FootnoteReference"/>
        </w:rPr>
        <w:footnoteRef/>
      </w:r>
      <w:r>
        <w:t xml:space="preserve"> Ian A. McFarland, </w:t>
      </w:r>
      <w:r>
        <w:rPr>
          <w:i/>
        </w:rPr>
        <w:t>In Adam’s Fall: A Meditation on the Christian Doctrine of Original Sin</w:t>
      </w:r>
      <w:r w:rsidRPr="00943968">
        <w:t>,</w:t>
      </w:r>
      <w:r>
        <w:t xml:space="preserve"> Malden, Wiley-Blackwell, 2010, 94; cf. </w:t>
      </w:r>
      <w:r>
        <w:rPr>
          <w:i/>
        </w:rPr>
        <w:t xml:space="preserve">DP </w:t>
      </w:r>
      <w:r>
        <w:t xml:space="preserve">= PG 91: 293B; </w:t>
      </w:r>
      <w:r>
        <w:rPr>
          <w:i/>
        </w:rPr>
        <w:t xml:space="preserve">OTP </w:t>
      </w:r>
      <w:r>
        <w:t>7 = PG 91: 77B.</w:t>
      </w:r>
    </w:p>
  </w:footnote>
  <w:footnote w:id="30">
    <w:p w14:paraId="60812504" w14:textId="483F2B48" w:rsidR="00672AB0" w:rsidRPr="008C7FD9" w:rsidRDefault="00672AB0" w:rsidP="0076306E">
      <w:pPr>
        <w:pStyle w:val="FootnoteText"/>
        <w:jc w:val="both"/>
      </w:pPr>
      <w:r>
        <w:rPr>
          <w:rStyle w:val="FootnoteReference"/>
        </w:rPr>
        <w:footnoteRef/>
      </w:r>
      <w:r>
        <w:t xml:space="preserve"> </w:t>
      </w:r>
      <w:r>
        <w:rPr>
          <w:i/>
        </w:rPr>
        <w:t xml:space="preserve">OTP </w:t>
      </w:r>
      <w:r>
        <w:t>16 = PG 91: 196A. In McFarland (2010), 93-94.</w:t>
      </w:r>
    </w:p>
  </w:footnote>
  <w:footnote w:id="31">
    <w:p w14:paraId="0D4ACF7F" w14:textId="58406D9D" w:rsidR="00672AB0" w:rsidRPr="00E33D2C" w:rsidRDefault="00672AB0" w:rsidP="0076306E">
      <w:pPr>
        <w:pStyle w:val="FootnoteText"/>
        <w:tabs>
          <w:tab w:val="left" w:pos="7380"/>
        </w:tabs>
        <w:jc w:val="both"/>
      </w:pPr>
      <w:r>
        <w:rPr>
          <w:rStyle w:val="FootnoteReference"/>
        </w:rPr>
        <w:footnoteRef/>
      </w:r>
      <w:r>
        <w:t xml:space="preserve"> Sarah Byers, for instance, straightforwardly identifies Augustine’s </w:t>
      </w:r>
      <w:r>
        <w:rPr>
          <w:i/>
        </w:rPr>
        <w:t>voluntas</w:t>
      </w:r>
      <w:r>
        <w:t xml:space="preserve"> with Stoic </w:t>
      </w:r>
      <w:r>
        <w:rPr>
          <w:i/>
        </w:rPr>
        <w:t>horm</w:t>
      </w:r>
      <w:r w:rsidRPr="00E33D2C">
        <w:rPr>
          <w:i/>
        </w:rPr>
        <w:t>ê</w:t>
      </w:r>
      <w:r>
        <w:t>, while Gerd Van Riel finds an Aristotelian basis for Augustine’s treatment of the will, mediated through Neoplatonism.</w:t>
      </w:r>
      <w:r w:rsidRPr="00284818">
        <w:t xml:space="preserve"> </w:t>
      </w:r>
      <w:r>
        <w:t xml:space="preserve">Sarah Byers, “The Meaning of </w:t>
      </w:r>
      <w:r>
        <w:rPr>
          <w:i/>
          <w:iCs/>
        </w:rPr>
        <w:t xml:space="preserve">Voluntas </w:t>
      </w:r>
      <w:r>
        <w:t xml:space="preserve">in Augustine,” </w:t>
      </w:r>
      <w:r>
        <w:rPr>
          <w:i/>
          <w:iCs/>
        </w:rPr>
        <w:t xml:space="preserve">Augustinian Studies </w:t>
      </w:r>
      <w:r>
        <w:t>37 (2006), 171-89.</w:t>
      </w:r>
      <w:r w:rsidRPr="00FB25E3">
        <w:rPr>
          <w:rFonts w:cs="Times New Roman"/>
        </w:rPr>
        <w:t xml:space="preserve"> </w:t>
      </w:r>
      <w:r>
        <w:rPr>
          <w:rFonts w:cs="Times New Roman"/>
        </w:rPr>
        <w:t xml:space="preserve">Gerd Van Riel, “Augustine's Will, an Aristotelian Notion? On the Antecedents of Augustine's Doctrine of the Will,” </w:t>
      </w:r>
      <w:r>
        <w:rPr>
          <w:rFonts w:cs="Times New Roman"/>
          <w:i/>
          <w:iCs/>
        </w:rPr>
        <w:t xml:space="preserve">Augustinian Studies </w:t>
      </w:r>
      <w:r>
        <w:rPr>
          <w:rFonts w:cs="Times New Roman"/>
        </w:rPr>
        <w:t>38 (2007), 255-279.</w:t>
      </w:r>
    </w:p>
  </w:footnote>
  <w:footnote w:id="32">
    <w:p w14:paraId="4F4176AC" w14:textId="1B1CEE52" w:rsidR="00672AB0" w:rsidRPr="00F52BF5" w:rsidRDefault="00672AB0" w:rsidP="0076306E">
      <w:pPr>
        <w:pStyle w:val="FootnoteText"/>
        <w:jc w:val="both"/>
      </w:pPr>
      <w:r>
        <w:rPr>
          <w:rStyle w:val="FootnoteReference"/>
        </w:rPr>
        <w:footnoteRef/>
      </w:r>
      <w:r>
        <w:t xml:space="preserve"> See Julian’s critique at </w:t>
      </w:r>
      <w:r>
        <w:rPr>
          <w:i/>
        </w:rPr>
        <w:t xml:space="preserve">C.Iul. </w:t>
      </w:r>
      <w:r>
        <w:t xml:space="preserve">III. 13. </w:t>
      </w:r>
      <w:r>
        <w:rPr>
          <w:rFonts w:cs="Times New Roman"/>
        </w:rPr>
        <w:t xml:space="preserve">It is also partly why not even Augustine’s Pelagian opponents, who were in some respects quite close to a libertarian account of the will (Cf. </w:t>
      </w:r>
      <w:r>
        <w:rPr>
          <w:i/>
        </w:rPr>
        <w:t>C.Iul.</w:t>
      </w:r>
      <w:r>
        <w:rPr>
          <w:rFonts w:cs="Times New Roman"/>
        </w:rPr>
        <w:t xml:space="preserve"> V. 56), can be fully regarded as proponents of the view.</w:t>
      </w:r>
    </w:p>
  </w:footnote>
  <w:footnote w:id="33">
    <w:p w14:paraId="5DB15C32" w14:textId="3B1FAE36" w:rsidR="00672AB0"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I. 35.</w:t>
      </w:r>
    </w:p>
  </w:footnote>
  <w:footnote w:id="34">
    <w:p w14:paraId="74FB7F9B" w14:textId="7F1D312F" w:rsidR="00672AB0" w:rsidRPr="00865675" w:rsidRDefault="00672AB0" w:rsidP="0076306E">
      <w:pPr>
        <w:pStyle w:val="FootnoteText"/>
        <w:jc w:val="both"/>
      </w:pPr>
      <w:r>
        <w:rPr>
          <w:rStyle w:val="FootnoteReference"/>
        </w:rPr>
        <w:footnoteRef/>
      </w:r>
      <w:r>
        <w:t xml:space="preserve"> </w:t>
      </w:r>
      <w:r>
        <w:rPr>
          <w:i/>
        </w:rPr>
        <w:t xml:space="preserve">Nat. et gr. </w:t>
      </w:r>
      <w:r>
        <w:t>3.</w:t>
      </w:r>
    </w:p>
  </w:footnote>
  <w:footnote w:id="35">
    <w:p w14:paraId="41A82B93" w14:textId="52DF7799" w:rsidR="00672AB0" w:rsidRPr="00FB71F0" w:rsidRDefault="00672AB0" w:rsidP="0076306E">
      <w:pPr>
        <w:pStyle w:val="FootnoteText"/>
        <w:jc w:val="both"/>
      </w:pPr>
      <w:r>
        <w:rPr>
          <w:rStyle w:val="FootnoteReference"/>
        </w:rPr>
        <w:footnoteRef/>
      </w:r>
      <w:r>
        <w:t xml:space="preserve"> </w:t>
      </w:r>
      <w:r>
        <w:rPr>
          <w:i/>
        </w:rPr>
        <w:t>C.Iul.</w:t>
      </w:r>
      <w:r>
        <w:t xml:space="preserve"> III. 11.</w:t>
      </w:r>
    </w:p>
  </w:footnote>
  <w:footnote w:id="36">
    <w:p w14:paraId="30C0A53B" w14:textId="641B0FD1" w:rsidR="00672AB0" w:rsidRDefault="00672AB0" w:rsidP="0076306E">
      <w:pPr>
        <w:pStyle w:val="FootnoteText"/>
        <w:jc w:val="both"/>
      </w:pPr>
      <w:r>
        <w:rPr>
          <w:rStyle w:val="FootnoteReference"/>
        </w:rPr>
        <w:footnoteRef/>
      </w:r>
      <w:r>
        <w:t xml:space="preserve"> Cf. Couenhoven (2007).</w:t>
      </w:r>
    </w:p>
  </w:footnote>
  <w:footnote w:id="37">
    <w:p w14:paraId="43F05A8F" w14:textId="5E68F8E2" w:rsidR="00672AB0" w:rsidRPr="002007CF" w:rsidRDefault="00672AB0" w:rsidP="0076306E">
      <w:pPr>
        <w:pStyle w:val="FootnoteText"/>
        <w:jc w:val="both"/>
      </w:pPr>
      <w:r>
        <w:rPr>
          <w:rStyle w:val="FootnoteReference"/>
        </w:rPr>
        <w:footnoteRef/>
      </w:r>
      <w:r>
        <w:t xml:space="preserve"> </w:t>
      </w:r>
      <w:r>
        <w:rPr>
          <w:i/>
        </w:rPr>
        <w:t xml:space="preserve">QT </w:t>
      </w:r>
      <w:r>
        <w:t>42 = CCSG 7: 285 = BW 119 (alt).</w:t>
      </w:r>
    </w:p>
  </w:footnote>
  <w:footnote w:id="38">
    <w:p w14:paraId="13BE08D7" w14:textId="28AB667F" w:rsidR="00672AB0" w:rsidRPr="004525BE" w:rsidRDefault="00672AB0" w:rsidP="0076306E">
      <w:pPr>
        <w:pStyle w:val="FootnoteText"/>
        <w:jc w:val="both"/>
      </w:pPr>
      <w:r>
        <w:rPr>
          <w:rStyle w:val="FootnoteReference"/>
        </w:rPr>
        <w:footnoteRef/>
      </w:r>
      <w:r>
        <w:t xml:space="preserve"> </w:t>
      </w:r>
      <w:r>
        <w:rPr>
          <w:i/>
        </w:rPr>
        <w:t>Amb</w:t>
      </w:r>
      <w:r>
        <w:t xml:space="preserve"> 10. 28 = PG 91: 1156C = Louth, 126 (alt.).</w:t>
      </w:r>
    </w:p>
  </w:footnote>
  <w:footnote w:id="39">
    <w:p w14:paraId="77D4B9B5" w14:textId="361BEC1B" w:rsidR="00672AB0" w:rsidRPr="0004348B" w:rsidRDefault="00672AB0" w:rsidP="0076306E">
      <w:pPr>
        <w:pStyle w:val="FootnoteText"/>
        <w:jc w:val="both"/>
      </w:pPr>
      <w:r>
        <w:rPr>
          <w:rStyle w:val="FootnoteReference"/>
        </w:rPr>
        <w:footnoteRef/>
      </w:r>
      <w:r>
        <w:t xml:space="preserve"> </w:t>
      </w:r>
      <w:r>
        <w:rPr>
          <w:i/>
        </w:rPr>
        <w:t xml:space="preserve">QT </w:t>
      </w:r>
      <w:r>
        <w:t>42 = CCSG 7: 287 = BW 121 (alt).</w:t>
      </w:r>
    </w:p>
  </w:footnote>
  <w:footnote w:id="40">
    <w:p w14:paraId="6EBF5047" w14:textId="022C6A0B" w:rsidR="00672AB0" w:rsidRPr="00CB6997" w:rsidRDefault="00672AB0" w:rsidP="0076306E">
      <w:pPr>
        <w:pStyle w:val="FootnoteText"/>
        <w:jc w:val="both"/>
      </w:pPr>
      <w:r>
        <w:rPr>
          <w:rStyle w:val="FootnoteReference"/>
        </w:rPr>
        <w:footnoteRef/>
      </w:r>
      <w:r>
        <w:t xml:space="preserve"> </w:t>
      </w:r>
      <w:r>
        <w:rPr>
          <w:i/>
        </w:rPr>
        <w:t xml:space="preserve">QT </w:t>
      </w:r>
      <w:r>
        <w:t>62 = CCSG 22: 123.</w:t>
      </w:r>
    </w:p>
  </w:footnote>
  <w:footnote w:id="41">
    <w:p w14:paraId="5ACAB81F" w14:textId="64C51703" w:rsidR="00672AB0" w:rsidRPr="00C53BC7" w:rsidRDefault="00672AB0" w:rsidP="0076306E">
      <w:pPr>
        <w:pStyle w:val="FootnoteText"/>
        <w:jc w:val="both"/>
      </w:pPr>
      <w:r>
        <w:rPr>
          <w:rStyle w:val="FootnoteReference"/>
        </w:rPr>
        <w:footnoteRef/>
      </w:r>
      <w:r>
        <w:t xml:space="preserve"> E.g. </w:t>
      </w:r>
      <w:r>
        <w:rPr>
          <w:i/>
        </w:rPr>
        <w:t>Amb</w:t>
      </w:r>
      <w:r>
        <w:t>. 10. 28 = PG 91: 1156C-D = Louth, 126.</w:t>
      </w:r>
    </w:p>
  </w:footnote>
  <w:footnote w:id="42">
    <w:p w14:paraId="29A8F7B1" w14:textId="2C1824BC" w:rsidR="00672AB0" w:rsidRDefault="00672AB0" w:rsidP="0076306E">
      <w:pPr>
        <w:pStyle w:val="FootnoteText"/>
        <w:tabs>
          <w:tab w:val="left" w:pos="3270"/>
        </w:tabs>
        <w:jc w:val="both"/>
      </w:pPr>
      <w:r>
        <w:rPr>
          <w:rStyle w:val="FootnoteReference"/>
        </w:rPr>
        <w:footnoteRef/>
      </w:r>
      <w:r>
        <w:t xml:space="preserve"> </w:t>
      </w:r>
      <w:r>
        <w:rPr>
          <w:i/>
          <w:iCs/>
        </w:rPr>
        <w:t>Lib.arb.</w:t>
      </w:r>
      <w:r>
        <w:rPr>
          <w:rFonts w:cs="Times New Roman"/>
          <w:i/>
        </w:rPr>
        <w:t xml:space="preserve"> </w:t>
      </w:r>
      <w:r>
        <w:rPr>
          <w:rFonts w:cs="Times New Roman"/>
        </w:rPr>
        <w:t>I. 30.</w:t>
      </w:r>
    </w:p>
  </w:footnote>
  <w:footnote w:id="43">
    <w:p w14:paraId="69B29D2D" w14:textId="58CAF769" w:rsidR="00672AB0"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II. 7.</w:t>
      </w:r>
    </w:p>
  </w:footnote>
  <w:footnote w:id="44">
    <w:p w14:paraId="6A1A806D" w14:textId="0B97A327" w:rsidR="00672AB0"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II. 50, 53.</w:t>
      </w:r>
    </w:p>
  </w:footnote>
  <w:footnote w:id="45">
    <w:p w14:paraId="4165F1F3" w14:textId="1A000984" w:rsidR="00672AB0" w:rsidRDefault="00672AB0" w:rsidP="0076306E">
      <w:pPr>
        <w:pStyle w:val="FootnoteText"/>
        <w:jc w:val="both"/>
      </w:pPr>
      <w:r>
        <w:rPr>
          <w:rStyle w:val="FootnoteReference"/>
        </w:rPr>
        <w:footnoteRef/>
      </w:r>
      <w:r>
        <w:t xml:space="preserve"> </w:t>
      </w:r>
      <w:r>
        <w:rPr>
          <w:i/>
        </w:rPr>
        <w:t>C.Iul.</w:t>
      </w:r>
      <w:r>
        <w:rPr>
          <w:rFonts w:cs="Times New Roman"/>
          <w:i/>
        </w:rPr>
        <w:t xml:space="preserve"> </w:t>
      </w:r>
      <w:r>
        <w:rPr>
          <w:rFonts w:cs="Times New Roman"/>
        </w:rPr>
        <w:t xml:space="preserve">V. 8; </w:t>
      </w:r>
      <w:r>
        <w:rPr>
          <w:rFonts w:cs="Times New Roman"/>
          <w:i/>
        </w:rPr>
        <w:t xml:space="preserve">nupt.et conc. </w:t>
      </w:r>
      <w:r>
        <w:rPr>
          <w:rFonts w:cs="Times New Roman"/>
        </w:rPr>
        <w:t>I. 7.</w:t>
      </w:r>
    </w:p>
  </w:footnote>
  <w:footnote w:id="46">
    <w:p w14:paraId="0D5C631F" w14:textId="0C6B6049" w:rsidR="00672AB0" w:rsidRPr="005D5C17" w:rsidRDefault="00672AB0" w:rsidP="0076306E">
      <w:pPr>
        <w:pStyle w:val="FootnoteText"/>
        <w:jc w:val="both"/>
      </w:pPr>
      <w:r>
        <w:rPr>
          <w:rStyle w:val="FootnoteReference"/>
        </w:rPr>
        <w:footnoteRef/>
      </w:r>
      <w:r>
        <w:t xml:space="preserve"> See </w:t>
      </w:r>
      <w:r>
        <w:rPr>
          <w:i/>
        </w:rPr>
        <w:t xml:space="preserve">Amb. </w:t>
      </w:r>
      <w:r>
        <w:t xml:space="preserve">31; 42; </w:t>
      </w:r>
      <w:r>
        <w:rPr>
          <w:i/>
        </w:rPr>
        <w:t xml:space="preserve">QT </w:t>
      </w:r>
      <w:r>
        <w:t>21, 42, 61, passim.</w:t>
      </w:r>
    </w:p>
  </w:footnote>
  <w:footnote w:id="47">
    <w:p w14:paraId="49932221" w14:textId="25442767" w:rsidR="00672AB0" w:rsidRPr="008D491F" w:rsidRDefault="00672AB0" w:rsidP="00A61279">
      <w:pPr>
        <w:pStyle w:val="FootnoteText"/>
        <w:jc w:val="both"/>
      </w:pPr>
      <w:r>
        <w:rPr>
          <w:rStyle w:val="FootnoteReference"/>
        </w:rPr>
        <w:footnoteRef/>
      </w:r>
      <w:r>
        <w:rPr>
          <w:rFonts w:cs="Times New Roman"/>
        </w:rPr>
        <w:t>Hence Maximus writes, “Our forefather Adam, however, used his freedom to turn toward what was worse and to direct his desire away from what had been permitted to what was forbidden (</w:t>
      </w:r>
      <w:r>
        <w:rPr>
          <w:rFonts w:cs="Times New Roman"/>
          <w:i/>
        </w:rPr>
        <w:t xml:space="preserve">Amb. </w:t>
      </w:r>
      <w:r>
        <w:rPr>
          <w:rFonts w:cs="Times New Roman"/>
        </w:rPr>
        <w:t xml:space="preserve">7 = PG 91:1092C = BW p. 66). Cf. </w:t>
      </w:r>
      <w:r>
        <w:rPr>
          <w:rFonts w:cs="Times New Roman"/>
          <w:i/>
        </w:rPr>
        <w:t xml:space="preserve">QT </w:t>
      </w:r>
      <w:r>
        <w:rPr>
          <w:rFonts w:cs="Times New Roman"/>
        </w:rPr>
        <w:t xml:space="preserve">42 = CCEL 7: 285-87 = BW 120; </w:t>
      </w:r>
      <w:r>
        <w:rPr>
          <w:i/>
          <w:iCs/>
        </w:rPr>
        <w:t>Lib.arb.</w:t>
      </w:r>
      <w:r>
        <w:rPr>
          <w:rFonts w:cs="Times New Roman"/>
          <w:i/>
        </w:rPr>
        <w:t xml:space="preserve"> </w:t>
      </w:r>
      <w:r>
        <w:rPr>
          <w:rFonts w:cs="Times New Roman"/>
        </w:rPr>
        <w:t>II. 53.</w:t>
      </w:r>
    </w:p>
  </w:footnote>
  <w:footnote w:id="48">
    <w:p w14:paraId="2BFC5855" w14:textId="6AEE921D" w:rsidR="00672AB0" w:rsidRPr="000D3272" w:rsidRDefault="00672AB0" w:rsidP="0076306E">
      <w:pPr>
        <w:pStyle w:val="FootnoteText"/>
        <w:jc w:val="both"/>
      </w:pPr>
      <w:r>
        <w:rPr>
          <w:rStyle w:val="FootnoteReference"/>
        </w:rPr>
        <w:footnoteRef/>
      </w:r>
      <w:r>
        <w:t xml:space="preserve"> </w:t>
      </w:r>
      <w:r>
        <w:rPr>
          <w:i/>
        </w:rPr>
        <w:t>Amb</w:t>
      </w:r>
      <w:r>
        <w:t>. 7. 2 = PG 91: 1085A = BW 61.</w:t>
      </w:r>
    </w:p>
  </w:footnote>
  <w:footnote w:id="49">
    <w:p w14:paraId="52CE5473" w14:textId="51C3D29A" w:rsidR="00672AB0" w:rsidRPr="007F6E94" w:rsidRDefault="00672AB0" w:rsidP="0076306E">
      <w:pPr>
        <w:pStyle w:val="FootnoteText"/>
        <w:jc w:val="both"/>
      </w:pPr>
      <w:r>
        <w:rPr>
          <w:rStyle w:val="FootnoteReference"/>
        </w:rPr>
        <w:footnoteRef/>
      </w:r>
      <w:r>
        <w:t xml:space="preserve"> </w:t>
      </w:r>
      <w:r>
        <w:rPr>
          <w:i/>
        </w:rPr>
        <w:t xml:space="preserve">QT </w:t>
      </w:r>
      <w:r>
        <w:t>42 = CCEL 7:287 = BW 120-21.</w:t>
      </w:r>
    </w:p>
  </w:footnote>
  <w:footnote w:id="50">
    <w:p w14:paraId="3373F609" w14:textId="24ABCD4E" w:rsidR="00672AB0" w:rsidRDefault="00672AB0" w:rsidP="0076306E">
      <w:pPr>
        <w:pStyle w:val="FootnoteText"/>
        <w:jc w:val="both"/>
      </w:pPr>
      <w:r>
        <w:rPr>
          <w:rStyle w:val="FootnoteReference"/>
        </w:rPr>
        <w:footnoteRef/>
      </w:r>
      <w:r>
        <w:t xml:space="preserve"> W. </w:t>
      </w:r>
      <w:r w:rsidRPr="00D07588">
        <w:rPr>
          <w:rFonts w:cs="Times New Roman"/>
          <w:lang w:val="fr-FR"/>
        </w:rPr>
        <w:t xml:space="preserve">Rordorf, “Saint Augustin et la Tradition Philosophique Antifataliste: A Propos de </w:t>
      </w:r>
      <w:r w:rsidRPr="00D07588">
        <w:rPr>
          <w:rFonts w:cs="Times New Roman"/>
          <w:i/>
          <w:iCs/>
          <w:lang w:val="fr-FR"/>
        </w:rPr>
        <w:t xml:space="preserve">De Civ. </w:t>
      </w:r>
      <w:r>
        <w:rPr>
          <w:rFonts w:cs="Times New Roman"/>
          <w:i/>
          <w:iCs/>
        </w:rPr>
        <w:t>Dei</w:t>
      </w:r>
      <w:r>
        <w:rPr>
          <w:rFonts w:cs="Times New Roman"/>
        </w:rPr>
        <w:t xml:space="preserve"> 5.1-11.” </w:t>
      </w:r>
      <w:r>
        <w:rPr>
          <w:rFonts w:cs="Times New Roman"/>
          <w:i/>
          <w:iCs/>
        </w:rPr>
        <w:t>Vigiliae Christianae</w:t>
      </w:r>
      <w:r>
        <w:rPr>
          <w:rFonts w:cs="Times New Roman"/>
        </w:rPr>
        <w:t xml:space="preserve"> 28 </w:t>
      </w:r>
      <w:r>
        <w:rPr>
          <w:rFonts w:cs="Times New Roman"/>
          <w:lang w:val="fr-FR"/>
        </w:rPr>
        <w:t>(1974)</w:t>
      </w:r>
      <w:r>
        <w:rPr>
          <w:rFonts w:cs="Times New Roman"/>
        </w:rPr>
        <w:t xml:space="preserve">, 190-202, </w:t>
      </w:r>
      <w:r>
        <w:t>199.</w:t>
      </w:r>
    </w:p>
  </w:footnote>
  <w:footnote w:id="51">
    <w:p w14:paraId="3C5D5C05" w14:textId="1FE04B0A" w:rsidR="00672AB0" w:rsidRDefault="00672AB0" w:rsidP="0076306E">
      <w:pPr>
        <w:pStyle w:val="FootnoteText"/>
        <w:jc w:val="both"/>
      </w:pPr>
      <w:r>
        <w:rPr>
          <w:rStyle w:val="FootnoteReference"/>
        </w:rPr>
        <w:footnoteRef/>
      </w:r>
      <w:r>
        <w:t xml:space="preserve"> T. D. J. Chappell, “Explaining the Inexplicable: Augustine on the Fall” </w:t>
      </w:r>
      <w:r>
        <w:rPr>
          <w:i/>
          <w:iCs/>
        </w:rPr>
        <w:t>Journal of the American Academy of Religion</w:t>
      </w:r>
      <w:r>
        <w:t xml:space="preserve"> 62 (1994), 869-884, 869-72.</w:t>
      </w:r>
    </w:p>
  </w:footnote>
  <w:footnote w:id="52">
    <w:p w14:paraId="59D3E6D3" w14:textId="123DBA37" w:rsidR="00672AB0" w:rsidRDefault="00672AB0" w:rsidP="0076306E">
      <w:pPr>
        <w:pStyle w:val="FootnoteText"/>
        <w:jc w:val="both"/>
      </w:pPr>
      <w:r>
        <w:rPr>
          <w:rStyle w:val="FootnoteReference"/>
        </w:rPr>
        <w:footnoteRef/>
      </w:r>
      <w:r>
        <w:t xml:space="preserve"> Burns (1988), </w:t>
      </w:r>
      <w:r>
        <w:rPr>
          <w:rFonts w:cs="Times New Roman"/>
        </w:rPr>
        <w:t>15.</w:t>
      </w:r>
    </w:p>
  </w:footnote>
  <w:footnote w:id="53">
    <w:p w14:paraId="62DFAC29" w14:textId="56BECD36" w:rsidR="00672AB0" w:rsidRPr="00407608" w:rsidRDefault="00672AB0" w:rsidP="0076306E">
      <w:pPr>
        <w:pStyle w:val="FootnoteText"/>
        <w:jc w:val="both"/>
      </w:pPr>
      <w:r>
        <w:rPr>
          <w:rStyle w:val="FootnoteReference"/>
        </w:rPr>
        <w:footnoteRef/>
      </w:r>
      <w:r>
        <w:t xml:space="preserve"> </w:t>
      </w:r>
      <w:r>
        <w:rPr>
          <w:i/>
        </w:rPr>
        <w:t xml:space="preserve">Civ.Dei </w:t>
      </w:r>
      <w:r>
        <w:t xml:space="preserve">XII. 7. Tr. Taken from McCracken &amp; Green (London: Loeb Classical Library, 1957-1972). Cf. </w:t>
      </w:r>
      <w:r>
        <w:rPr>
          <w:i/>
          <w:iCs/>
        </w:rPr>
        <w:t>Lib.arb.</w:t>
      </w:r>
      <w:r>
        <w:t xml:space="preserve"> II. 54.</w:t>
      </w:r>
    </w:p>
  </w:footnote>
  <w:footnote w:id="54">
    <w:p w14:paraId="585124E4" w14:textId="77777777" w:rsidR="00672AB0" w:rsidRPr="00130BC1" w:rsidRDefault="00672AB0" w:rsidP="0076306E">
      <w:pPr>
        <w:pStyle w:val="FootnoteText"/>
        <w:jc w:val="both"/>
      </w:pPr>
      <w:r>
        <w:rPr>
          <w:rStyle w:val="FootnoteReference"/>
        </w:rPr>
        <w:footnoteRef/>
      </w:r>
      <w:r>
        <w:t xml:space="preserve"> </w:t>
      </w:r>
      <w:r>
        <w:rPr>
          <w:i/>
        </w:rPr>
        <w:t xml:space="preserve">QT </w:t>
      </w:r>
      <w:r>
        <w:t>64 = CCSG 22: 239 = BW 170-71.</w:t>
      </w:r>
    </w:p>
  </w:footnote>
  <w:footnote w:id="55">
    <w:p w14:paraId="6BA90E84" w14:textId="3AE03428" w:rsidR="00672AB0" w:rsidRDefault="00672AB0" w:rsidP="0076306E">
      <w:pPr>
        <w:pStyle w:val="FootnoteText"/>
        <w:jc w:val="both"/>
      </w:pPr>
      <w:r>
        <w:rPr>
          <w:rStyle w:val="FootnoteReference"/>
        </w:rPr>
        <w:footnoteRef/>
      </w:r>
      <w:r>
        <w:t xml:space="preserve"> The “law of pleasure” is the uniquely postlapsarian natural order of generation and corruption, wherein substantial generation is brought about by sexual intercourse, and augmentation by food intake. ‘Law’ here (</w:t>
      </w:r>
      <w:r w:rsidRPr="00885BBB">
        <w:rPr>
          <w:rFonts w:cs="Times New Roman"/>
        </w:rPr>
        <w:t>νόμος</w:t>
      </w:r>
      <w:r>
        <w:rPr>
          <w:rFonts w:cs="Times New Roman"/>
        </w:rPr>
        <w:t>)</w:t>
      </w:r>
      <w:r>
        <w:t xml:space="preserve"> refers not so much to a propositional mandate as to the real, ruling idea behind such mandates.</w:t>
      </w:r>
    </w:p>
  </w:footnote>
  <w:footnote w:id="56">
    <w:p w14:paraId="2D1F91C5" w14:textId="6977DBBA" w:rsidR="00672AB0" w:rsidRPr="00A40AD7" w:rsidRDefault="00672AB0" w:rsidP="0076306E">
      <w:pPr>
        <w:pStyle w:val="FootnoteText"/>
        <w:jc w:val="both"/>
      </w:pPr>
      <w:r>
        <w:rPr>
          <w:rStyle w:val="FootnoteReference"/>
        </w:rPr>
        <w:footnoteRef/>
      </w:r>
      <w:r>
        <w:t xml:space="preserve"> </w:t>
      </w:r>
      <w:r>
        <w:rPr>
          <w:i/>
        </w:rPr>
        <w:t xml:space="preserve">QT </w:t>
      </w:r>
      <w:r>
        <w:t>61 = CCSG 22: 85-87= BW 132 (alt.).</w:t>
      </w:r>
    </w:p>
  </w:footnote>
  <w:footnote w:id="57">
    <w:p w14:paraId="7A8369F8" w14:textId="1430C205" w:rsidR="00672AB0" w:rsidRDefault="00672AB0" w:rsidP="0076306E">
      <w:pPr>
        <w:pStyle w:val="FootnoteText"/>
        <w:jc w:val="both"/>
      </w:pPr>
      <w:r>
        <w:rPr>
          <w:rStyle w:val="FootnoteReference"/>
        </w:rPr>
        <w:footnoteRef/>
      </w:r>
      <w:r>
        <w:t xml:space="preserve"> Maximus may be using ‘cause’ in a non-Aristotelian way, though this seems unlikely. Final causes are ends, and so temporally posterior to their effects; formal and material causes are intrinsic, and therefore not distinct from their effects. Efficient causes are both extrinsic and prior to their effects.</w:t>
      </w:r>
    </w:p>
  </w:footnote>
  <w:footnote w:id="58">
    <w:p w14:paraId="21CE24BA" w14:textId="07AF6957" w:rsidR="00672AB0" w:rsidRDefault="00672AB0" w:rsidP="0076306E">
      <w:pPr>
        <w:pStyle w:val="FootnoteText"/>
        <w:jc w:val="both"/>
      </w:pPr>
      <w:r>
        <w:rPr>
          <w:rStyle w:val="FootnoteReference"/>
        </w:rPr>
        <w:footnoteRef/>
      </w:r>
      <w:r>
        <w:t xml:space="preserve"> Gen 3: 6 (RSV). Maximus never explicitly discusses Eve’s sin in contradistinction from Adam’s. This is partly because Eve doesn’t play a direct role in the Adam/Christ typology Maximus seeks to exploit in most of his discussions of the Fall. But it may also be because he sees no relevant difference in the character of each’s sin, and hence no need to address Eve’s separately.</w:t>
      </w:r>
    </w:p>
  </w:footnote>
  <w:footnote w:id="59">
    <w:p w14:paraId="4AC2C28D" w14:textId="39EDB5DD" w:rsidR="00672AB0" w:rsidRPr="00C67E3A" w:rsidRDefault="00672AB0" w:rsidP="0076306E">
      <w:pPr>
        <w:pStyle w:val="FootnoteText"/>
        <w:jc w:val="both"/>
      </w:pPr>
      <w:r>
        <w:rPr>
          <w:rStyle w:val="FootnoteReference"/>
        </w:rPr>
        <w:footnoteRef/>
      </w:r>
      <w:r>
        <w:t xml:space="preserve"> </w:t>
      </w:r>
      <w:r>
        <w:rPr>
          <w:i/>
        </w:rPr>
        <w:t xml:space="preserve">Amb. </w:t>
      </w:r>
      <w:r>
        <w:t xml:space="preserve">42 = PG 91: 1321B = BW 85; </w:t>
      </w:r>
      <w:r>
        <w:rPr>
          <w:i/>
        </w:rPr>
        <w:t xml:space="preserve">QT </w:t>
      </w:r>
      <w:r>
        <w:t>61 = CCSG 22: 85 = BW 131.</w:t>
      </w:r>
    </w:p>
  </w:footnote>
  <w:footnote w:id="60">
    <w:p w14:paraId="5A205F56" w14:textId="7DF3F28E" w:rsidR="00672AB0" w:rsidRDefault="00672AB0" w:rsidP="0076306E">
      <w:pPr>
        <w:pStyle w:val="FootnoteText"/>
        <w:jc w:val="both"/>
      </w:pPr>
      <w:r>
        <w:rPr>
          <w:rStyle w:val="FootnoteReference"/>
        </w:rPr>
        <w:footnoteRef/>
      </w:r>
      <w:r>
        <w:t xml:space="preserve"> Note though that even when we do find appeals to spontaneity of a sort, as we do here, it does not enter Maximus’ mind to attach this spontaneity to </w:t>
      </w:r>
      <w:r>
        <w:rPr>
          <w:i/>
        </w:rPr>
        <w:t>choice</w:t>
      </w:r>
      <w:r>
        <w:t>: Maximus takes for granted that choice is always consequent upon the motivating factors involved in experiences of pleasure and pain, and sooner attaches spontaneity to the pleasure itself.</w:t>
      </w:r>
    </w:p>
  </w:footnote>
  <w:footnote w:id="61">
    <w:p w14:paraId="553FCBEF" w14:textId="48BFBDFD" w:rsidR="00672AB0" w:rsidRDefault="00672AB0" w:rsidP="0076306E">
      <w:pPr>
        <w:pStyle w:val="FootnoteText"/>
        <w:jc w:val="both"/>
      </w:pPr>
      <w:r>
        <w:rPr>
          <w:rStyle w:val="FootnoteReference"/>
        </w:rPr>
        <w:footnoteRef/>
      </w:r>
      <w:r>
        <w:t xml:space="preserve"> Greer (1996); Rogers (2004).</w:t>
      </w:r>
    </w:p>
  </w:footnote>
  <w:footnote w:id="62">
    <w:p w14:paraId="72B682E1" w14:textId="7EF32AC5" w:rsidR="00672AB0" w:rsidRDefault="00672AB0" w:rsidP="0076306E">
      <w:pPr>
        <w:pStyle w:val="FootnoteText"/>
        <w:jc w:val="both"/>
      </w:pPr>
      <w:r>
        <w:rPr>
          <w:rStyle w:val="FootnoteReference"/>
        </w:rPr>
        <w:footnoteRef/>
      </w:r>
      <w:r>
        <w:t xml:space="preserve"> As they are viewed in, e.g., Rordorf (1974).</w:t>
      </w:r>
    </w:p>
  </w:footnote>
  <w:footnote w:id="63">
    <w:p w14:paraId="1E6C55F0" w14:textId="77AB0A87" w:rsidR="00672AB0" w:rsidRDefault="00672AB0" w:rsidP="0076306E">
      <w:pPr>
        <w:pStyle w:val="FootnoteText"/>
        <w:jc w:val="both"/>
      </w:pPr>
      <w:r>
        <w:rPr>
          <w:rStyle w:val="FootnoteReference"/>
        </w:rPr>
        <w:footnoteRef/>
      </w:r>
      <w:r>
        <w:t xml:space="preserve"> This is why libertarianism appears to be the default understanding of the will today, even when it is rejected. Interestingly, this recognition leaves modern accounts of human willing far more theologized than their ancient counterparts.</w:t>
      </w:r>
    </w:p>
  </w:footnote>
  <w:footnote w:id="64">
    <w:p w14:paraId="2D42F901" w14:textId="26D48EB9" w:rsidR="00672AB0" w:rsidRDefault="00672AB0" w:rsidP="0076306E">
      <w:pPr>
        <w:pStyle w:val="FootnoteText"/>
        <w:jc w:val="both"/>
      </w:pPr>
      <w:r>
        <w:rPr>
          <w:rStyle w:val="FootnoteReference"/>
        </w:rPr>
        <w:footnoteRef/>
      </w:r>
      <w:r>
        <w:t xml:space="preserve"> This is why it was altogether common to find free-will descriptions of the Fall not contrasted, but paired with descriptions of the Fall as a failure of insight. Cf. Gregory of Nyssa, </w:t>
      </w:r>
      <w:r>
        <w:rPr>
          <w:i/>
        </w:rPr>
        <w:t>or. cat.</w:t>
      </w:r>
      <w:r>
        <w:t xml:space="preserve"> 5 = PG 45: 20-26.</w:t>
      </w:r>
    </w:p>
  </w:footnote>
  <w:footnote w:id="65">
    <w:p w14:paraId="1C93E0E0" w14:textId="361B1047" w:rsidR="00672AB0" w:rsidRPr="008F39A4" w:rsidRDefault="00672AB0" w:rsidP="0076306E">
      <w:pPr>
        <w:pStyle w:val="FootnoteText"/>
        <w:jc w:val="both"/>
      </w:pPr>
      <w:r>
        <w:rPr>
          <w:rStyle w:val="FootnoteReference"/>
        </w:rPr>
        <w:footnoteRef/>
      </w:r>
      <w:r>
        <w:t xml:space="preserve"> </w:t>
      </w:r>
      <w:r>
        <w:rPr>
          <w:i/>
        </w:rPr>
        <w:t xml:space="preserve">Civ.Dei </w:t>
      </w:r>
      <w:r>
        <w:t>XII. 6.</w:t>
      </w:r>
    </w:p>
  </w:footnote>
  <w:footnote w:id="66">
    <w:p w14:paraId="2583116C" w14:textId="2D91AD57" w:rsidR="00672AB0" w:rsidRDefault="00672AB0" w:rsidP="0076306E">
      <w:pPr>
        <w:pStyle w:val="FootnoteText"/>
        <w:jc w:val="both"/>
      </w:pPr>
      <w:r>
        <w:rPr>
          <w:rStyle w:val="FootnoteReference"/>
        </w:rPr>
        <w:footnoteRef/>
      </w:r>
      <w:r>
        <w:t xml:space="preserve"> Louth 64.</w:t>
      </w:r>
    </w:p>
  </w:footnote>
  <w:footnote w:id="67">
    <w:p w14:paraId="42CB1F37" w14:textId="1140F9C0" w:rsidR="00672AB0" w:rsidRPr="00545EAB" w:rsidRDefault="00672AB0" w:rsidP="0076306E">
      <w:pPr>
        <w:pStyle w:val="FootnoteText"/>
        <w:jc w:val="both"/>
      </w:pPr>
      <w:r>
        <w:rPr>
          <w:rStyle w:val="FootnoteReference"/>
        </w:rPr>
        <w:footnoteRef/>
      </w:r>
      <w:r>
        <w:t xml:space="preserve"> </w:t>
      </w:r>
      <w:r>
        <w:rPr>
          <w:rFonts w:cs="Times New Roman"/>
          <w:i/>
          <w:lang w:val="fr-FR"/>
        </w:rPr>
        <w:t xml:space="preserve">C.Iul.imp. </w:t>
      </w:r>
      <w:r>
        <w:t xml:space="preserve">V. 37-38. Translation taken from Rogers (2004), 428-29. Cf. </w:t>
      </w:r>
      <w:r>
        <w:rPr>
          <w:i/>
        </w:rPr>
        <w:t xml:space="preserve">C.Iul. </w:t>
      </w:r>
      <w:r>
        <w:t xml:space="preserve">I. 36-38; </w:t>
      </w:r>
      <w:r>
        <w:rPr>
          <w:i/>
        </w:rPr>
        <w:t xml:space="preserve">Civ.Dei </w:t>
      </w:r>
      <w:r>
        <w:t>XII. 1, 6; XIV. 13; Couenhoven (2005), 365-66.</w:t>
      </w:r>
    </w:p>
  </w:footnote>
  <w:footnote w:id="68">
    <w:p w14:paraId="156E5B6B" w14:textId="2784B33F" w:rsidR="00672AB0" w:rsidRDefault="00672AB0" w:rsidP="0076306E">
      <w:pPr>
        <w:pStyle w:val="FootnoteText"/>
        <w:jc w:val="both"/>
      </w:pPr>
      <w:r>
        <w:rPr>
          <w:rStyle w:val="FootnoteReference"/>
        </w:rPr>
        <w:footnoteRef/>
      </w:r>
      <w:r>
        <w:t xml:space="preserve"> </w:t>
      </w:r>
      <w:r>
        <w:rPr>
          <w:rFonts w:cs="Times New Roman"/>
        </w:rPr>
        <w:t>Couenhoven (2007), 286-87.</w:t>
      </w:r>
    </w:p>
  </w:footnote>
  <w:footnote w:id="69">
    <w:p w14:paraId="0BEC2E84" w14:textId="21D0F97A" w:rsidR="00672AB0" w:rsidRPr="003C4B1A" w:rsidRDefault="00672AB0" w:rsidP="0076306E">
      <w:pPr>
        <w:pStyle w:val="FootnoteText"/>
        <w:jc w:val="both"/>
      </w:pPr>
      <w:r>
        <w:rPr>
          <w:rStyle w:val="FootnoteReference"/>
        </w:rPr>
        <w:footnoteRef/>
      </w:r>
      <w:r>
        <w:t xml:space="preserve"> A scholium on </w:t>
      </w:r>
      <w:r>
        <w:rPr>
          <w:i/>
        </w:rPr>
        <w:t xml:space="preserve">QT </w:t>
      </w:r>
      <w:r>
        <w:t>21 summarizes this distinction nicely. “[Maximus] calls the original formation of man by God his origin (</w:t>
      </w:r>
      <w:r>
        <w:rPr>
          <w:rFonts w:cs="Times New Roman"/>
        </w:rPr>
        <w:t>γένεσις</w:t>
      </w:r>
      <w:r>
        <w:t>), and the succession of the race by mutual [sexual] relations, which was subsequently imposed by divine judgment as a consequence of man’s transgression, his procreation (</w:t>
      </w:r>
      <w:r>
        <w:rPr>
          <w:rFonts w:cs="Times New Roman"/>
        </w:rPr>
        <w:t>γέννησις</w:t>
      </w:r>
      <w:r>
        <w:t xml:space="preserve">).” </w:t>
      </w:r>
      <w:r>
        <w:rPr>
          <w:i/>
        </w:rPr>
        <w:t xml:space="preserve">QT </w:t>
      </w:r>
      <w:r>
        <w:t xml:space="preserve">21 = CCSG 7: 133 = BW 109 n. 2. The earliest scholia on the Greek text, including this one, are already found in Eriugena’s Latin translation, and so must antedate it. The editors of the </w:t>
      </w:r>
      <w:r>
        <w:rPr>
          <w:i/>
        </w:rPr>
        <w:t xml:space="preserve">QT </w:t>
      </w:r>
      <w:r>
        <w:t>suggest the scholia may come from Maximus himself. CCSG 7: XII-XIII.</w:t>
      </w:r>
    </w:p>
  </w:footnote>
  <w:footnote w:id="70">
    <w:p w14:paraId="5C584A83" w14:textId="68BA046E" w:rsidR="00672AB0" w:rsidRPr="00BA4006" w:rsidRDefault="00672AB0" w:rsidP="0076306E">
      <w:pPr>
        <w:pStyle w:val="FootnoteText"/>
        <w:jc w:val="both"/>
      </w:pPr>
      <w:r>
        <w:rPr>
          <w:rStyle w:val="FootnoteReference"/>
        </w:rPr>
        <w:footnoteRef/>
      </w:r>
      <w:r>
        <w:t xml:space="preserve"> </w:t>
      </w:r>
      <w:r>
        <w:rPr>
          <w:i/>
        </w:rPr>
        <w:t xml:space="preserve">QT </w:t>
      </w:r>
      <w:r>
        <w:t>42 = CCSG 7: 287 = BW 121.</w:t>
      </w:r>
    </w:p>
  </w:footnote>
  <w:footnote w:id="71">
    <w:p w14:paraId="2630FD99" w14:textId="5BC35CA8" w:rsidR="00672AB0" w:rsidRPr="00016BD8" w:rsidRDefault="00672AB0" w:rsidP="0076306E">
      <w:pPr>
        <w:pStyle w:val="FootnoteText"/>
        <w:jc w:val="both"/>
      </w:pPr>
      <w:r>
        <w:rPr>
          <w:rStyle w:val="FootnoteReference"/>
        </w:rPr>
        <w:footnoteRef/>
      </w:r>
      <w:r>
        <w:t xml:space="preserve"> </w:t>
      </w:r>
      <w:r>
        <w:rPr>
          <w:i/>
        </w:rPr>
        <w:t xml:space="preserve">Amb. </w:t>
      </w:r>
      <w:r>
        <w:t>7. 1 = PG 91: 1072C-D = BW 49.</w:t>
      </w:r>
    </w:p>
  </w:footnote>
  <w:footnote w:id="72">
    <w:p w14:paraId="731242D6" w14:textId="5D9921FF" w:rsidR="00672AB0" w:rsidRPr="00C54373" w:rsidRDefault="00672AB0" w:rsidP="0076306E">
      <w:pPr>
        <w:pStyle w:val="FootnoteText"/>
        <w:jc w:val="both"/>
      </w:pPr>
      <w:r>
        <w:rPr>
          <w:rStyle w:val="FootnoteReference"/>
        </w:rPr>
        <w:footnoteRef/>
      </w:r>
      <w:r>
        <w:t xml:space="preserve"> </w:t>
      </w:r>
      <w:r>
        <w:rPr>
          <w:i/>
        </w:rPr>
        <w:t>Amb</w:t>
      </w:r>
      <w:r>
        <w:t>. 7. 1 = PG 91: 1073B = BW 50.</w:t>
      </w:r>
    </w:p>
  </w:footnote>
  <w:footnote w:id="73">
    <w:p w14:paraId="39C4536B" w14:textId="04F1CED9" w:rsidR="00672AB0" w:rsidRDefault="00672AB0" w:rsidP="0076306E">
      <w:pPr>
        <w:pStyle w:val="FootnoteText"/>
        <w:jc w:val="both"/>
      </w:pPr>
      <w:r>
        <w:rPr>
          <w:rStyle w:val="FootnoteReference"/>
        </w:rPr>
        <w:footnoteRef/>
      </w:r>
      <w:r>
        <w:t xml:space="preserve"> </w:t>
      </w:r>
      <w:r>
        <w:rPr>
          <w:rFonts w:cs="Times New Roman"/>
          <w:i/>
        </w:rPr>
        <w:t>Conf</w:t>
      </w:r>
      <w:r>
        <w:rPr>
          <w:rFonts w:cs="Times New Roman"/>
        </w:rPr>
        <w:t>. II. 17.</w:t>
      </w:r>
    </w:p>
  </w:footnote>
  <w:footnote w:id="74">
    <w:p w14:paraId="0FB08ACF" w14:textId="67532EFE" w:rsidR="00672AB0" w:rsidRDefault="00672AB0" w:rsidP="0076306E">
      <w:pPr>
        <w:pStyle w:val="FootnoteText"/>
        <w:jc w:val="both"/>
      </w:pPr>
      <w:r>
        <w:rPr>
          <w:rStyle w:val="FootnoteReference"/>
        </w:rPr>
        <w:footnoteRef/>
      </w:r>
      <w:r>
        <w:t xml:space="preserve"> </w:t>
      </w:r>
      <w:r>
        <w:rPr>
          <w:i/>
        </w:rPr>
        <w:t>C.Iul.</w:t>
      </w:r>
      <w:r>
        <w:rPr>
          <w:rFonts w:cs="Times New Roman"/>
          <w:i/>
        </w:rPr>
        <w:t xml:space="preserve"> </w:t>
      </w:r>
      <w:r>
        <w:rPr>
          <w:rFonts w:cs="Times New Roman"/>
        </w:rPr>
        <w:t>I. 36-43.</w:t>
      </w:r>
    </w:p>
  </w:footnote>
  <w:footnote w:id="75">
    <w:p w14:paraId="0C18C236" w14:textId="7865EAA8" w:rsidR="00672AB0"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III. 54.</w:t>
      </w:r>
    </w:p>
  </w:footnote>
  <w:footnote w:id="76">
    <w:p w14:paraId="57C993F1" w14:textId="2A71489B" w:rsidR="00672AB0" w:rsidRPr="00A344F0" w:rsidRDefault="00672AB0" w:rsidP="0076306E">
      <w:pPr>
        <w:pStyle w:val="FootnoteText"/>
        <w:jc w:val="both"/>
      </w:pPr>
      <w:r>
        <w:rPr>
          <w:rStyle w:val="FootnoteReference"/>
        </w:rPr>
        <w:footnoteRef/>
      </w:r>
      <w:r>
        <w:t xml:space="preserve"> </w:t>
      </w:r>
      <w:r>
        <w:rPr>
          <w:i/>
        </w:rPr>
        <w:t xml:space="preserve">QT </w:t>
      </w:r>
      <w:r>
        <w:t>42 = CCSG 7: 285 = BW 119 (alt.).</w:t>
      </w:r>
    </w:p>
  </w:footnote>
  <w:footnote w:id="77">
    <w:p w14:paraId="480213B7" w14:textId="0E7CC748" w:rsidR="00672AB0" w:rsidRDefault="00672AB0" w:rsidP="0076306E">
      <w:pPr>
        <w:pStyle w:val="FootnoteText"/>
        <w:jc w:val="both"/>
      </w:pPr>
      <w:r>
        <w:rPr>
          <w:rStyle w:val="FootnoteReference"/>
        </w:rPr>
        <w:footnoteRef/>
      </w:r>
      <w:r>
        <w:t xml:space="preserve"> Couenhoven (2005), 360.</w:t>
      </w:r>
    </w:p>
  </w:footnote>
  <w:footnote w:id="78">
    <w:p w14:paraId="62B4656B" w14:textId="77777777" w:rsidR="00672AB0" w:rsidRDefault="00672AB0" w:rsidP="0076306E">
      <w:pPr>
        <w:pStyle w:val="FootnoteText"/>
        <w:jc w:val="both"/>
      </w:pPr>
      <w:r>
        <w:rPr>
          <w:rStyle w:val="FootnoteReference"/>
        </w:rPr>
        <w:footnoteRef/>
      </w:r>
      <w:r>
        <w:t xml:space="preserve"> Couenhoven (2005), 386. The other is “a constitutional fault composed of ignorance and carnal concupiscence” (ibid.).</w:t>
      </w:r>
    </w:p>
  </w:footnote>
  <w:footnote w:id="79">
    <w:p w14:paraId="1A377F6C" w14:textId="13E01828" w:rsidR="00672AB0" w:rsidRDefault="00672AB0" w:rsidP="0076306E">
      <w:pPr>
        <w:pStyle w:val="FootnoteText"/>
        <w:jc w:val="both"/>
      </w:pPr>
      <w:r>
        <w:rPr>
          <w:rStyle w:val="FootnoteReference"/>
        </w:rPr>
        <w:footnoteRef/>
      </w:r>
      <w:r>
        <w:t xml:space="preserve"> </w:t>
      </w:r>
      <w:r>
        <w:rPr>
          <w:i/>
        </w:rPr>
        <w:t>Apol.</w:t>
      </w:r>
      <w:r>
        <w:t>, par. 3 = PL 1: 562B.</w:t>
      </w:r>
    </w:p>
  </w:footnote>
  <w:footnote w:id="80">
    <w:p w14:paraId="2F68E7CD" w14:textId="6F9836E3" w:rsidR="00672AB0" w:rsidRPr="002B486F" w:rsidRDefault="00672AB0" w:rsidP="0076306E">
      <w:pPr>
        <w:pStyle w:val="FootnoteText"/>
        <w:jc w:val="both"/>
      </w:pPr>
      <w:r>
        <w:rPr>
          <w:rStyle w:val="FootnoteReference"/>
        </w:rPr>
        <w:footnoteRef/>
      </w:r>
      <w:r>
        <w:t xml:space="preserve"> Rom. 3: 19 (RSV). Quoted in </w:t>
      </w:r>
      <w:r>
        <w:rPr>
          <w:i/>
        </w:rPr>
        <w:t>c. ep. Pel.</w:t>
      </w:r>
      <w:r>
        <w:t xml:space="preserve"> IV. 30.</w:t>
      </w:r>
    </w:p>
  </w:footnote>
  <w:footnote w:id="81">
    <w:p w14:paraId="2DBD74A7" w14:textId="471B144D" w:rsidR="00672AB0" w:rsidRPr="00E84AB8" w:rsidRDefault="00672AB0" w:rsidP="0076306E">
      <w:pPr>
        <w:pStyle w:val="FootnoteText"/>
        <w:jc w:val="both"/>
        <w:rPr>
          <w:rFonts w:cs="Times New Roman"/>
        </w:rPr>
      </w:pPr>
      <w:r w:rsidRPr="00E84AB8">
        <w:rPr>
          <w:rStyle w:val="FootnoteReference"/>
          <w:rFonts w:cs="Times New Roman"/>
        </w:rPr>
        <w:footnoteRef/>
      </w:r>
      <w:r w:rsidRPr="00E84AB8">
        <w:rPr>
          <w:rFonts w:cs="Times New Roman"/>
        </w:rPr>
        <w:t xml:space="preserve"> The same word is used to describe the child Jesus’ obedience to his parent</w:t>
      </w:r>
      <w:r>
        <w:rPr>
          <w:rFonts w:cs="Times New Roman"/>
        </w:rPr>
        <w:t>s in the Vulgate of Luke 2: 51.</w:t>
      </w:r>
    </w:p>
  </w:footnote>
  <w:footnote w:id="82">
    <w:p w14:paraId="4296A14A" w14:textId="2D5FDA98" w:rsidR="00672AB0" w:rsidRDefault="00672AB0" w:rsidP="0076306E">
      <w:pPr>
        <w:pStyle w:val="FootnoteText"/>
        <w:jc w:val="both"/>
      </w:pPr>
      <w:r>
        <w:rPr>
          <w:rStyle w:val="FootnoteReference"/>
        </w:rPr>
        <w:footnoteRef/>
      </w:r>
      <w:r>
        <w:t xml:space="preserve"> </w:t>
      </w:r>
      <w:r>
        <w:rPr>
          <w:rFonts w:cs="Times New Roman"/>
          <w:i/>
        </w:rPr>
        <w:t xml:space="preserve">Pecc.mer. </w:t>
      </w:r>
      <w:r>
        <w:rPr>
          <w:rFonts w:cs="Times New Roman"/>
        </w:rPr>
        <w:t>I. 24.</w:t>
      </w:r>
    </w:p>
  </w:footnote>
  <w:footnote w:id="83">
    <w:p w14:paraId="3F0B5E4C" w14:textId="033116C0" w:rsidR="00672AB0" w:rsidRDefault="00672AB0" w:rsidP="0076306E">
      <w:pPr>
        <w:pStyle w:val="FootnoteText"/>
        <w:jc w:val="both"/>
      </w:pPr>
      <w:r>
        <w:rPr>
          <w:rStyle w:val="FootnoteReference"/>
        </w:rPr>
        <w:footnoteRef/>
      </w:r>
      <w:r>
        <w:t xml:space="preserve"> </w:t>
      </w:r>
      <w:r>
        <w:rPr>
          <w:rFonts w:cs="Times New Roman"/>
          <w:i/>
        </w:rPr>
        <w:t xml:space="preserve">Pecc.mer. </w:t>
      </w:r>
      <w:r>
        <w:rPr>
          <w:rFonts w:cs="Times New Roman"/>
        </w:rPr>
        <w:t>I. 61.</w:t>
      </w:r>
    </w:p>
  </w:footnote>
  <w:footnote w:id="84">
    <w:p w14:paraId="5BB02D24" w14:textId="2DC85619" w:rsidR="00672AB0" w:rsidRDefault="00672AB0" w:rsidP="0076306E">
      <w:pPr>
        <w:pStyle w:val="FootnoteText"/>
        <w:jc w:val="both"/>
      </w:pPr>
      <w:r>
        <w:rPr>
          <w:rStyle w:val="FootnoteReference"/>
        </w:rPr>
        <w:footnoteRef/>
      </w:r>
      <w:r>
        <w:t xml:space="preserve"> </w:t>
      </w:r>
      <w:r>
        <w:rPr>
          <w:i/>
        </w:rPr>
        <w:t>Gr.et pecc.or.</w:t>
      </w:r>
      <w:r>
        <w:rPr>
          <w:rFonts w:cs="Times New Roman"/>
        </w:rPr>
        <w:t xml:space="preserve"> II. 42.</w:t>
      </w:r>
    </w:p>
  </w:footnote>
  <w:footnote w:id="85">
    <w:p w14:paraId="28866235" w14:textId="1E82D5E8" w:rsidR="00672AB0" w:rsidRDefault="00672AB0" w:rsidP="0076306E">
      <w:pPr>
        <w:pStyle w:val="FootnoteText"/>
        <w:jc w:val="both"/>
      </w:pPr>
      <w:r>
        <w:rPr>
          <w:rStyle w:val="FootnoteReference"/>
        </w:rPr>
        <w:footnoteRef/>
      </w:r>
      <w:r>
        <w:t xml:space="preserve"> </w:t>
      </w:r>
      <w:r>
        <w:rPr>
          <w:i/>
        </w:rPr>
        <w:t xml:space="preserve">Pecc.mer. </w:t>
      </w:r>
      <w:r>
        <w:t>I.22, I.65; Cf. Couenhoven (2005), 362.</w:t>
      </w:r>
    </w:p>
  </w:footnote>
  <w:footnote w:id="86">
    <w:p w14:paraId="5A5252DA" w14:textId="6A90ED67" w:rsidR="00672AB0" w:rsidRDefault="00672AB0" w:rsidP="0076306E">
      <w:pPr>
        <w:pStyle w:val="FootnoteText"/>
        <w:jc w:val="both"/>
      </w:pPr>
      <w:r>
        <w:rPr>
          <w:rStyle w:val="FootnoteReference"/>
        </w:rPr>
        <w:footnoteRef/>
      </w:r>
      <w:r>
        <w:t xml:space="preserve"> </w:t>
      </w:r>
      <w:r>
        <w:rPr>
          <w:i/>
        </w:rPr>
        <w:t>Gr.et pecc.or.</w:t>
      </w:r>
      <w:r>
        <w:rPr>
          <w:rFonts w:cs="Times New Roman"/>
          <w:i/>
        </w:rPr>
        <w:t xml:space="preserve"> </w:t>
      </w:r>
      <w:r>
        <w:rPr>
          <w:rFonts w:cs="Times New Roman"/>
        </w:rPr>
        <w:t>II. 42.</w:t>
      </w:r>
    </w:p>
  </w:footnote>
  <w:footnote w:id="87">
    <w:p w14:paraId="323E3011" w14:textId="68D8CFF4" w:rsidR="00672AB0" w:rsidRDefault="00672AB0" w:rsidP="0076306E">
      <w:pPr>
        <w:pStyle w:val="FootnoteText"/>
        <w:jc w:val="both"/>
      </w:pPr>
      <w:r>
        <w:rPr>
          <w:rStyle w:val="FootnoteReference"/>
        </w:rPr>
        <w:footnoteRef/>
      </w:r>
      <w:r>
        <w:t xml:space="preserve"> </w:t>
      </w:r>
      <w:r>
        <w:rPr>
          <w:rFonts w:cs="Times New Roman"/>
        </w:rPr>
        <w:t xml:space="preserve"> </w:t>
      </w:r>
      <w:r>
        <w:rPr>
          <w:i/>
        </w:rPr>
        <w:t>C.Iul.</w:t>
      </w:r>
      <w:r>
        <w:rPr>
          <w:rFonts w:cs="Times New Roman"/>
          <w:i/>
        </w:rPr>
        <w:t xml:space="preserve"> </w:t>
      </w:r>
      <w:r>
        <w:rPr>
          <w:rFonts w:cs="Times New Roman"/>
        </w:rPr>
        <w:t>II. 5.</w:t>
      </w:r>
    </w:p>
  </w:footnote>
  <w:footnote w:id="88">
    <w:p w14:paraId="71279805" w14:textId="7726C80E" w:rsidR="00672AB0" w:rsidRDefault="00672AB0" w:rsidP="0076306E">
      <w:pPr>
        <w:pStyle w:val="FootnoteText"/>
        <w:jc w:val="both"/>
      </w:pPr>
      <w:r>
        <w:rPr>
          <w:rStyle w:val="FootnoteReference"/>
        </w:rPr>
        <w:footnoteRef/>
      </w:r>
      <w:r>
        <w:t xml:space="preserve"> Cf. Rom. 6: 15-23; 7: 1-6.</w:t>
      </w:r>
    </w:p>
  </w:footnote>
  <w:footnote w:id="89">
    <w:p w14:paraId="679DF0C9" w14:textId="3D7D0D00" w:rsidR="00672AB0" w:rsidRPr="009D38A9" w:rsidRDefault="00672AB0" w:rsidP="0076306E">
      <w:pPr>
        <w:pStyle w:val="FootnoteText"/>
        <w:jc w:val="both"/>
      </w:pPr>
      <w:r>
        <w:rPr>
          <w:rStyle w:val="FootnoteReference"/>
        </w:rPr>
        <w:footnoteRef/>
      </w:r>
      <w:r>
        <w:t xml:space="preserve"> The </w:t>
      </w:r>
      <w:r>
        <w:rPr>
          <w:i/>
        </w:rPr>
        <w:t xml:space="preserve">reus peccati </w:t>
      </w:r>
      <w:r>
        <w:t xml:space="preserve">is not, however, to be </w:t>
      </w:r>
      <w:r w:rsidRPr="00392440">
        <w:rPr>
          <w:i/>
        </w:rPr>
        <w:t>identified</w:t>
      </w:r>
      <w:r>
        <w:t xml:space="preserve"> with bad habit. See </w:t>
      </w:r>
      <w:r>
        <w:rPr>
          <w:rFonts w:cs="Times New Roman"/>
          <w:i/>
          <w:lang w:val="fr-FR"/>
        </w:rPr>
        <w:t>C.Iul.imp.</w:t>
      </w:r>
      <w:r>
        <w:rPr>
          <w:i/>
        </w:rPr>
        <w:t xml:space="preserve">. </w:t>
      </w:r>
      <w:r>
        <w:t xml:space="preserve">I. 67-72; Cf. James Wetzel, “The Recovery of Free Agency in the Theology of St. Augustine,” </w:t>
      </w:r>
      <w:r>
        <w:rPr>
          <w:i/>
          <w:iCs/>
        </w:rPr>
        <w:t xml:space="preserve">Harvard Theological Review </w:t>
      </w:r>
      <w:r>
        <w:t>80 (1987), 101-25, 119-120.</w:t>
      </w:r>
    </w:p>
  </w:footnote>
  <w:footnote w:id="90">
    <w:p w14:paraId="49AF422C" w14:textId="26EA7D33" w:rsidR="00672AB0" w:rsidRPr="009E4396" w:rsidRDefault="00672AB0" w:rsidP="0076306E">
      <w:pPr>
        <w:pStyle w:val="FootnoteText"/>
        <w:jc w:val="both"/>
      </w:pPr>
      <w:r>
        <w:rPr>
          <w:rStyle w:val="FootnoteReference"/>
        </w:rPr>
        <w:footnoteRef/>
      </w:r>
      <w:r>
        <w:t xml:space="preserve"> </w:t>
      </w:r>
      <w:r>
        <w:rPr>
          <w:i/>
        </w:rPr>
        <w:t xml:space="preserve">C.Iul. </w:t>
      </w:r>
      <w:r>
        <w:t>III. 13.</w:t>
      </w:r>
    </w:p>
  </w:footnote>
  <w:footnote w:id="91">
    <w:p w14:paraId="59D2424A" w14:textId="7A9F2DFB" w:rsidR="00672AB0" w:rsidRPr="00430D9F" w:rsidRDefault="00672AB0" w:rsidP="0076306E">
      <w:pPr>
        <w:pStyle w:val="FootnoteText"/>
        <w:jc w:val="both"/>
      </w:pPr>
      <w:r>
        <w:rPr>
          <w:rStyle w:val="FootnoteReference"/>
        </w:rPr>
        <w:footnoteRef/>
      </w:r>
      <w:r>
        <w:t xml:space="preserve"> </w:t>
      </w:r>
      <w:r>
        <w:rPr>
          <w:rFonts w:cs="Times New Roman"/>
          <w:i/>
        </w:rPr>
        <w:t>nupt.et conc.</w:t>
      </w:r>
      <w:r>
        <w:rPr>
          <w:i/>
        </w:rPr>
        <w:t xml:space="preserve"> </w:t>
      </w:r>
      <w:r>
        <w:t>I. 36.</w:t>
      </w:r>
    </w:p>
  </w:footnote>
  <w:footnote w:id="92">
    <w:p w14:paraId="57D01F37" w14:textId="77DD7ABE" w:rsidR="00672AB0" w:rsidRPr="00D07588" w:rsidRDefault="00672AB0" w:rsidP="0076306E">
      <w:pPr>
        <w:pStyle w:val="FootnoteText"/>
        <w:jc w:val="both"/>
        <w:rPr>
          <w:lang w:val="it-IT"/>
        </w:rPr>
      </w:pPr>
      <w:r>
        <w:rPr>
          <w:rStyle w:val="FootnoteReference"/>
        </w:rPr>
        <w:footnoteRef/>
      </w:r>
      <w:r w:rsidRPr="00D07588">
        <w:rPr>
          <w:lang w:val="it-IT"/>
        </w:rPr>
        <w:t xml:space="preserve"> Cf</w:t>
      </w:r>
      <w:r>
        <w:rPr>
          <w:lang w:val="it-IT"/>
        </w:rPr>
        <w:t>.</w:t>
      </w:r>
      <w:r w:rsidRPr="00D07588">
        <w:rPr>
          <w:lang w:val="it-IT"/>
        </w:rPr>
        <w:t xml:space="preserve"> </w:t>
      </w:r>
      <w:r>
        <w:rPr>
          <w:i/>
        </w:rPr>
        <w:t>C.Iul.</w:t>
      </w:r>
      <w:r w:rsidRPr="00D07588">
        <w:rPr>
          <w:i/>
          <w:lang w:val="it-IT"/>
        </w:rPr>
        <w:t xml:space="preserve"> </w:t>
      </w:r>
      <w:r>
        <w:rPr>
          <w:lang w:val="it-IT"/>
        </w:rPr>
        <w:t>II. 33; III. 13, 58; VI.</w:t>
      </w:r>
      <w:r w:rsidRPr="00D07588">
        <w:rPr>
          <w:lang w:val="it-IT"/>
        </w:rPr>
        <w:t xml:space="preserve"> 5.</w:t>
      </w:r>
    </w:p>
  </w:footnote>
  <w:footnote w:id="93">
    <w:p w14:paraId="30E609DF" w14:textId="6710E663" w:rsidR="00672AB0" w:rsidRPr="00D07588" w:rsidRDefault="00672AB0" w:rsidP="0076306E">
      <w:pPr>
        <w:pStyle w:val="FootnoteText"/>
        <w:jc w:val="both"/>
        <w:rPr>
          <w:lang w:val="it-IT"/>
        </w:rPr>
      </w:pPr>
      <w:r>
        <w:rPr>
          <w:rStyle w:val="FootnoteReference"/>
        </w:rPr>
        <w:footnoteRef/>
      </w:r>
      <w:r w:rsidRPr="00D07588">
        <w:rPr>
          <w:lang w:val="it-IT"/>
        </w:rPr>
        <w:t xml:space="preserve"> </w:t>
      </w:r>
      <w:r>
        <w:rPr>
          <w:i/>
        </w:rPr>
        <w:t xml:space="preserve">Nat. et gr. </w:t>
      </w:r>
      <w:r w:rsidRPr="00D07588">
        <w:rPr>
          <w:lang w:val="it-IT"/>
        </w:rPr>
        <w:t>25.</w:t>
      </w:r>
    </w:p>
  </w:footnote>
  <w:footnote w:id="94">
    <w:p w14:paraId="6C086624" w14:textId="5CCCB6A2" w:rsidR="00672AB0" w:rsidRPr="00D07588" w:rsidRDefault="00672AB0" w:rsidP="0076306E">
      <w:pPr>
        <w:pStyle w:val="FootnoteText"/>
        <w:jc w:val="both"/>
        <w:rPr>
          <w:lang w:val="it-IT"/>
        </w:rPr>
      </w:pPr>
      <w:r>
        <w:rPr>
          <w:rStyle w:val="FootnoteReference"/>
        </w:rPr>
        <w:footnoteRef/>
      </w:r>
      <w:r w:rsidRPr="00D07588">
        <w:rPr>
          <w:lang w:val="it-IT"/>
        </w:rPr>
        <w:t xml:space="preserve"> Cf. </w:t>
      </w:r>
      <w:r>
        <w:rPr>
          <w:i/>
          <w:lang w:val="it-IT"/>
        </w:rPr>
        <w:t>Corrept.</w:t>
      </w:r>
      <w:r w:rsidRPr="00D07588">
        <w:rPr>
          <w:i/>
          <w:lang w:val="it-IT"/>
        </w:rPr>
        <w:t xml:space="preserve"> </w:t>
      </w:r>
      <w:r w:rsidRPr="00D07588">
        <w:rPr>
          <w:lang w:val="it-IT"/>
        </w:rPr>
        <w:t xml:space="preserve">29; </w:t>
      </w:r>
      <w:r>
        <w:rPr>
          <w:rFonts w:cs="Times New Roman"/>
          <w:i/>
        </w:rPr>
        <w:t>nupt.et conc.</w:t>
      </w:r>
      <w:r w:rsidRPr="00D07588">
        <w:rPr>
          <w:i/>
          <w:lang w:val="it-IT"/>
        </w:rPr>
        <w:t xml:space="preserve"> </w:t>
      </w:r>
      <w:r w:rsidRPr="00D07588">
        <w:rPr>
          <w:lang w:val="it-IT"/>
        </w:rPr>
        <w:t>I. 36-37.</w:t>
      </w:r>
    </w:p>
  </w:footnote>
  <w:footnote w:id="95">
    <w:p w14:paraId="05066C1E" w14:textId="60480294" w:rsidR="00672AB0" w:rsidRPr="00013F86" w:rsidRDefault="00672AB0" w:rsidP="0076306E">
      <w:pPr>
        <w:pStyle w:val="FootnoteText"/>
        <w:jc w:val="both"/>
      </w:pPr>
      <w:r>
        <w:rPr>
          <w:rStyle w:val="FootnoteReference"/>
        </w:rPr>
        <w:footnoteRef/>
      </w:r>
      <w:r>
        <w:t xml:space="preserve"> </w:t>
      </w:r>
      <w:r>
        <w:rPr>
          <w:i/>
        </w:rPr>
        <w:t xml:space="preserve">QT </w:t>
      </w:r>
      <w:r>
        <w:t>21 = CCSG 7: 131 = BW 112 (alt.)</w:t>
      </w:r>
    </w:p>
  </w:footnote>
  <w:footnote w:id="96">
    <w:p w14:paraId="50C567E9" w14:textId="7FB4F82D" w:rsidR="00672AB0" w:rsidRDefault="00672AB0" w:rsidP="0076306E">
      <w:pPr>
        <w:pStyle w:val="FootnoteText"/>
        <w:jc w:val="both"/>
      </w:pPr>
      <w:r>
        <w:rPr>
          <w:rStyle w:val="FootnoteReference"/>
        </w:rPr>
        <w:footnoteRef/>
      </w:r>
      <w:r>
        <w:t xml:space="preserve"> I.e. </w:t>
      </w:r>
      <w:r>
        <w:rPr>
          <w:rFonts w:cs="Times New Roman"/>
        </w:rPr>
        <w:t>of pleasure and pain, as respectively embodied in sexual generation and corruption, the beginning and end of human life.</w:t>
      </w:r>
    </w:p>
  </w:footnote>
  <w:footnote w:id="97">
    <w:p w14:paraId="0249D3D0" w14:textId="797E130C" w:rsidR="00672AB0" w:rsidRPr="00870F39" w:rsidRDefault="00672AB0" w:rsidP="0076306E">
      <w:pPr>
        <w:pStyle w:val="FootnoteText"/>
        <w:jc w:val="both"/>
      </w:pPr>
      <w:r>
        <w:rPr>
          <w:rStyle w:val="FootnoteReference"/>
        </w:rPr>
        <w:footnoteRef/>
      </w:r>
      <w:r>
        <w:t xml:space="preserve"> </w:t>
      </w:r>
      <w:r>
        <w:rPr>
          <w:i/>
        </w:rPr>
        <w:t xml:space="preserve">QT </w:t>
      </w:r>
      <w:r>
        <w:t>61 = CCSG 22: 91 = BW 136 (alt.).</w:t>
      </w:r>
    </w:p>
  </w:footnote>
  <w:footnote w:id="98">
    <w:p w14:paraId="702E55B0" w14:textId="533F7B9B" w:rsidR="00672AB0" w:rsidRPr="004A6B1A"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 xml:space="preserve">III. 28, 57; </w:t>
      </w:r>
      <w:r>
        <w:rPr>
          <w:rFonts w:cs="Times New Roman"/>
          <w:i/>
        </w:rPr>
        <w:t xml:space="preserve">Civ.Dei </w:t>
      </w:r>
      <w:r>
        <w:rPr>
          <w:rFonts w:cs="Times New Roman"/>
        </w:rPr>
        <w:t xml:space="preserve">XIII. 1-4; </w:t>
      </w:r>
      <w:r>
        <w:rPr>
          <w:rFonts w:cs="Times New Roman"/>
          <w:i/>
        </w:rPr>
        <w:t xml:space="preserve">pecc.mer. </w:t>
      </w:r>
      <w:r>
        <w:rPr>
          <w:rFonts w:cs="Times New Roman"/>
        </w:rPr>
        <w:t xml:space="preserve">I. 8; </w:t>
      </w:r>
      <w:r w:rsidRPr="00F83997">
        <w:rPr>
          <w:i/>
        </w:rPr>
        <w:t>Amb.</w:t>
      </w:r>
      <w:r>
        <w:t xml:space="preserve"> 10. 28 = PG 91:1156D = Louth 126</w:t>
      </w:r>
    </w:p>
  </w:footnote>
  <w:footnote w:id="99">
    <w:p w14:paraId="7C91A024" w14:textId="42A85ED4" w:rsidR="00672AB0"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III. 52-53;</w:t>
      </w:r>
      <w:r w:rsidRPr="00C46B6E">
        <w:rPr>
          <w:rFonts w:cs="Times New Roman"/>
          <w:i/>
        </w:rPr>
        <w:t xml:space="preserve"> </w:t>
      </w:r>
      <w:r>
        <w:rPr>
          <w:rFonts w:cs="Times New Roman"/>
          <w:i/>
        </w:rPr>
        <w:t xml:space="preserve">Amb. </w:t>
      </w:r>
      <w:r>
        <w:rPr>
          <w:rFonts w:cs="Times New Roman"/>
        </w:rPr>
        <w:t>42 = PG 91:1321B = BW 85.</w:t>
      </w:r>
    </w:p>
  </w:footnote>
  <w:footnote w:id="100">
    <w:p w14:paraId="59060EED" w14:textId="7D9151A6" w:rsidR="00672AB0" w:rsidRPr="006224A9" w:rsidRDefault="00672AB0" w:rsidP="0076306E">
      <w:pPr>
        <w:pStyle w:val="FootnoteText"/>
        <w:jc w:val="both"/>
      </w:pPr>
      <w:r>
        <w:rPr>
          <w:rStyle w:val="FootnoteReference"/>
        </w:rPr>
        <w:footnoteRef/>
      </w:r>
      <w:r>
        <w:t xml:space="preserve"> The closest he comes is in his use of the phrase </w:t>
      </w:r>
      <w:r>
        <w:rPr>
          <w:rFonts w:cs="Times New Roman"/>
        </w:rPr>
        <w:t xml:space="preserve">γενική ἁμαρτία at </w:t>
      </w:r>
      <w:r>
        <w:rPr>
          <w:rFonts w:cs="Times New Roman"/>
          <w:i/>
        </w:rPr>
        <w:t xml:space="preserve">QT </w:t>
      </w:r>
      <w:r>
        <w:rPr>
          <w:rFonts w:cs="Times New Roman"/>
        </w:rPr>
        <w:t>21 = CCSG 7: 127.</w:t>
      </w:r>
    </w:p>
  </w:footnote>
  <w:footnote w:id="101">
    <w:p w14:paraId="51206D5A" w14:textId="7D7A51CA" w:rsidR="00672AB0"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 xml:space="preserve">III. 52-58; </w:t>
      </w:r>
      <w:r>
        <w:rPr>
          <w:rFonts w:cs="Times New Roman"/>
          <w:i/>
        </w:rPr>
        <w:t xml:space="preserve">pecc.mer. </w:t>
      </w:r>
      <w:r>
        <w:rPr>
          <w:rFonts w:cs="Times New Roman"/>
        </w:rPr>
        <w:t>I. 68.</w:t>
      </w:r>
    </w:p>
  </w:footnote>
  <w:footnote w:id="102">
    <w:p w14:paraId="640FF2C1" w14:textId="4F855DF1" w:rsidR="00672AB0" w:rsidRDefault="00672AB0" w:rsidP="0076306E">
      <w:pPr>
        <w:pStyle w:val="FootnoteText"/>
        <w:jc w:val="both"/>
      </w:pPr>
      <w:r>
        <w:rPr>
          <w:rStyle w:val="FootnoteReference"/>
        </w:rPr>
        <w:footnoteRef/>
      </w:r>
      <w:r>
        <w:t xml:space="preserve"> See </w:t>
      </w:r>
      <w:r>
        <w:rPr>
          <w:rFonts w:cs="Times New Roman"/>
          <w:lang w:val="fr-FR"/>
        </w:rPr>
        <w:t xml:space="preserve">Jean Doignon. « Souvenirs Cicéroniens (Hortensius, Consolation) et Virgiliens Dans l’Exposé d'Augustin sur l’État Humain d'« Ignorance et de Difficulté » ». </w:t>
      </w:r>
      <w:r>
        <w:rPr>
          <w:rFonts w:cs="Times New Roman"/>
          <w:i/>
          <w:iCs/>
          <w:lang w:val="fr-FR"/>
        </w:rPr>
        <w:t xml:space="preserve">Vigiliae Christianae </w:t>
      </w:r>
      <w:r>
        <w:rPr>
          <w:rFonts w:cs="Times New Roman"/>
          <w:lang w:val="fr-FR"/>
        </w:rPr>
        <w:t>47 (1993), 131-139</w:t>
      </w:r>
      <w:r>
        <w:t>.</w:t>
      </w:r>
    </w:p>
  </w:footnote>
  <w:footnote w:id="103">
    <w:p w14:paraId="52E0C6E1" w14:textId="50F45A9E" w:rsidR="00672AB0" w:rsidRDefault="00672AB0" w:rsidP="0076306E">
      <w:pPr>
        <w:pStyle w:val="FootnoteText"/>
        <w:jc w:val="both"/>
      </w:pPr>
      <w:r>
        <w:rPr>
          <w:rStyle w:val="FootnoteReference"/>
        </w:rPr>
        <w:footnoteRef/>
      </w:r>
      <w:r>
        <w:t xml:space="preserve"> </w:t>
      </w:r>
      <w:r>
        <w:rPr>
          <w:i/>
          <w:iCs/>
        </w:rPr>
        <w:t>Lib.arb.</w:t>
      </w:r>
      <w:r>
        <w:rPr>
          <w:rFonts w:cs="Times New Roman"/>
          <w:i/>
        </w:rPr>
        <w:t xml:space="preserve"> </w:t>
      </w:r>
      <w:r>
        <w:rPr>
          <w:rFonts w:cs="Times New Roman"/>
        </w:rPr>
        <w:t>I. 10.</w:t>
      </w:r>
    </w:p>
  </w:footnote>
  <w:footnote w:id="104">
    <w:p w14:paraId="143A8DBE" w14:textId="01A01498" w:rsidR="00672AB0" w:rsidRDefault="00672AB0" w:rsidP="0076306E">
      <w:pPr>
        <w:pStyle w:val="FootnoteText"/>
        <w:jc w:val="both"/>
      </w:pPr>
      <w:r>
        <w:rPr>
          <w:rStyle w:val="FootnoteReference"/>
        </w:rPr>
        <w:footnoteRef/>
      </w:r>
      <w:r>
        <w:t xml:space="preserve"> </w:t>
      </w:r>
      <w:r>
        <w:rPr>
          <w:i/>
          <w:iCs/>
        </w:rPr>
        <w:t>Lib.arb.</w:t>
      </w:r>
      <w:r>
        <w:rPr>
          <w:rFonts w:cs="Times New Roman"/>
        </w:rPr>
        <w:t xml:space="preserve"> III. 31.</w:t>
      </w:r>
    </w:p>
  </w:footnote>
  <w:footnote w:id="105">
    <w:p w14:paraId="255C69FF" w14:textId="1C3E28F9" w:rsidR="00672AB0" w:rsidRDefault="00672AB0" w:rsidP="0076306E">
      <w:pPr>
        <w:pStyle w:val="FootnoteText"/>
        <w:jc w:val="both"/>
      </w:pPr>
      <w:r>
        <w:rPr>
          <w:rStyle w:val="FootnoteReference"/>
        </w:rPr>
        <w:footnoteRef/>
      </w:r>
      <w:r>
        <w:t xml:space="preserve"> </w:t>
      </w:r>
      <w:r>
        <w:rPr>
          <w:rFonts w:cs="Times New Roman"/>
          <w:i/>
        </w:rPr>
        <w:t xml:space="preserve">Pecc.mer. </w:t>
      </w:r>
      <w:r>
        <w:rPr>
          <w:rFonts w:cs="Times New Roman"/>
        </w:rPr>
        <w:t>II. 48.</w:t>
      </w:r>
    </w:p>
  </w:footnote>
  <w:footnote w:id="106">
    <w:p w14:paraId="655B2969" w14:textId="31B90985" w:rsidR="00672AB0" w:rsidRDefault="00672AB0" w:rsidP="0076306E">
      <w:pPr>
        <w:pStyle w:val="FootnoteText"/>
        <w:jc w:val="both"/>
      </w:pPr>
      <w:r>
        <w:rPr>
          <w:rStyle w:val="FootnoteReference"/>
        </w:rPr>
        <w:footnoteRef/>
      </w:r>
      <w:r>
        <w:t xml:space="preserve"> </w:t>
      </w:r>
      <w:r>
        <w:rPr>
          <w:rFonts w:cs="Times New Roman"/>
          <w:i/>
        </w:rPr>
        <w:t xml:space="preserve">Pecc.mer. </w:t>
      </w:r>
      <w:r>
        <w:rPr>
          <w:rFonts w:cs="Times New Roman"/>
        </w:rPr>
        <w:t>II. 51.</w:t>
      </w:r>
    </w:p>
  </w:footnote>
  <w:footnote w:id="107">
    <w:p w14:paraId="75508FD0" w14:textId="1DF4C5D9" w:rsidR="00672AB0" w:rsidRPr="000414E7" w:rsidRDefault="00672AB0" w:rsidP="0076306E">
      <w:pPr>
        <w:pStyle w:val="FootnoteText"/>
        <w:jc w:val="both"/>
      </w:pPr>
      <w:r>
        <w:rPr>
          <w:rStyle w:val="FootnoteReference"/>
        </w:rPr>
        <w:footnoteRef/>
      </w:r>
      <w:r>
        <w:t xml:space="preserve"> </w:t>
      </w:r>
      <w:r>
        <w:rPr>
          <w:i/>
        </w:rPr>
        <w:t xml:space="preserve">Nat. et gr. </w:t>
      </w:r>
      <w:r>
        <w:t>3.</w:t>
      </w:r>
    </w:p>
  </w:footnote>
  <w:footnote w:id="108">
    <w:p w14:paraId="2EAA0344" w14:textId="6BFD5C07" w:rsidR="00672AB0" w:rsidRPr="000414E7" w:rsidRDefault="00672AB0" w:rsidP="0076306E">
      <w:pPr>
        <w:pStyle w:val="FootnoteText"/>
        <w:jc w:val="both"/>
      </w:pPr>
      <w:r>
        <w:rPr>
          <w:rStyle w:val="FootnoteReference"/>
        </w:rPr>
        <w:footnoteRef/>
      </w:r>
      <w:r>
        <w:t xml:space="preserve"> </w:t>
      </w:r>
      <w:r>
        <w:rPr>
          <w:i/>
        </w:rPr>
        <w:t xml:space="preserve">Gr.et lib.arb. </w:t>
      </w:r>
      <w:r>
        <w:t>45.</w:t>
      </w:r>
    </w:p>
  </w:footnote>
  <w:footnote w:id="109">
    <w:p w14:paraId="4B4C2656" w14:textId="62995A1A" w:rsidR="00672AB0" w:rsidRPr="00EA67EE" w:rsidRDefault="00672AB0" w:rsidP="0076306E">
      <w:pPr>
        <w:pStyle w:val="FootnoteText"/>
        <w:jc w:val="both"/>
      </w:pPr>
      <w:r>
        <w:rPr>
          <w:rStyle w:val="FootnoteReference"/>
        </w:rPr>
        <w:footnoteRef/>
      </w:r>
      <w:r>
        <w:t xml:space="preserve"> </w:t>
      </w:r>
      <w:r>
        <w:rPr>
          <w:i/>
        </w:rPr>
        <w:t xml:space="preserve">Corrept. </w:t>
      </w:r>
      <w:r>
        <w:t>29.</w:t>
      </w:r>
    </w:p>
  </w:footnote>
  <w:footnote w:id="110">
    <w:p w14:paraId="43679AE4" w14:textId="74D0A527" w:rsidR="00672AB0" w:rsidRPr="006011B1" w:rsidRDefault="00672AB0" w:rsidP="0076306E">
      <w:pPr>
        <w:pStyle w:val="FootnoteText"/>
        <w:jc w:val="both"/>
      </w:pPr>
      <w:r>
        <w:rPr>
          <w:rStyle w:val="FootnoteReference"/>
        </w:rPr>
        <w:footnoteRef/>
      </w:r>
      <w:r>
        <w:t xml:space="preserve"> </w:t>
      </w:r>
      <w:r>
        <w:rPr>
          <w:i/>
        </w:rPr>
        <w:t xml:space="preserve">C.Iul. </w:t>
      </w:r>
      <w:r>
        <w:t>I. 13.</w:t>
      </w:r>
    </w:p>
  </w:footnote>
  <w:footnote w:id="111">
    <w:p w14:paraId="78ADFB03" w14:textId="1963F629" w:rsidR="00672AB0" w:rsidRPr="006011B1" w:rsidRDefault="00672AB0" w:rsidP="0076306E">
      <w:pPr>
        <w:pStyle w:val="FootnoteText"/>
        <w:jc w:val="both"/>
      </w:pPr>
      <w:r>
        <w:rPr>
          <w:rStyle w:val="FootnoteReference"/>
        </w:rPr>
        <w:footnoteRef/>
      </w:r>
      <w:r>
        <w:t xml:space="preserve"> </w:t>
      </w:r>
      <w:r>
        <w:rPr>
          <w:i/>
        </w:rPr>
        <w:t xml:space="preserve">C.Iul. </w:t>
      </w:r>
      <w:r>
        <w:t>II. 33.</w:t>
      </w:r>
    </w:p>
  </w:footnote>
  <w:footnote w:id="112">
    <w:p w14:paraId="4583884B" w14:textId="05C12DCC" w:rsidR="00672AB0" w:rsidRPr="00646689" w:rsidRDefault="00672AB0" w:rsidP="0076306E">
      <w:pPr>
        <w:pStyle w:val="FootnoteText"/>
        <w:jc w:val="both"/>
      </w:pPr>
      <w:r>
        <w:rPr>
          <w:rStyle w:val="FootnoteReference"/>
        </w:rPr>
        <w:footnoteRef/>
      </w:r>
      <w:r>
        <w:t xml:space="preserve"> </w:t>
      </w:r>
      <w:r>
        <w:rPr>
          <w:i/>
        </w:rPr>
        <w:t xml:space="preserve">C.Iul. </w:t>
      </w:r>
      <w:r>
        <w:t>III. 11.</w:t>
      </w:r>
    </w:p>
  </w:footnote>
  <w:footnote w:id="113">
    <w:p w14:paraId="621075CB" w14:textId="47E3AB47" w:rsidR="00672AB0" w:rsidRPr="00E7722A" w:rsidRDefault="00672AB0" w:rsidP="0076306E">
      <w:pPr>
        <w:pStyle w:val="FootnoteText"/>
        <w:jc w:val="both"/>
      </w:pPr>
      <w:r>
        <w:rPr>
          <w:rStyle w:val="FootnoteReference"/>
        </w:rPr>
        <w:footnoteRef/>
      </w:r>
      <w:r>
        <w:t xml:space="preserve"> </w:t>
      </w:r>
      <w:r>
        <w:rPr>
          <w:rFonts w:cs="Times New Roman"/>
          <w:i/>
        </w:rPr>
        <w:t>nupt.et conc.</w:t>
      </w:r>
      <w:r>
        <w:rPr>
          <w:i/>
        </w:rPr>
        <w:t xml:space="preserve"> </w:t>
      </w:r>
      <w:r>
        <w:t xml:space="preserve">II. 45; </w:t>
      </w:r>
      <w:r>
        <w:rPr>
          <w:i/>
        </w:rPr>
        <w:t xml:space="preserve">C.Iul. </w:t>
      </w:r>
      <w:r>
        <w:t>VI. 75.</w:t>
      </w:r>
    </w:p>
  </w:footnote>
  <w:footnote w:id="114">
    <w:p w14:paraId="2C83D0B4" w14:textId="6AC879F7" w:rsidR="00672AB0" w:rsidRPr="00D07588" w:rsidRDefault="00672AB0" w:rsidP="0076306E">
      <w:pPr>
        <w:pStyle w:val="FootnoteText"/>
        <w:jc w:val="both"/>
        <w:rPr>
          <w:lang w:val="it-IT"/>
        </w:rPr>
      </w:pPr>
      <w:r>
        <w:rPr>
          <w:rStyle w:val="FootnoteReference"/>
        </w:rPr>
        <w:footnoteRef/>
      </w:r>
      <w:r w:rsidRPr="00D07588">
        <w:rPr>
          <w:lang w:val="it-IT"/>
        </w:rPr>
        <w:t xml:space="preserve"> </w:t>
      </w:r>
      <w:r>
        <w:rPr>
          <w:i/>
        </w:rPr>
        <w:t>C.Iul.</w:t>
      </w:r>
      <w:r w:rsidRPr="00D07588">
        <w:rPr>
          <w:i/>
          <w:lang w:val="it-IT"/>
        </w:rPr>
        <w:t xml:space="preserve"> </w:t>
      </w:r>
      <w:r w:rsidRPr="00D07588">
        <w:rPr>
          <w:lang w:val="it-IT"/>
        </w:rPr>
        <w:t>VI. 28.</w:t>
      </w:r>
    </w:p>
  </w:footnote>
  <w:footnote w:id="115">
    <w:p w14:paraId="57EA48B4" w14:textId="4575BECD" w:rsidR="00672AB0" w:rsidRPr="00D07588" w:rsidRDefault="00672AB0" w:rsidP="0076306E">
      <w:pPr>
        <w:pStyle w:val="FootnoteText"/>
        <w:jc w:val="both"/>
        <w:rPr>
          <w:lang w:val="it-IT"/>
        </w:rPr>
      </w:pPr>
      <w:r>
        <w:rPr>
          <w:rStyle w:val="FootnoteReference"/>
        </w:rPr>
        <w:footnoteRef/>
      </w:r>
      <w:r w:rsidRPr="00D07588">
        <w:rPr>
          <w:lang w:val="it-IT"/>
        </w:rPr>
        <w:t xml:space="preserve"> </w:t>
      </w:r>
      <w:r w:rsidRPr="00D07588">
        <w:rPr>
          <w:rFonts w:cs="Times New Roman"/>
          <w:i/>
          <w:lang w:val="it-IT"/>
        </w:rPr>
        <w:t>Amb</w:t>
      </w:r>
      <w:r>
        <w:rPr>
          <w:rFonts w:cs="Times New Roman"/>
          <w:i/>
          <w:lang w:val="it-IT"/>
        </w:rPr>
        <w:t>.</w:t>
      </w:r>
      <w:r w:rsidRPr="00D07588">
        <w:rPr>
          <w:rFonts w:cs="Times New Roman"/>
          <w:i/>
          <w:lang w:val="it-IT"/>
        </w:rPr>
        <w:t xml:space="preserve"> </w:t>
      </w:r>
      <w:r w:rsidRPr="00D07588">
        <w:rPr>
          <w:rFonts w:cs="Times New Roman"/>
          <w:lang w:val="it-IT"/>
        </w:rPr>
        <w:t>7 = PG 91:1092D = BW 67.</w:t>
      </w:r>
    </w:p>
  </w:footnote>
  <w:footnote w:id="116">
    <w:p w14:paraId="51F40DE3" w14:textId="77777777" w:rsidR="00672AB0" w:rsidRPr="00D07588" w:rsidRDefault="00672AB0" w:rsidP="0076306E">
      <w:pPr>
        <w:pStyle w:val="FootnoteText"/>
        <w:jc w:val="both"/>
        <w:rPr>
          <w:lang w:val="it-IT"/>
        </w:rPr>
      </w:pPr>
      <w:r>
        <w:rPr>
          <w:rStyle w:val="FootnoteReference"/>
        </w:rPr>
        <w:footnoteRef/>
      </w:r>
      <w:r w:rsidRPr="00D07588">
        <w:rPr>
          <w:lang w:val="it-IT"/>
        </w:rPr>
        <w:t xml:space="preserve"> </w:t>
      </w:r>
      <w:r w:rsidRPr="00D07588">
        <w:rPr>
          <w:i/>
          <w:lang w:val="it-IT"/>
        </w:rPr>
        <w:t xml:space="preserve">QT </w:t>
      </w:r>
      <w:r w:rsidRPr="00D07588">
        <w:rPr>
          <w:lang w:val="it-IT"/>
        </w:rPr>
        <w:t>5 = CCSG 7: 65.</w:t>
      </w:r>
    </w:p>
  </w:footnote>
  <w:footnote w:id="117">
    <w:p w14:paraId="1AC597E8" w14:textId="77777777" w:rsidR="00672AB0" w:rsidRPr="00D07588" w:rsidRDefault="00672AB0" w:rsidP="0076306E">
      <w:pPr>
        <w:pStyle w:val="FootnoteText"/>
        <w:jc w:val="both"/>
        <w:rPr>
          <w:lang w:val="it-IT"/>
        </w:rPr>
      </w:pPr>
      <w:r>
        <w:rPr>
          <w:rStyle w:val="FootnoteReference"/>
        </w:rPr>
        <w:footnoteRef/>
      </w:r>
      <w:r w:rsidRPr="00D07588">
        <w:rPr>
          <w:lang w:val="it-IT"/>
        </w:rPr>
        <w:t xml:space="preserve"> </w:t>
      </w:r>
      <w:r w:rsidRPr="00D07588">
        <w:rPr>
          <w:rFonts w:cs="Times New Roman"/>
          <w:i/>
          <w:lang w:val="it-IT"/>
        </w:rPr>
        <w:t xml:space="preserve">QT </w:t>
      </w:r>
      <w:r w:rsidRPr="00D07588">
        <w:rPr>
          <w:rFonts w:cs="Times New Roman"/>
          <w:lang w:val="it-IT"/>
        </w:rPr>
        <w:t>21 = CCSG 7:127 = BW 110.</w:t>
      </w:r>
    </w:p>
  </w:footnote>
  <w:footnote w:id="118">
    <w:p w14:paraId="29615BFA" w14:textId="504ABEA3" w:rsidR="00672AB0" w:rsidRDefault="00672AB0" w:rsidP="0076306E">
      <w:pPr>
        <w:pStyle w:val="FootnoteText"/>
        <w:jc w:val="both"/>
      </w:pPr>
      <w:r>
        <w:rPr>
          <w:rStyle w:val="FootnoteReference"/>
        </w:rPr>
        <w:footnoteRef/>
      </w:r>
      <w:r>
        <w:t xml:space="preserve"> </w:t>
      </w:r>
      <w:r>
        <w:rPr>
          <w:rFonts w:cs="Times New Roman"/>
          <w:i/>
        </w:rPr>
        <w:t xml:space="preserve">Amb. </w:t>
      </w:r>
      <w:r>
        <w:rPr>
          <w:rFonts w:cs="Times New Roman"/>
        </w:rPr>
        <w:t>42 = PG 91:1321B = BW 85.</w:t>
      </w:r>
    </w:p>
  </w:footnote>
  <w:footnote w:id="119">
    <w:p w14:paraId="17123E3F" w14:textId="66813CD7" w:rsidR="00672AB0" w:rsidRDefault="00672AB0" w:rsidP="0076306E">
      <w:pPr>
        <w:pStyle w:val="FootnoteText"/>
        <w:jc w:val="both"/>
      </w:pPr>
      <w:r>
        <w:rPr>
          <w:rStyle w:val="FootnoteReference"/>
        </w:rPr>
        <w:footnoteRef/>
      </w:r>
      <w:r>
        <w:t>Indeed, insofar as he holds that there was no sexual differentiation before the Fall (Louth, 73) and will be no sexual differentiation in Paradise (</w:t>
      </w:r>
      <w:r>
        <w:rPr>
          <w:i/>
        </w:rPr>
        <w:t xml:space="preserve">Amb. </w:t>
      </w:r>
      <w:r>
        <w:t xml:space="preserve">41 in PG 91:1305C = Louth, 157), his ‘pessimism’ with regard to sex is somewhat more extreme than that of Augustine. Cf. </w:t>
      </w:r>
      <w:r>
        <w:rPr>
          <w:i/>
        </w:rPr>
        <w:t xml:space="preserve">Gr.et pecc.or. </w:t>
      </w:r>
      <w:r>
        <w:t>II. 40.</w:t>
      </w:r>
    </w:p>
  </w:footnote>
  <w:footnote w:id="120">
    <w:p w14:paraId="0A707D22" w14:textId="07907614" w:rsidR="00672AB0" w:rsidRPr="006375CA" w:rsidRDefault="00672AB0" w:rsidP="0076306E">
      <w:pPr>
        <w:pStyle w:val="FootnoteText"/>
        <w:jc w:val="both"/>
      </w:pPr>
      <w:r>
        <w:rPr>
          <w:rStyle w:val="FootnoteReference"/>
        </w:rPr>
        <w:footnoteRef/>
      </w:r>
      <w:r>
        <w:t xml:space="preserve"> </w:t>
      </w:r>
      <w:r>
        <w:rPr>
          <w:i/>
        </w:rPr>
        <w:t xml:space="preserve">QT </w:t>
      </w:r>
      <w:r>
        <w:t>49 = CCSG 7: 377.</w:t>
      </w:r>
    </w:p>
  </w:footnote>
  <w:footnote w:id="121">
    <w:p w14:paraId="45A6BA6E" w14:textId="064F3ECF" w:rsidR="00672AB0" w:rsidRPr="00E85FC1" w:rsidRDefault="00672AB0" w:rsidP="0076306E">
      <w:pPr>
        <w:pStyle w:val="FootnoteText"/>
        <w:jc w:val="both"/>
      </w:pPr>
      <w:r>
        <w:rPr>
          <w:rStyle w:val="FootnoteReference"/>
        </w:rPr>
        <w:footnoteRef/>
      </w:r>
      <w:r>
        <w:t xml:space="preserve"> </w:t>
      </w:r>
      <w:r>
        <w:rPr>
          <w:i/>
        </w:rPr>
        <w:t xml:space="preserve">QT </w:t>
      </w:r>
      <w:r>
        <w:t>61 = CCSG 22: 95 = BW 137.</w:t>
      </w:r>
    </w:p>
  </w:footnote>
  <w:footnote w:id="122">
    <w:p w14:paraId="538FAE2D" w14:textId="3B64490B" w:rsidR="00672AB0" w:rsidRDefault="00672AB0" w:rsidP="0076306E">
      <w:pPr>
        <w:pStyle w:val="FootnoteText"/>
        <w:jc w:val="both"/>
      </w:pPr>
      <w:r>
        <w:rPr>
          <w:rStyle w:val="FootnoteReference"/>
        </w:rPr>
        <w:footnoteRef/>
      </w:r>
      <w:r>
        <w:t xml:space="preserve"> This is Eriugena’s gloss on the meaning of the Greek (</w:t>
      </w:r>
      <w:r>
        <w:rPr>
          <w:rFonts w:cs="Times New Roman"/>
        </w:rPr>
        <w:t>ἀπογένεσιν</w:t>
      </w:r>
      <w:r>
        <w:t>) in the above passage.</w:t>
      </w:r>
    </w:p>
  </w:footnote>
  <w:footnote w:id="123">
    <w:p w14:paraId="2DA49277" w14:textId="379F0CA6" w:rsidR="00672AB0" w:rsidRPr="000552BA" w:rsidRDefault="00672AB0" w:rsidP="00865448">
      <w:pPr>
        <w:pStyle w:val="FootnoteText"/>
        <w:jc w:val="both"/>
        <w:rPr>
          <w:b/>
        </w:rPr>
      </w:pPr>
      <w:r>
        <w:rPr>
          <w:rStyle w:val="FootnoteReference"/>
        </w:rPr>
        <w:footnoteRef/>
      </w:r>
      <w:r w:rsidRPr="00D07588">
        <w:rPr>
          <w:lang w:val="es-ES"/>
        </w:rPr>
        <w:t xml:space="preserve"> Cf. Romanides (1955); B</w:t>
      </w:r>
      <w:r>
        <w:rPr>
          <w:lang w:val="es-ES"/>
        </w:rPr>
        <w:t>oojamra (1976), 27; Haynes (2011), 294;</w:t>
      </w:r>
      <w:r w:rsidRPr="00D07588">
        <w:rPr>
          <w:lang w:val="es-ES"/>
        </w:rPr>
        <w:t xml:space="preserve"> </w:t>
      </w:r>
      <w:r>
        <w:rPr>
          <w:rFonts w:cs="Times New Roman"/>
        </w:rPr>
        <w:t xml:space="preserve">John Meyendorff, </w:t>
      </w:r>
      <w:r>
        <w:rPr>
          <w:rFonts w:cs="Times New Roman"/>
          <w:i/>
        </w:rPr>
        <w:t>Byzantine Theology: historical trends &amp; doctrinal themes</w:t>
      </w:r>
      <w:r>
        <w:rPr>
          <w:rFonts w:cs="Times New Roman"/>
        </w:rPr>
        <w:t xml:space="preserve">, New York, Fordham University Press, 1979, </w:t>
      </w:r>
      <w:r w:rsidRPr="00D07588">
        <w:rPr>
          <w:lang w:val="es-ES"/>
        </w:rPr>
        <w:t xml:space="preserve">144-145; </w:t>
      </w:r>
      <w:r>
        <w:t xml:space="preserve">and the following gloss on Romans 5:12, from the </w:t>
      </w:r>
      <w:r w:rsidRPr="000552BA">
        <w:rPr>
          <w:i/>
        </w:rPr>
        <w:t>Orthodox Study Bible</w:t>
      </w:r>
      <w:r>
        <w:t xml:space="preserve">: “For Adam and Eve, </w:t>
      </w:r>
      <w:r>
        <w:rPr>
          <w:i/>
        </w:rPr>
        <w:t>sin</w:t>
      </w:r>
      <w:r>
        <w:t xml:space="preserve"> came first, and this led to </w:t>
      </w:r>
      <w:r>
        <w:rPr>
          <w:i/>
        </w:rPr>
        <w:t>death</w:t>
      </w:r>
      <w:r>
        <w:t xml:space="preserve">. This death then </w:t>
      </w:r>
      <w:r>
        <w:rPr>
          <w:i/>
        </w:rPr>
        <w:t>spread to all men</w:t>
      </w:r>
      <w:r>
        <w:t>. The rest of humanity inherits death, and then in our mortal state, we all sin. Thus, all mankind suffers the consequences of Adam’s “original sin.” However, the Orthodox Church rejects any teaching that would assign guilt to all mankind for Adam’s sin. We indeed suffer the consequences of others’ sins, but we carry guilt only for our own sins.”</w:t>
      </w:r>
      <w:r w:rsidRPr="00865448">
        <w:rPr>
          <w:rFonts w:cs="Times New Roman"/>
        </w:rPr>
        <w:t xml:space="preserve"> </w:t>
      </w:r>
      <w:r>
        <w:rPr>
          <w:rFonts w:cs="Times New Roman"/>
        </w:rPr>
        <w:t xml:space="preserve">Saint Athanasius Academy of Orthodox Theology, </w:t>
      </w:r>
      <w:r>
        <w:rPr>
          <w:rFonts w:cs="Times New Roman"/>
          <w:i/>
        </w:rPr>
        <w:t>The Orthodox Study Bible</w:t>
      </w:r>
      <w:r>
        <w:rPr>
          <w:rFonts w:cs="Times New Roman"/>
        </w:rPr>
        <w:t>, Nashville, Thomas Nelson, 2008.</w:t>
      </w:r>
    </w:p>
  </w:footnote>
  <w:footnote w:id="124">
    <w:p w14:paraId="09A7C42A" w14:textId="2F3B1390" w:rsidR="00672AB0" w:rsidRDefault="00672AB0" w:rsidP="0076306E">
      <w:pPr>
        <w:pStyle w:val="FootnoteText"/>
        <w:jc w:val="both"/>
      </w:pPr>
      <w:r>
        <w:rPr>
          <w:rStyle w:val="FootnoteReference"/>
        </w:rPr>
        <w:footnoteRef/>
      </w:r>
      <w:r>
        <w:t xml:space="preserve"> </w:t>
      </w:r>
      <w:r>
        <w:rPr>
          <w:rFonts w:cs="Times New Roman"/>
          <w:i/>
        </w:rPr>
        <w:t xml:space="preserve">Civ.Dei </w:t>
      </w:r>
      <w:r>
        <w:rPr>
          <w:rFonts w:cs="Times New Roman"/>
        </w:rPr>
        <w:t>XIII. 12.</w:t>
      </w:r>
    </w:p>
  </w:footnote>
  <w:footnote w:id="125">
    <w:p w14:paraId="084CB634" w14:textId="063B9329" w:rsidR="00672AB0" w:rsidRDefault="00672AB0" w:rsidP="0076306E">
      <w:pPr>
        <w:pStyle w:val="FootnoteText"/>
        <w:jc w:val="both"/>
      </w:pPr>
      <w:r>
        <w:rPr>
          <w:rStyle w:val="FootnoteReference"/>
        </w:rPr>
        <w:footnoteRef/>
      </w:r>
      <w:r>
        <w:t xml:space="preserve"> </w:t>
      </w:r>
      <w:r>
        <w:rPr>
          <w:rFonts w:cs="Times New Roman"/>
          <w:i/>
        </w:rPr>
        <w:t xml:space="preserve">Pecc.mer. </w:t>
      </w:r>
      <w:r>
        <w:rPr>
          <w:rFonts w:cs="Times New Roman"/>
        </w:rPr>
        <w:t>I. 21.</w:t>
      </w:r>
    </w:p>
  </w:footnote>
  <w:footnote w:id="126">
    <w:p w14:paraId="0A270576" w14:textId="77777777" w:rsidR="00672AB0" w:rsidRDefault="00672AB0" w:rsidP="00C414CC">
      <w:pPr>
        <w:pStyle w:val="FootnoteText"/>
        <w:jc w:val="both"/>
      </w:pPr>
      <w:r>
        <w:rPr>
          <w:rStyle w:val="FootnoteReference"/>
        </w:rPr>
        <w:footnoteRef/>
      </w:r>
      <w:r>
        <w:t xml:space="preserve"> </w:t>
      </w:r>
      <w:r>
        <w:rPr>
          <w:rFonts w:cs="Times New Roman"/>
          <w:i/>
        </w:rPr>
        <w:t xml:space="preserve">Pecc.mer. </w:t>
      </w:r>
      <w:r>
        <w:rPr>
          <w:rFonts w:cs="Times New Roman"/>
        </w:rPr>
        <w:t>I. 13; cf. Rom 5:14.</w:t>
      </w:r>
    </w:p>
  </w:footnote>
  <w:footnote w:id="127">
    <w:p w14:paraId="67FEABDE" w14:textId="6564C089" w:rsidR="00672AB0" w:rsidRPr="003A2827" w:rsidRDefault="00672AB0" w:rsidP="0076306E">
      <w:pPr>
        <w:pStyle w:val="FootnoteText"/>
        <w:jc w:val="both"/>
      </w:pPr>
      <w:r>
        <w:rPr>
          <w:rStyle w:val="FootnoteReference"/>
        </w:rPr>
        <w:footnoteRef/>
      </w:r>
      <w:r>
        <w:t xml:space="preserve"> </w:t>
      </w:r>
      <w:r>
        <w:rPr>
          <w:rFonts w:cs="Times New Roman"/>
        </w:rPr>
        <w:t xml:space="preserve">Famously, Von Balthasar thinks Maximus disagrees on this latter point, covertly advocating an apokatastasist account of the end times, i.e. one where all souls are ultimately redeemed. See Hans Urs </w:t>
      </w:r>
      <w:r w:rsidRPr="00D07588">
        <w:rPr>
          <w:rFonts w:cs="Times New Roman"/>
          <w:lang w:val="de-DE"/>
        </w:rPr>
        <w:t xml:space="preserve">Von Balthasar, </w:t>
      </w:r>
      <w:r w:rsidRPr="00D07588">
        <w:rPr>
          <w:rFonts w:cs="Times New Roman"/>
          <w:i/>
          <w:lang w:val="de-DE"/>
        </w:rPr>
        <w:t>Kosmische Liturgie: Maximus der Bekenner</w:t>
      </w:r>
      <w:r>
        <w:rPr>
          <w:rFonts w:cs="Times New Roman"/>
          <w:lang w:val="de-DE"/>
        </w:rPr>
        <w:t>, Einsiedeln, Johannesverlag,</w:t>
      </w:r>
      <w:r>
        <w:rPr>
          <w:rFonts w:cs="Times New Roman"/>
        </w:rPr>
        <w:t xml:space="preserve"> 1961, 356-59.</w:t>
      </w:r>
    </w:p>
  </w:footnote>
  <w:footnote w:id="128">
    <w:p w14:paraId="2651E0F2" w14:textId="135168FB" w:rsidR="00672AB0" w:rsidRDefault="00672AB0" w:rsidP="0076306E">
      <w:pPr>
        <w:pStyle w:val="FootnoteText"/>
        <w:jc w:val="both"/>
      </w:pPr>
      <w:r>
        <w:rPr>
          <w:rStyle w:val="FootnoteReference"/>
        </w:rPr>
        <w:footnoteRef/>
      </w:r>
      <w:r>
        <w:t xml:space="preserve"> </w:t>
      </w:r>
      <w:r>
        <w:rPr>
          <w:rFonts w:cs="Times New Roman"/>
        </w:rPr>
        <w:t>cf. Meyendorff, 144-145.</w:t>
      </w:r>
    </w:p>
  </w:footnote>
  <w:footnote w:id="129">
    <w:p w14:paraId="7A84F4C9" w14:textId="4FDA8E3B" w:rsidR="00672AB0" w:rsidRPr="004A538D" w:rsidRDefault="00672AB0" w:rsidP="0076306E">
      <w:pPr>
        <w:pStyle w:val="FootnoteText"/>
        <w:jc w:val="both"/>
        <w:rPr>
          <w:u w:val="single"/>
        </w:rPr>
      </w:pPr>
      <w:r>
        <w:rPr>
          <w:rStyle w:val="FootnoteReference"/>
        </w:rPr>
        <w:footnoteRef/>
      </w:r>
      <w:r>
        <w:t xml:space="preserve"> </w:t>
      </w:r>
      <w:r>
        <w:rPr>
          <w:i/>
        </w:rPr>
        <w:t>c.ep.Pel.</w:t>
      </w:r>
      <w:r>
        <w:t xml:space="preserve"> IV. 6. Cf. </w:t>
      </w:r>
      <w:r>
        <w:rPr>
          <w:i/>
        </w:rPr>
        <w:t xml:space="preserve">Amb. </w:t>
      </w:r>
      <w:r>
        <w:t xml:space="preserve">42 = PG 91: 1316C-1317B = BW 80-81; </w:t>
      </w:r>
      <w:r>
        <w:rPr>
          <w:i/>
        </w:rPr>
        <w:t xml:space="preserve">QT </w:t>
      </w:r>
      <w:r>
        <w:t>42 = CCSG 7: 285-287 = BW 119-121.</w:t>
      </w:r>
    </w:p>
  </w:footnote>
  <w:footnote w:id="130">
    <w:p w14:paraId="71235FAB" w14:textId="0FEB1CBB" w:rsidR="00672AB0" w:rsidRDefault="00672AB0" w:rsidP="0076306E">
      <w:pPr>
        <w:pStyle w:val="FootnoteText"/>
        <w:jc w:val="both"/>
      </w:pPr>
      <w:r>
        <w:rPr>
          <w:rStyle w:val="FootnoteReference"/>
        </w:rPr>
        <w:footnoteRef/>
      </w:r>
      <w:r>
        <w:t xml:space="preserve"> Alternatively, if mortality were regarded as the proper referent of ‘Original Sin’, it would entail that Christ, having been mortal, would have thereby been born in Original Sin.</w:t>
      </w:r>
    </w:p>
  </w:footnote>
  <w:footnote w:id="131">
    <w:p w14:paraId="3B063304" w14:textId="5AD9DC7F" w:rsidR="00672AB0" w:rsidRPr="002E57B2" w:rsidRDefault="00672AB0" w:rsidP="0076306E">
      <w:pPr>
        <w:pStyle w:val="FootnoteText"/>
        <w:jc w:val="both"/>
      </w:pPr>
      <w:r>
        <w:rPr>
          <w:rStyle w:val="FootnoteReference"/>
        </w:rPr>
        <w:footnoteRef/>
      </w:r>
      <w:r>
        <w:t xml:space="preserve"> </w:t>
      </w:r>
      <w:r>
        <w:rPr>
          <w:i/>
        </w:rPr>
        <w:t xml:space="preserve">C.ep.Pel. </w:t>
      </w:r>
      <w:r>
        <w:t>IV. 7.</w:t>
      </w:r>
    </w:p>
  </w:footnote>
  <w:footnote w:id="132">
    <w:p w14:paraId="4298B3A6" w14:textId="796F76E5" w:rsidR="00672AB0" w:rsidRDefault="00672AB0" w:rsidP="0076306E">
      <w:pPr>
        <w:pStyle w:val="FootnoteText"/>
        <w:jc w:val="both"/>
      </w:pPr>
      <w:r>
        <w:rPr>
          <w:rStyle w:val="FootnoteReference"/>
        </w:rPr>
        <w:footnoteRef/>
      </w:r>
      <w:r>
        <w:t xml:space="preserve"> </w:t>
      </w:r>
      <w:r>
        <w:rPr>
          <w:rFonts w:cs="Times New Roman"/>
          <w:i/>
        </w:rPr>
        <w:t xml:space="preserve">Amb. </w:t>
      </w:r>
      <w:r>
        <w:rPr>
          <w:rFonts w:cs="Times New Roman"/>
        </w:rPr>
        <w:t>7 = PG 91:1092D = BW 67.</w:t>
      </w:r>
    </w:p>
  </w:footnote>
  <w:footnote w:id="133">
    <w:p w14:paraId="132F06B6" w14:textId="77777777" w:rsidR="00672AB0" w:rsidRDefault="00672AB0" w:rsidP="0076306E">
      <w:pPr>
        <w:pStyle w:val="FootnoteText"/>
        <w:jc w:val="both"/>
      </w:pPr>
      <w:r>
        <w:rPr>
          <w:rStyle w:val="FootnoteReference"/>
        </w:rPr>
        <w:footnoteRef/>
      </w:r>
      <w:r>
        <w:t xml:space="preserve"> </w:t>
      </w:r>
      <w:r>
        <w:rPr>
          <w:rFonts w:cs="Times New Roman"/>
          <w:i/>
        </w:rPr>
        <w:t xml:space="preserve">QT </w:t>
      </w:r>
      <w:r>
        <w:rPr>
          <w:rFonts w:cs="Times New Roman"/>
        </w:rPr>
        <w:t>42 = CCSG 7:287 = BW 120.</w:t>
      </w:r>
    </w:p>
  </w:footnote>
  <w:footnote w:id="134">
    <w:p w14:paraId="0E213190" w14:textId="2BF1E7E7" w:rsidR="00672AB0" w:rsidRPr="007800DA" w:rsidRDefault="00672AB0" w:rsidP="0076306E">
      <w:pPr>
        <w:pStyle w:val="FootnoteText"/>
        <w:tabs>
          <w:tab w:val="left" w:pos="8550"/>
        </w:tabs>
        <w:jc w:val="both"/>
      </w:pPr>
      <w:r>
        <w:rPr>
          <w:rStyle w:val="FootnoteReference"/>
        </w:rPr>
        <w:footnoteRef/>
      </w:r>
      <w:r>
        <w:t xml:space="preserve"> Note how Maximus’ use of the first person in the passage seems to imply a participation in Adam’s sin, just as in Augustine’s appropriation of Ambrosiaster’s language of all sinning in Adam ‘as though in a lump.’ Cf. </w:t>
      </w:r>
      <w:r>
        <w:rPr>
          <w:i/>
        </w:rPr>
        <w:t xml:space="preserve">C.ep.Pel. </w:t>
      </w:r>
      <w:r>
        <w:t xml:space="preserve">IV. 7; </w:t>
      </w:r>
      <w:r>
        <w:rPr>
          <w:i/>
        </w:rPr>
        <w:t>C.Iul.</w:t>
      </w:r>
      <w:r>
        <w:t xml:space="preserve"> VI. 75.</w:t>
      </w:r>
    </w:p>
  </w:footnote>
  <w:footnote w:id="135">
    <w:p w14:paraId="2A7712B1" w14:textId="77777777" w:rsidR="00672AB0" w:rsidRDefault="00672AB0" w:rsidP="0076306E">
      <w:pPr>
        <w:pStyle w:val="FootnoteText"/>
        <w:jc w:val="both"/>
      </w:pPr>
      <w:r>
        <w:rPr>
          <w:rStyle w:val="FootnoteReference"/>
        </w:rPr>
        <w:footnoteRef/>
      </w:r>
      <w:r>
        <w:t xml:space="preserve"> </w:t>
      </w:r>
      <w:r>
        <w:rPr>
          <w:rFonts w:cs="Times New Roman"/>
          <w:i/>
        </w:rPr>
        <w:t xml:space="preserve">QT </w:t>
      </w:r>
      <w:r>
        <w:rPr>
          <w:rFonts w:cs="Times New Roman"/>
        </w:rPr>
        <w:t>21 = CCSG 7:129 = BW 111.</w:t>
      </w:r>
    </w:p>
  </w:footnote>
  <w:footnote w:id="136">
    <w:p w14:paraId="3514DEAD" w14:textId="4CE3736C" w:rsidR="00672AB0" w:rsidRPr="001E3E6C" w:rsidRDefault="00672AB0" w:rsidP="0076306E">
      <w:pPr>
        <w:pStyle w:val="FootnoteText"/>
        <w:jc w:val="both"/>
      </w:pPr>
      <w:r>
        <w:rPr>
          <w:rStyle w:val="FootnoteReference"/>
        </w:rPr>
        <w:footnoteRef/>
      </w:r>
      <w:r>
        <w:t xml:space="preserve"> </w:t>
      </w:r>
      <w:r>
        <w:rPr>
          <w:i/>
        </w:rPr>
        <w:t xml:space="preserve">Op. </w:t>
      </w:r>
      <w:r>
        <w:t xml:space="preserve">6 = PG 91: 65A-68D = BW 173-176; Cf. Marcel </w:t>
      </w:r>
      <w:r>
        <w:rPr>
          <w:rFonts w:cs="Times New Roman"/>
          <w:lang w:val="fr-FR"/>
        </w:rPr>
        <w:t xml:space="preserve">Doucet, F. I. C., « La Volonté Humaine du Christ, Spécialement en Son Agonie. Maxime le Confesseur, Interprète de l’Écriture » </w:t>
      </w:r>
      <w:r>
        <w:rPr>
          <w:rFonts w:cs="Times New Roman"/>
          <w:i/>
          <w:iCs/>
          <w:lang w:val="fr-FR"/>
        </w:rPr>
        <w:t xml:space="preserve">Science et Esprit </w:t>
      </w:r>
      <w:r>
        <w:rPr>
          <w:rFonts w:cs="Times New Roman"/>
          <w:lang w:val="fr-FR"/>
        </w:rPr>
        <w:t>37 (1985), 123-159.</w:t>
      </w:r>
    </w:p>
  </w:footnote>
  <w:footnote w:id="137">
    <w:p w14:paraId="7CAF6C89" w14:textId="2D4D4EF1" w:rsidR="00672AB0" w:rsidRDefault="00672AB0" w:rsidP="0076306E">
      <w:pPr>
        <w:pStyle w:val="FootnoteText"/>
        <w:jc w:val="both"/>
      </w:pPr>
      <w:r>
        <w:rPr>
          <w:rStyle w:val="FootnoteReference"/>
        </w:rPr>
        <w:footnoteRef/>
      </w:r>
      <w:r>
        <w:t>See his claim that though human birth was “punitively instituted after the Fall,” (</w:t>
      </w:r>
      <w:r>
        <w:rPr>
          <w:i/>
        </w:rPr>
        <w:t xml:space="preserve">Amb. </w:t>
      </w:r>
      <w:r>
        <w:t xml:space="preserve">42 = PG 91:1317A = BW 81). This claim serves as a necessary prerequisite for the very problem discussed at the beginning of </w:t>
      </w:r>
      <w:r>
        <w:rPr>
          <w:i/>
        </w:rPr>
        <w:t xml:space="preserve">Amb. </w:t>
      </w:r>
      <w:r>
        <w:t xml:space="preserve">42: how Christ could have been born naturally without being born sinful.  Maximus’ solution here is directly in accordance with Augustine’s remarks on the same subject at </w:t>
      </w:r>
      <w:r>
        <w:rPr>
          <w:i/>
        </w:rPr>
        <w:t xml:space="preserve">Nat. et gr. </w:t>
      </w:r>
      <w:r>
        <w:t>71.</w:t>
      </w:r>
    </w:p>
  </w:footnote>
  <w:footnote w:id="138">
    <w:p w14:paraId="2111CD9C" w14:textId="62D47D64" w:rsidR="00672AB0" w:rsidRPr="005D76B0" w:rsidRDefault="00672AB0" w:rsidP="0076306E">
      <w:pPr>
        <w:pStyle w:val="FootnoteText"/>
        <w:jc w:val="both"/>
      </w:pPr>
      <w:r>
        <w:rPr>
          <w:rStyle w:val="FootnoteReference"/>
        </w:rPr>
        <w:footnoteRef/>
      </w:r>
      <w:r>
        <w:t xml:space="preserve"> </w:t>
      </w:r>
      <w:r>
        <w:rPr>
          <w:i/>
        </w:rPr>
        <w:t xml:space="preserve">QT </w:t>
      </w:r>
      <w:r>
        <w:t>42 = CCSG 7: 285-87 = BW 120 (alt.).</w:t>
      </w:r>
    </w:p>
  </w:footnote>
  <w:footnote w:id="139">
    <w:p w14:paraId="10F999ED" w14:textId="12EF0214" w:rsidR="00672AB0" w:rsidRPr="004F0A1C" w:rsidRDefault="00672AB0" w:rsidP="0076306E">
      <w:pPr>
        <w:pStyle w:val="FootnoteText"/>
        <w:jc w:val="both"/>
      </w:pPr>
      <w:r>
        <w:rPr>
          <w:rStyle w:val="FootnoteReference"/>
        </w:rPr>
        <w:footnoteRef/>
      </w:r>
      <w:r>
        <w:t xml:space="preserve"> </w:t>
      </w:r>
      <w:r>
        <w:rPr>
          <w:i/>
        </w:rPr>
        <w:t xml:space="preserve">QT </w:t>
      </w:r>
      <w:r>
        <w:t>61 = CCSG 22: 97 = BW 139 (alt.).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FA6A7C64"/>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58FAE284"/>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26EDF1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DC10CC6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3F487D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291ECE9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7AD4792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89C4C5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3D5693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384B64"/>
    <w:multiLevelType w:val="multilevel"/>
    <w:tmpl w:val="1E9A531A"/>
    <w:styleLink w:val="WWNum1"/>
    <w:lvl w:ilvl="0">
      <w:start w:val="1"/>
      <w:numFmt w:val="upperRoman"/>
      <w:lvlText w:val="%1."/>
      <w:lvlJc w:val="left"/>
      <w:pPr>
        <w:ind w:left="720" w:hanging="360"/>
      </w:pPr>
      <w:rPr>
        <w:u w:val="none"/>
      </w:rPr>
    </w:lvl>
    <w:lvl w:ilvl="1">
      <w:start w:val="1"/>
      <w:numFmt w:val="lowerLetter"/>
      <w:lvlText w:val="%2."/>
      <w:lvlJc w:val="left"/>
      <w:pPr>
        <w:ind w:left="1080" w:hanging="360"/>
      </w:pPr>
    </w:lvl>
    <w:lvl w:ilvl="2">
      <w:start w:val="1"/>
      <w:numFmt w:val="lowerRoman"/>
      <w:lvlText w:val="%1.%2.%3."/>
      <w:lvlJc w:val="right"/>
      <w:pPr>
        <w:ind w:left="1440" w:hanging="360"/>
      </w:pPr>
    </w:lvl>
    <w:lvl w:ilvl="3">
      <w:start w:val="1"/>
      <w:numFmt w:val="decimal"/>
      <w:lvlText w:val="%1.%2.%3.%4."/>
      <w:lvlJc w:val="left"/>
      <w:pPr>
        <w:ind w:left="1800" w:hanging="360"/>
      </w:pPr>
    </w:lvl>
    <w:lvl w:ilvl="4">
      <w:start w:val="1"/>
      <w:numFmt w:val="lowerLetter"/>
      <w:lvlText w:val="%1.%2.%3.%4.%5."/>
      <w:lvlJc w:val="left"/>
      <w:pPr>
        <w:ind w:left="2160" w:hanging="360"/>
      </w:pPr>
    </w:lvl>
    <w:lvl w:ilvl="5">
      <w:start w:val="1"/>
      <w:numFmt w:val="lowerRoman"/>
      <w:lvlText w:val="%1.%2.%3.%4.%5.%6."/>
      <w:lvlJc w:val="right"/>
      <w:pPr>
        <w:ind w:left="2520" w:hanging="360"/>
      </w:pPr>
    </w:lvl>
    <w:lvl w:ilvl="6">
      <w:start w:val="1"/>
      <w:numFmt w:val="decimal"/>
      <w:lvlText w:val="%1.%2.%3.%4.%5.%6.%7."/>
      <w:lvlJc w:val="left"/>
      <w:pPr>
        <w:ind w:left="2880" w:hanging="360"/>
      </w:pPr>
    </w:lvl>
    <w:lvl w:ilvl="7">
      <w:start w:val="1"/>
      <w:numFmt w:val="lowerLetter"/>
      <w:lvlText w:val="%1.%2.%3.%4.%5.%6.%7.%8."/>
      <w:lvlJc w:val="left"/>
      <w:pPr>
        <w:ind w:left="3240" w:hanging="360"/>
      </w:pPr>
    </w:lvl>
    <w:lvl w:ilvl="8">
      <w:start w:val="1"/>
      <w:numFmt w:val="lowerRoman"/>
      <w:lvlText w:val="%1.%2.%3.%4.%5.%6.%7.%8.%9."/>
      <w:lvlJc w:val="right"/>
      <w:pPr>
        <w:ind w:left="3600" w:hanging="360"/>
      </w:pPr>
    </w:lvl>
  </w:abstractNum>
  <w:abstractNum w:abstractNumId="10" w15:restartNumberingAfterBreak="0">
    <w:nsid w:val="510C6E34"/>
    <w:multiLevelType w:val="multilevel"/>
    <w:tmpl w:val="FD4626FC"/>
    <w:styleLink w:val="WWNum2"/>
    <w:lvl w:ilvl="0">
      <w:start w:val="1"/>
      <w:numFmt w:val="upperRoman"/>
      <w:lvlText w:val="%1."/>
      <w:lvlJc w:val="left"/>
      <w:pPr>
        <w:ind w:left="720" w:hanging="360"/>
      </w:pPr>
      <w:rPr>
        <w:u w:val="none"/>
      </w:rPr>
    </w:lvl>
    <w:lvl w:ilvl="1">
      <w:start w:val="1"/>
      <w:numFmt w:val="lowerLetter"/>
      <w:lvlText w:val="%2."/>
      <w:lvlJc w:val="left"/>
      <w:pPr>
        <w:ind w:left="1080" w:hanging="360"/>
      </w:pPr>
    </w:lvl>
    <w:lvl w:ilvl="2">
      <w:start w:val="1"/>
      <w:numFmt w:val="lowerRoman"/>
      <w:lvlText w:val="%1.%2.%3."/>
      <w:lvlJc w:val="right"/>
      <w:pPr>
        <w:ind w:left="1440" w:hanging="360"/>
      </w:pPr>
    </w:lvl>
    <w:lvl w:ilvl="3">
      <w:start w:val="1"/>
      <w:numFmt w:val="decimal"/>
      <w:lvlText w:val="%1.%2.%3.%4."/>
      <w:lvlJc w:val="left"/>
      <w:pPr>
        <w:ind w:left="1800" w:hanging="360"/>
      </w:pPr>
    </w:lvl>
    <w:lvl w:ilvl="4">
      <w:start w:val="1"/>
      <w:numFmt w:val="lowerLetter"/>
      <w:lvlText w:val="%1.%2.%3.%4.%5."/>
      <w:lvlJc w:val="left"/>
      <w:pPr>
        <w:ind w:left="2160" w:hanging="360"/>
      </w:pPr>
    </w:lvl>
    <w:lvl w:ilvl="5">
      <w:start w:val="1"/>
      <w:numFmt w:val="lowerRoman"/>
      <w:lvlText w:val="%1.%2.%3.%4.%5.%6."/>
      <w:lvlJc w:val="right"/>
      <w:pPr>
        <w:ind w:left="2520" w:hanging="360"/>
      </w:pPr>
    </w:lvl>
    <w:lvl w:ilvl="6">
      <w:start w:val="1"/>
      <w:numFmt w:val="decimal"/>
      <w:lvlText w:val="%1.%2.%3.%4.%5.%6.%7."/>
      <w:lvlJc w:val="left"/>
      <w:pPr>
        <w:ind w:left="2880" w:hanging="360"/>
      </w:pPr>
    </w:lvl>
    <w:lvl w:ilvl="7">
      <w:start w:val="1"/>
      <w:numFmt w:val="lowerLetter"/>
      <w:lvlText w:val="%1.%2.%3.%4.%5.%6.%7.%8."/>
      <w:lvlJc w:val="left"/>
      <w:pPr>
        <w:ind w:left="3240" w:hanging="360"/>
      </w:pPr>
    </w:lvl>
    <w:lvl w:ilvl="8">
      <w:start w:val="1"/>
      <w:numFmt w:val="lowerRoman"/>
      <w:lvlText w:val="%1.%2.%3.%4.%5.%6.%7.%8.%9."/>
      <w:lvlJc w:val="right"/>
      <w:pPr>
        <w:ind w:left="3600" w:hanging="360"/>
      </w:pPr>
    </w:lvl>
  </w:abstractNum>
  <w:num w:numId="1">
    <w:abstractNumId w:val="9"/>
  </w:num>
  <w:num w:numId="2">
    <w:abstractNumId w:val="10"/>
  </w:num>
  <w:num w:numId="3">
    <w:abstractNumId w:val="10"/>
    <w:lvlOverride w:ilvl="0">
      <w:startOverride w:val="1"/>
    </w:lvlOverride>
  </w:num>
  <w:num w:numId="4">
    <w:abstractNumId w:val="9"/>
    <w:lvlOverride w:ilvl="0">
      <w:startOverride w:val="1"/>
    </w:lvlOverride>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autoHyphenation/>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F39"/>
    <w:rsid w:val="000015D5"/>
    <w:rsid w:val="00002B98"/>
    <w:rsid w:val="00004C30"/>
    <w:rsid w:val="00006ABF"/>
    <w:rsid w:val="000114D6"/>
    <w:rsid w:val="00013F86"/>
    <w:rsid w:val="0001449D"/>
    <w:rsid w:val="00014E32"/>
    <w:rsid w:val="00016BD8"/>
    <w:rsid w:val="00022B91"/>
    <w:rsid w:val="0002419C"/>
    <w:rsid w:val="00030563"/>
    <w:rsid w:val="000362EF"/>
    <w:rsid w:val="000414E7"/>
    <w:rsid w:val="0004348B"/>
    <w:rsid w:val="00043808"/>
    <w:rsid w:val="00043C56"/>
    <w:rsid w:val="000475BE"/>
    <w:rsid w:val="00050109"/>
    <w:rsid w:val="00050DD7"/>
    <w:rsid w:val="00050E98"/>
    <w:rsid w:val="000537FF"/>
    <w:rsid w:val="00054E66"/>
    <w:rsid w:val="000552BA"/>
    <w:rsid w:val="00055A38"/>
    <w:rsid w:val="00055C7E"/>
    <w:rsid w:val="00056326"/>
    <w:rsid w:val="000568D8"/>
    <w:rsid w:val="000575E2"/>
    <w:rsid w:val="00057A16"/>
    <w:rsid w:val="000603ED"/>
    <w:rsid w:val="00060D47"/>
    <w:rsid w:val="0006107B"/>
    <w:rsid w:val="00062254"/>
    <w:rsid w:val="00062CA9"/>
    <w:rsid w:val="0006577E"/>
    <w:rsid w:val="00065DB6"/>
    <w:rsid w:val="000706C5"/>
    <w:rsid w:val="00073525"/>
    <w:rsid w:val="000740E4"/>
    <w:rsid w:val="00075218"/>
    <w:rsid w:val="00076D91"/>
    <w:rsid w:val="00081351"/>
    <w:rsid w:val="000839B7"/>
    <w:rsid w:val="00083EA0"/>
    <w:rsid w:val="00084ABC"/>
    <w:rsid w:val="00090EF4"/>
    <w:rsid w:val="00095CCC"/>
    <w:rsid w:val="000966F8"/>
    <w:rsid w:val="000A08EE"/>
    <w:rsid w:val="000A0C65"/>
    <w:rsid w:val="000A2AD7"/>
    <w:rsid w:val="000A35AA"/>
    <w:rsid w:val="000A3A89"/>
    <w:rsid w:val="000A5E4B"/>
    <w:rsid w:val="000A61B1"/>
    <w:rsid w:val="000A6D4E"/>
    <w:rsid w:val="000A7340"/>
    <w:rsid w:val="000B0E4D"/>
    <w:rsid w:val="000B2E0F"/>
    <w:rsid w:val="000B4CB3"/>
    <w:rsid w:val="000B78CE"/>
    <w:rsid w:val="000C0064"/>
    <w:rsid w:val="000C0A6F"/>
    <w:rsid w:val="000C1DD4"/>
    <w:rsid w:val="000C57BA"/>
    <w:rsid w:val="000C74B3"/>
    <w:rsid w:val="000C7B9F"/>
    <w:rsid w:val="000D1253"/>
    <w:rsid w:val="000D2AD7"/>
    <w:rsid w:val="000D3272"/>
    <w:rsid w:val="000D3D58"/>
    <w:rsid w:val="000D75E0"/>
    <w:rsid w:val="000E1505"/>
    <w:rsid w:val="000E1AF9"/>
    <w:rsid w:val="000E201D"/>
    <w:rsid w:val="000E587F"/>
    <w:rsid w:val="000F6DB6"/>
    <w:rsid w:val="00101989"/>
    <w:rsid w:val="00101A34"/>
    <w:rsid w:val="00102540"/>
    <w:rsid w:val="001036AC"/>
    <w:rsid w:val="00104531"/>
    <w:rsid w:val="00105226"/>
    <w:rsid w:val="00105302"/>
    <w:rsid w:val="001070F4"/>
    <w:rsid w:val="00107BC3"/>
    <w:rsid w:val="00111177"/>
    <w:rsid w:val="00112450"/>
    <w:rsid w:val="0011274F"/>
    <w:rsid w:val="00112E59"/>
    <w:rsid w:val="001136E9"/>
    <w:rsid w:val="001148B9"/>
    <w:rsid w:val="001157E3"/>
    <w:rsid w:val="00117736"/>
    <w:rsid w:val="00120501"/>
    <w:rsid w:val="00122E29"/>
    <w:rsid w:val="00123F39"/>
    <w:rsid w:val="00123FA0"/>
    <w:rsid w:val="00125AA0"/>
    <w:rsid w:val="0012725F"/>
    <w:rsid w:val="00130BC1"/>
    <w:rsid w:val="00131FA4"/>
    <w:rsid w:val="0013323E"/>
    <w:rsid w:val="001345BA"/>
    <w:rsid w:val="001405F3"/>
    <w:rsid w:val="00140A5F"/>
    <w:rsid w:val="001439C0"/>
    <w:rsid w:val="00143DEC"/>
    <w:rsid w:val="001466E0"/>
    <w:rsid w:val="00151E07"/>
    <w:rsid w:val="00152B22"/>
    <w:rsid w:val="00152B6E"/>
    <w:rsid w:val="00155754"/>
    <w:rsid w:val="00157029"/>
    <w:rsid w:val="00157D6B"/>
    <w:rsid w:val="00157EA4"/>
    <w:rsid w:val="0016018D"/>
    <w:rsid w:val="00162930"/>
    <w:rsid w:val="00162BEF"/>
    <w:rsid w:val="00165440"/>
    <w:rsid w:val="001668E1"/>
    <w:rsid w:val="001676C2"/>
    <w:rsid w:val="0017269B"/>
    <w:rsid w:val="00175527"/>
    <w:rsid w:val="00180BAF"/>
    <w:rsid w:val="00181F1A"/>
    <w:rsid w:val="001822AB"/>
    <w:rsid w:val="001824BA"/>
    <w:rsid w:val="0018256F"/>
    <w:rsid w:val="00184C79"/>
    <w:rsid w:val="001853F0"/>
    <w:rsid w:val="00185CC1"/>
    <w:rsid w:val="00186229"/>
    <w:rsid w:val="001864AD"/>
    <w:rsid w:val="00186A0F"/>
    <w:rsid w:val="00186CA8"/>
    <w:rsid w:val="001915EA"/>
    <w:rsid w:val="001924FB"/>
    <w:rsid w:val="001934CC"/>
    <w:rsid w:val="0019357F"/>
    <w:rsid w:val="00197288"/>
    <w:rsid w:val="001A1FFB"/>
    <w:rsid w:val="001A2A2E"/>
    <w:rsid w:val="001A2B70"/>
    <w:rsid w:val="001A4052"/>
    <w:rsid w:val="001A78A3"/>
    <w:rsid w:val="001B5A79"/>
    <w:rsid w:val="001C13F7"/>
    <w:rsid w:val="001C2D4A"/>
    <w:rsid w:val="001C5144"/>
    <w:rsid w:val="001C6CB0"/>
    <w:rsid w:val="001C737A"/>
    <w:rsid w:val="001C7873"/>
    <w:rsid w:val="001D382E"/>
    <w:rsid w:val="001E3E6C"/>
    <w:rsid w:val="001E5768"/>
    <w:rsid w:val="001E5EAC"/>
    <w:rsid w:val="001E69BA"/>
    <w:rsid w:val="001E6A0F"/>
    <w:rsid w:val="001E764E"/>
    <w:rsid w:val="001F1028"/>
    <w:rsid w:val="001F1DB3"/>
    <w:rsid w:val="001F3011"/>
    <w:rsid w:val="001F4A35"/>
    <w:rsid w:val="001F50A8"/>
    <w:rsid w:val="001F527D"/>
    <w:rsid w:val="001F5F52"/>
    <w:rsid w:val="001F68AC"/>
    <w:rsid w:val="001F7C60"/>
    <w:rsid w:val="0020011C"/>
    <w:rsid w:val="002002E0"/>
    <w:rsid w:val="002007CF"/>
    <w:rsid w:val="0020214A"/>
    <w:rsid w:val="00202B10"/>
    <w:rsid w:val="00213821"/>
    <w:rsid w:val="0021459F"/>
    <w:rsid w:val="00216019"/>
    <w:rsid w:val="00216706"/>
    <w:rsid w:val="0021762F"/>
    <w:rsid w:val="00217C55"/>
    <w:rsid w:val="00217DC3"/>
    <w:rsid w:val="00217ED9"/>
    <w:rsid w:val="00223DD6"/>
    <w:rsid w:val="00224D35"/>
    <w:rsid w:val="00224E7C"/>
    <w:rsid w:val="00230340"/>
    <w:rsid w:val="00230C8D"/>
    <w:rsid w:val="002314AF"/>
    <w:rsid w:val="0023360A"/>
    <w:rsid w:val="00233D1C"/>
    <w:rsid w:val="00236188"/>
    <w:rsid w:val="002369B7"/>
    <w:rsid w:val="00237132"/>
    <w:rsid w:val="00242EE7"/>
    <w:rsid w:val="00245461"/>
    <w:rsid w:val="00245F08"/>
    <w:rsid w:val="00250597"/>
    <w:rsid w:val="00252788"/>
    <w:rsid w:val="0025337F"/>
    <w:rsid w:val="00254568"/>
    <w:rsid w:val="00254816"/>
    <w:rsid w:val="002564BA"/>
    <w:rsid w:val="00257F1C"/>
    <w:rsid w:val="00260A6A"/>
    <w:rsid w:val="00260C6A"/>
    <w:rsid w:val="0026279C"/>
    <w:rsid w:val="002645A7"/>
    <w:rsid w:val="00265093"/>
    <w:rsid w:val="002655F9"/>
    <w:rsid w:val="00265E5A"/>
    <w:rsid w:val="002663DE"/>
    <w:rsid w:val="00273B2E"/>
    <w:rsid w:val="00273DF6"/>
    <w:rsid w:val="00274168"/>
    <w:rsid w:val="00274753"/>
    <w:rsid w:val="002761FF"/>
    <w:rsid w:val="00276A85"/>
    <w:rsid w:val="00280E45"/>
    <w:rsid w:val="002823D4"/>
    <w:rsid w:val="00282C5F"/>
    <w:rsid w:val="00284818"/>
    <w:rsid w:val="002859F0"/>
    <w:rsid w:val="00286F54"/>
    <w:rsid w:val="00290142"/>
    <w:rsid w:val="002903BC"/>
    <w:rsid w:val="00290618"/>
    <w:rsid w:val="00290D0A"/>
    <w:rsid w:val="002944DD"/>
    <w:rsid w:val="00296321"/>
    <w:rsid w:val="002A026A"/>
    <w:rsid w:val="002A43A6"/>
    <w:rsid w:val="002A46A6"/>
    <w:rsid w:val="002A5A28"/>
    <w:rsid w:val="002A7A16"/>
    <w:rsid w:val="002B0C8E"/>
    <w:rsid w:val="002B1B0A"/>
    <w:rsid w:val="002B486F"/>
    <w:rsid w:val="002B598B"/>
    <w:rsid w:val="002B74CA"/>
    <w:rsid w:val="002B7991"/>
    <w:rsid w:val="002C386D"/>
    <w:rsid w:val="002D0522"/>
    <w:rsid w:val="002D1017"/>
    <w:rsid w:val="002D255D"/>
    <w:rsid w:val="002D32CA"/>
    <w:rsid w:val="002D3AA1"/>
    <w:rsid w:val="002D57DF"/>
    <w:rsid w:val="002D64B9"/>
    <w:rsid w:val="002D72D0"/>
    <w:rsid w:val="002D77AD"/>
    <w:rsid w:val="002D7CC3"/>
    <w:rsid w:val="002E1FBC"/>
    <w:rsid w:val="002E57B2"/>
    <w:rsid w:val="002E6B3F"/>
    <w:rsid w:val="002F03CF"/>
    <w:rsid w:val="002F1E36"/>
    <w:rsid w:val="002F4302"/>
    <w:rsid w:val="0030190E"/>
    <w:rsid w:val="003039D1"/>
    <w:rsid w:val="00303A15"/>
    <w:rsid w:val="0030421D"/>
    <w:rsid w:val="0030744D"/>
    <w:rsid w:val="0031162A"/>
    <w:rsid w:val="00312BE4"/>
    <w:rsid w:val="00313126"/>
    <w:rsid w:val="00313A25"/>
    <w:rsid w:val="00313B5B"/>
    <w:rsid w:val="003156D0"/>
    <w:rsid w:val="0031594E"/>
    <w:rsid w:val="00315EA7"/>
    <w:rsid w:val="00317781"/>
    <w:rsid w:val="00317931"/>
    <w:rsid w:val="0032125D"/>
    <w:rsid w:val="003215A3"/>
    <w:rsid w:val="003215D0"/>
    <w:rsid w:val="003259AB"/>
    <w:rsid w:val="00327E1D"/>
    <w:rsid w:val="00333CA0"/>
    <w:rsid w:val="00335AD3"/>
    <w:rsid w:val="00343E1D"/>
    <w:rsid w:val="00353124"/>
    <w:rsid w:val="00355990"/>
    <w:rsid w:val="00361B0A"/>
    <w:rsid w:val="003643AA"/>
    <w:rsid w:val="0036497B"/>
    <w:rsid w:val="00367BE6"/>
    <w:rsid w:val="00371991"/>
    <w:rsid w:val="003760BE"/>
    <w:rsid w:val="003761AD"/>
    <w:rsid w:val="00377A79"/>
    <w:rsid w:val="00380B02"/>
    <w:rsid w:val="00380F10"/>
    <w:rsid w:val="003815D4"/>
    <w:rsid w:val="00382A5A"/>
    <w:rsid w:val="00383A64"/>
    <w:rsid w:val="00386785"/>
    <w:rsid w:val="0039052F"/>
    <w:rsid w:val="003911BA"/>
    <w:rsid w:val="00392440"/>
    <w:rsid w:val="003926A8"/>
    <w:rsid w:val="00392CF0"/>
    <w:rsid w:val="00396C1B"/>
    <w:rsid w:val="00397606"/>
    <w:rsid w:val="003A2827"/>
    <w:rsid w:val="003A2B5B"/>
    <w:rsid w:val="003A4051"/>
    <w:rsid w:val="003A47BB"/>
    <w:rsid w:val="003A574C"/>
    <w:rsid w:val="003A71C7"/>
    <w:rsid w:val="003B0D19"/>
    <w:rsid w:val="003B103E"/>
    <w:rsid w:val="003B6DD0"/>
    <w:rsid w:val="003B7C35"/>
    <w:rsid w:val="003C09DD"/>
    <w:rsid w:val="003C39E2"/>
    <w:rsid w:val="003C3F04"/>
    <w:rsid w:val="003C4B1A"/>
    <w:rsid w:val="003C4CB4"/>
    <w:rsid w:val="003C6AA3"/>
    <w:rsid w:val="003C791D"/>
    <w:rsid w:val="003C7943"/>
    <w:rsid w:val="003D033C"/>
    <w:rsid w:val="003D268B"/>
    <w:rsid w:val="003D2E67"/>
    <w:rsid w:val="003D4AF0"/>
    <w:rsid w:val="003D50EB"/>
    <w:rsid w:val="003E0305"/>
    <w:rsid w:val="003E18F7"/>
    <w:rsid w:val="003E60FE"/>
    <w:rsid w:val="003F00F1"/>
    <w:rsid w:val="003F1B83"/>
    <w:rsid w:val="003F3091"/>
    <w:rsid w:val="003F41EF"/>
    <w:rsid w:val="003F5B4F"/>
    <w:rsid w:val="004020A7"/>
    <w:rsid w:val="004023AA"/>
    <w:rsid w:val="00407150"/>
    <w:rsid w:val="00407608"/>
    <w:rsid w:val="00410411"/>
    <w:rsid w:val="00410B9F"/>
    <w:rsid w:val="00410F4B"/>
    <w:rsid w:val="0041252B"/>
    <w:rsid w:val="00414FED"/>
    <w:rsid w:val="00416424"/>
    <w:rsid w:val="00420610"/>
    <w:rsid w:val="00422899"/>
    <w:rsid w:val="00422BE4"/>
    <w:rsid w:val="004234DE"/>
    <w:rsid w:val="004275C2"/>
    <w:rsid w:val="00430D9F"/>
    <w:rsid w:val="00431DA4"/>
    <w:rsid w:val="00432161"/>
    <w:rsid w:val="004375EA"/>
    <w:rsid w:val="00440A85"/>
    <w:rsid w:val="00440B9F"/>
    <w:rsid w:val="00440D60"/>
    <w:rsid w:val="00442C68"/>
    <w:rsid w:val="00444779"/>
    <w:rsid w:val="00450308"/>
    <w:rsid w:val="004525BE"/>
    <w:rsid w:val="004529B6"/>
    <w:rsid w:val="004549CC"/>
    <w:rsid w:val="00454D59"/>
    <w:rsid w:val="00456F94"/>
    <w:rsid w:val="00457D3F"/>
    <w:rsid w:val="004618F9"/>
    <w:rsid w:val="00462564"/>
    <w:rsid w:val="004650E3"/>
    <w:rsid w:val="00465A87"/>
    <w:rsid w:val="00466843"/>
    <w:rsid w:val="00471F76"/>
    <w:rsid w:val="00472379"/>
    <w:rsid w:val="00472C13"/>
    <w:rsid w:val="00473BD5"/>
    <w:rsid w:val="00473EC5"/>
    <w:rsid w:val="00474BB4"/>
    <w:rsid w:val="00475156"/>
    <w:rsid w:val="00476004"/>
    <w:rsid w:val="00482253"/>
    <w:rsid w:val="00485DFC"/>
    <w:rsid w:val="004876CC"/>
    <w:rsid w:val="00495185"/>
    <w:rsid w:val="00497FA5"/>
    <w:rsid w:val="004A0A0C"/>
    <w:rsid w:val="004A4AFC"/>
    <w:rsid w:val="004A538D"/>
    <w:rsid w:val="004A6B1A"/>
    <w:rsid w:val="004B0B21"/>
    <w:rsid w:val="004B1865"/>
    <w:rsid w:val="004B225F"/>
    <w:rsid w:val="004B25D6"/>
    <w:rsid w:val="004B2A88"/>
    <w:rsid w:val="004B37E9"/>
    <w:rsid w:val="004B6F1D"/>
    <w:rsid w:val="004B7EAC"/>
    <w:rsid w:val="004C08EE"/>
    <w:rsid w:val="004C0A19"/>
    <w:rsid w:val="004C31CB"/>
    <w:rsid w:val="004C3498"/>
    <w:rsid w:val="004C3FE4"/>
    <w:rsid w:val="004C76B8"/>
    <w:rsid w:val="004D2270"/>
    <w:rsid w:val="004D2807"/>
    <w:rsid w:val="004E29C5"/>
    <w:rsid w:val="004E3531"/>
    <w:rsid w:val="004E6AD3"/>
    <w:rsid w:val="004F0A1C"/>
    <w:rsid w:val="004F0D2C"/>
    <w:rsid w:val="004F733A"/>
    <w:rsid w:val="00500F15"/>
    <w:rsid w:val="005065AB"/>
    <w:rsid w:val="00507E14"/>
    <w:rsid w:val="00507FDA"/>
    <w:rsid w:val="0051460F"/>
    <w:rsid w:val="00516C99"/>
    <w:rsid w:val="00516D0D"/>
    <w:rsid w:val="005214F1"/>
    <w:rsid w:val="00526217"/>
    <w:rsid w:val="00531B57"/>
    <w:rsid w:val="00531D14"/>
    <w:rsid w:val="0053349D"/>
    <w:rsid w:val="0053672E"/>
    <w:rsid w:val="00540596"/>
    <w:rsid w:val="00542287"/>
    <w:rsid w:val="0054502A"/>
    <w:rsid w:val="00545EAB"/>
    <w:rsid w:val="00553BDE"/>
    <w:rsid w:val="00554372"/>
    <w:rsid w:val="005550AB"/>
    <w:rsid w:val="0055780A"/>
    <w:rsid w:val="0056044C"/>
    <w:rsid w:val="00561EEC"/>
    <w:rsid w:val="005659A6"/>
    <w:rsid w:val="00567829"/>
    <w:rsid w:val="0057476C"/>
    <w:rsid w:val="00574905"/>
    <w:rsid w:val="00576BE1"/>
    <w:rsid w:val="0058024B"/>
    <w:rsid w:val="00581E9B"/>
    <w:rsid w:val="005824EA"/>
    <w:rsid w:val="00584749"/>
    <w:rsid w:val="005865EA"/>
    <w:rsid w:val="00586F00"/>
    <w:rsid w:val="00593155"/>
    <w:rsid w:val="00596F7F"/>
    <w:rsid w:val="005978E3"/>
    <w:rsid w:val="005A10FD"/>
    <w:rsid w:val="005A1DFC"/>
    <w:rsid w:val="005A2ECB"/>
    <w:rsid w:val="005A3037"/>
    <w:rsid w:val="005B0331"/>
    <w:rsid w:val="005B06C1"/>
    <w:rsid w:val="005B139A"/>
    <w:rsid w:val="005B44F1"/>
    <w:rsid w:val="005B55B6"/>
    <w:rsid w:val="005B5FD8"/>
    <w:rsid w:val="005B62F4"/>
    <w:rsid w:val="005C084B"/>
    <w:rsid w:val="005C10A0"/>
    <w:rsid w:val="005C19FC"/>
    <w:rsid w:val="005C1FF8"/>
    <w:rsid w:val="005C44CF"/>
    <w:rsid w:val="005C47F5"/>
    <w:rsid w:val="005C4937"/>
    <w:rsid w:val="005D083A"/>
    <w:rsid w:val="005D20E9"/>
    <w:rsid w:val="005D5663"/>
    <w:rsid w:val="005D5C17"/>
    <w:rsid w:val="005D6AEE"/>
    <w:rsid w:val="005D76B0"/>
    <w:rsid w:val="005E130F"/>
    <w:rsid w:val="005E2259"/>
    <w:rsid w:val="005E3710"/>
    <w:rsid w:val="005E6838"/>
    <w:rsid w:val="005E6DBC"/>
    <w:rsid w:val="005E6FC6"/>
    <w:rsid w:val="005F3658"/>
    <w:rsid w:val="005F3D3A"/>
    <w:rsid w:val="005F415D"/>
    <w:rsid w:val="006011B1"/>
    <w:rsid w:val="00605239"/>
    <w:rsid w:val="0060790E"/>
    <w:rsid w:val="00611196"/>
    <w:rsid w:val="006112C0"/>
    <w:rsid w:val="006144DF"/>
    <w:rsid w:val="006224A9"/>
    <w:rsid w:val="006243B1"/>
    <w:rsid w:val="00626B22"/>
    <w:rsid w:val="00630360"/>
    <w:rsid w:val="00630425"/>
    <w:rsid w:val="00630992"/>
    <w:rsid w:val="00632CA2"/>
    <w:rsid w:val="00632FF1"/>
    <w:rsid w:val="006337DF"/>
    <w:rsid w:val="0063524C"/>
    <w:rsid w:val="006375CA"/>
    <w:rsid w:val="00640534"/>
    <w:rsid w:val="00641678"/>
    <w:rsid w:val="006433DD"/>
    <w:rsid w:val="00646689"/>
    <w:rsid w:val="00646857"/>
    <w:rsid w:val="006500C9"/>
    <w:rsid w:val="00650233"/>
    <w:rsid w:val="006510DD"/>
    <w:rsid w:val="00651B03"/>
    <w:rsid w:val="006532AC"/>
    <w:rsid w:val="006547F6"/>
    <w:rsid w:val="00655BD1"/>
    <w:rsid w:val="00656628"/>
    <w:rsid w:val="0065680C"/>
    <w:rsid w:val="0066038A"/>
    <w:rsid w:val="006609B4"/>
    <w:rsid w:val="006617CF"/>
    <w:rsid w:val="00662DE4"/>
    <w:rsid w:val="00663A86"/>
    <w:rsid w:val="006705EA"/>
    <w:rsid w:val="00670A70"/>
    <w:rsid w:val="00672AB0"/>
    <w:rsid w:val="0067317F"/>
    <w:rsid w:val="00677965"/>
    <w:rsid w:val="00677F5B"/>
    <w:rsid w:val="006803EE"/>
    <w:rsid w:val="006806D4"/>
    <w:rsid w:val="00680DA9"/>
    <w:rsid w:val="0068205D"/>
    <w:rsid w:val="0068220A"/>
    <w:rsid w:val="00684D85"/>
    <w:rsid w:val="00685F06"/>
    <w:rsid w:val="0068679F"/>
    <w:rsid w:val="006872FA"/>
    <w:rsid w:val="00687CDF"/>
    <w:rsid w:val="00687E6A"/>
    <w:rsid w:val="0069098F"/>
    <w:rsid w:val="00693D42"/>
    <w:rsid w:val="00694E34"/>
    <w:rsid w:val="00696C4F"/>
    <w:rsid w:val="00697321"/>
    <w:rsid w:val="00697E2E"/>
    <w:rsid w:val="006A1FFB"/>
    <w:rsid w:val="006A38A8"/>
    <w:rsid w:val="006A3EE4"/>
    <w:rsid w:val="006A50C7"/>
    <w:rsid w:val="006A5B28"/>
    <w:rsid w:val="006A7293"/>
    <w:rsid w:val="006B3964"/>
    <w:rsid w:val="006B5626"/>
    <w:rsid w:val="006B7BAB"/>
    <w:rsid w:val="006C10A3"/>
    <w:rsid w:val="006C19C6"/>
    <w:rsid w:val="006C235C"/>
    <w:rsid w:val="006C394B"/>
    <w:rsid w:val="006D2EAC"/>
    <w:rsid w:val="006D343C"/>
    <w:rsid w:val="006D43BC"/>
    <w:rsid w:val="006D52B0"/>
    <w:rsid w:val="006E31BA"/>
    <w:rsid w:val="006E43ED"/>
    <w:rsid w:val="006F18E7"/>
    <w:rsid w:val="006F2688"/>
    <w:rsid w:val="006F2821"/>
    <w:rsid w:val="006F4060"/>
    <w:rsid w:val="006F708E"/>
    <w:rsid w:val="006F73D1"/>
    <w:rsid w:val="007015EB"/>
    <w:rsid w:val="00705DBD"/>
    <w:rsid w:val="00706CC5"/>
    <w:rsid w:val="00711EAE"/>
    <w:rsid w:val="00711F32"/>
    <w:rsid w:val="00713100"/>
    <w:rsid w:val="00713CB2"/>
    <w:rsid w:val="00716312"/>
    <w:rsid w:val="007208E3"/>
    <w:rsid w:val="00725C5E"/>
    <w:rsid w:val="00727E6F"/>
    <w:rsid w:val="0073454D"/>
    <w:rsid w:val="0073521E"/>
    <w:rsid w:val="00735649"/>
    <w:rsid w:val="00736B50"/>
    <w:rsid w:val="00736CBD"/>
    <w:rsid w:val="007430ED"/>
    <w:rsid w:val="00743CD6"/>
    <w:rsid w:val="007441A0"/>
    <w:rsid w:val="0074561B"/>
    <w:rsid w:val="0075010B"/>
    <w:rsid w:val="007517FF"/>
    <w:rsid w:val="00751D28"/>
    <w:rsid w:val="00753284"/>
    <w:rsid w:val="00756D1B"/>
    <w:rsid w:val="00756FCD"/>
    <w:rsid w:val="00760958"/>
    <w:rsid w:val="0076243C"/>
    <w:rsid w:val="007626B9"/>
    <w:rsid w:val="00762EFA"/>
    <w:rsid w:val="0076306E"/>
    <w:rsid w:val="00764389"/>
    <w:rsid w:val="007650C2"/>
    <w:rsid w:val="007672B1"/>
    <w:rsid w:val="00767950"/>
    <w:rsid w:val="00772381"/>
    <w:rsid w:val="00774117"/>
    <w:rsid w:val="00776513"/>
    <w:rsid w:val="007800DA"/>
    <w:rsid w:val="00781219"/>
    <w:rsid w:val="00781AE1"/>
    <w:rsid w:val="007866F0"/>
    <w:rsid w:val="007912A0"/>
    <w:rsid w:val="00791E40"/>
    <w:rsid w:val="00792489"/>
    <w:rsid w:val="007A083F"/>
    <w:rsid w:val="007A0D01"/>
    <w:rsid w:val="007A3B9D"/>
    <w:rsid w:val="007A3D96"/>
    <w:rsid w:val="007A5021"/>
    <w:rsid w:val="007B0FA8"/>
    <w:rsid w:val="007B4C6D"/>
    <w:rsid w:val="007B5B36"/>
    <w:rsid w:val="007C0030"/>
    <w:rsid w:val="007C23C8"/>
    <w:rsid w:val="007C36BB"/>
    <w:rsid w:val="007C3EA7"/>
    <w:rsid w:val="007C6497"/>
    <w:rsid w:val="007C66E5"/>
    <w:rsid w:val="007C6AAA"/>
    <w:rsid w:val="007C736D"/>
    <w:rsid w:val="007C7E9E"/>
    <w:rsid w:val="007D1671"/>
    <w:rsid w:val="007D2994"/>
    <w:rsid w:val="007D2A8B"/>
    <w:rsid w:val="007D34A7"/>
    <w:rsid w:val="007D4EBA"/>
    <w:rsid w:val="007D509F"/>
    <w:rsid w:val="007D64C4"/>
    <w:rsid w:val="007E1F08"/>
    <w:rsid w:val="007E24FB"/>
    <w:rsid w:val="007E4D0E"/>
    <w:rsid w:val="007E502E"/>
    <w:rsid w:val="007E5706"/>
    <w:rsid w:val="007E6353"/>
    <w:rsid w:val="007E74A3"/>
    <w:rsid w:val="007E773B"/>
    <w:rsid w:val="007F0600"/>
    <w:rsid w:val="007F1562"/>
    <w:rsid w:val="007F5CFB"/>
    <w:rsid w:val="007F6E94"/>
    <w:rsid w:val="00800B35"/>
    <w:rsid w:val="008016F8"/>
    <w:rsid w:val="00804ED0"/>
    <w:rsid w:val="00811D3C"/>
    <w:rsid w:val="008152AC"/>
    <w:rsid w:val="00821AC8"/>
    <w:rsid w:val="00821BF9"/>
    <w:rsid w:val="00822449"/>
    <w:rsid w:val="00831145"/>
    <w:rsid w:val="00831C50"/>
    <w:rsid w:val="00834282"/>
    <w:rsid w:val="00834E64"/>
    <w:rsid w:val="008357F0"/>
    <w:rsid w:val="0084016E"/>
    <w:rsid w:val="008412D8"/>
    <w:rsid w:val="00842217"/>
    <w:rsid w:val="00842873"/>
    <w:rsid w:val="00844C55"/>
    <w:rsid w:val="008459A8"/>
    <w:rsid w:val="008462A4"/>
    <w:rsid w:val="008479E5"/>
    <w:rsid w:val="008500E3"/>
    <w:rsid w:val="008506E9"/>
    <w:rsid w:val="00850C99"/>
    <w:rsid w:val="00852FF1"/>
    <w:rsid w:val="0085323D"/>
    <w:rsid w:val="008554F5"/>
    <w:rsid w:val="00860D18"/>
    <w:rsid w:val="00864A95"/>
    <w:rsid w:val="00865448"/>
    <w:rsid w:val="00865675"/>
    <w:rsid w:val="008668A3"/>
    <w:rsid w:val="008673FD"/>
    <w:rsid w:val="00870F39"/>
    <w:rsid w:val="008722BA"/>
    <w:rsid w:val="008723ED"/>
    <w:rsid w:val="008759C1"/>
    <w:rsid w:val="00877037"/>
    <w:rsid w:val="008808DC"/>
    <w:rsid w:val="00881DE2"/>
    <w:rsid w:val="00885BBB"/>
    <w:rsid w:val="008910B0"/>
    <w:rsid w:val="008912EB"/>
    <w:rsid w:val="0089260F"/>
    <w:rsid w:val="00892A4A"/>
    <w:rsid w:val="008940DC"/>
    <w:rsid w:val="00894155"/>
    <w:rsid w:val="008955DD"/>
    <w:rsid w:val="008956E8"/>
    <w:rsid w:val="00895E55"/>
    <w:rsid w:val="00896A3D"/>
    <w:rsid w:val="00897EA6"/>
    <w:rsid w:val="008A30C4"/>
    <w:rsid w:val="008A3503"/>
    <w:rsid w:val="008A70DF"/>
    <w:rsid w:val="008B0F4E"/>
    <w:rsid w:val="008B2081"/>
    <w:rsid w:val="008B2961"/>
    <w:rsid w:val="008B5014"/>
    <w:rsid w:val="008B5493"/>
    <w:rsid w:val="008B574D"/>
    <w:rsid w:val="008B7EFE"/>
    <w:rsid w:val="008C253C"/>
    <w:rsid w:val="008C3EB8"/>
    <w:rsid w:val="008C5D94"/>
    <w:rsid w:val="008C7FD9"/>
    <w:rsid w:val="008D2C33"/>
    <w:rsid w:val="008D4754"/>
    <w:rsid w:val="008D491F"/>
    <w:rsid w:val="008D4D9E"/>
    <w:rsid w:val="008D6FC5"/>
    <w:rsid w:val="008D77AA"/>
    <w:rsid w:val="008D7B04"/>
    <w:rsid w:val="008E0062"/>
    <w:rsid w:val="008E118F"/>
    <w:rsid w:val="008E1788"/>
    <w:rsid w:val="008E23AA"/>
    <w:rsid w:val="008E2739"/>
    <w:rsid w:val="008E4009"/>
    <w:rsid w:val="008E4ED4"/>
    <w:rsid w:val="008E5B13"/>
    <w:rsid w:val="008E7C3E"/>
    <w:rsid w:val="008F39A4"/>
    <w:rsid w:val="008F5AB3"/>
    <w:rsid w:val="008F5E49"/>
    <w:rsid w:val="008F6740"/>
    <w:rsid w:val="00900C3A"/>
    <w:rsid w:val="00900E28"/>
    <w:rsid w:val="009028A6"/>
    <w:rsid w:val="00903184"/>
    <w:rsid w:val="009052D6"/>
    <w:rsid w:val="0090555A"/>
    <w:rsid w:val="0091547B"/>
    <w:rsid w:val="00916E64"/>
    <w:rsid w:val="009201F1"/>
    <w:rsid w:val="00921109"/>
    <w:rsid w:val="00923FEA"/>
    <w:rsid w:val="00924202"/>
    <w:rsid w:val="009255EE"/>
    <w:rsid w:val="0092688D"/>
    <w:rsid w:val="00926DB7"/>
    <w:rsid w:val="00930183"/>
    <w:rsid w:val="00941099"/>
    <w:rsid w:val="00943968"/>
    <w:rsid w:val="00944758"/>
    <w:rsid w:val="00952DCC"/>
    <w:rsid w:val="00952E59"/>
    <w:rsid w:val="00954292"/>
    <w:rsid w:val="009551AB"/>
    <w:rsid w:val="00957147"/>
    <w:rsid w:val="0095732B"/>
    <w:rsid w:val="00961C57"/>
    <w:rsid w:val="009633AB"/>
    <w:rsid w:val="0096429D"/>
    <w:rsid w:val="0096630B"/>
    <w:rsid w:val="00966F5F"/>
    <w:rsid w:val="00970B6D"/>
    <w:rsid w:val="0097484E"/>
    <w:rsid w:val="009749F5"/>
    <w:rsid w:val="00976940"/>
    <w:rsid w:val="00977E37"/>
    <w:rsid w:val="009803EF"/>
    <w:rsid w:val="0098345C"/>
    <w:rsid w:val="009839A8"/>
    <w:rsid w:val="00984000"/>
    <w:rsid w:val="00986593"/>
    <w:rsid w:val="00986CE6"/>
    <w:rsid w:val="00987293"/>
    <w:rsid w:val="0099018F"/>
    <w:rsid w:val="00990B59"/>
    <w:rsid w:val="00991C33"/>
    <w:rsid w:val="009932EA"/>
    <w:rsid w:val="00995E90"/>
    <w:rsid w:val="00995EA8"/>
    <w:rsid w:val="009A156C"/>
    <w:rsid w:val="009A198E"/>
    <w:rsid w:val="009A368D"/>
    <w:rsid w:val="009A3E57"/>
    <w:rsid w:val="009A443D"/>
    <w:rsid w:val="009A657E"/>
    <w:rsid w:val="009B18F4"/>
    <w:rsid w:val="009B1E62"/>
    <w:rsid w:val="009C1EB4"/>
    <w:rsid w:val="009C2A2C"/>
    <w:rsid w:val="009C300C"/>
    <w:rsid w:val="009C37FB"/>
    <w:rsid w:val="009C3818"/>
    <w:rsid w:val="009C4AAB"/>
    <w:rsid w:val="009C5623"/>
    <w:rsid w:val="009C66C0"/>
    <w:rsid w:val="009D0559"/>
    <w:rsid w:val="009D0AA8"/>
    <w:rsid w:val="009D0E5F"/>
    <w:rsid w:val="009D3189"/>
    <w:rsid w:val="009D38A9"/>
    <w:rsid w:val="009D52CB"/>
    <w:rsid w:val="009D699A"/>
    <w:rsid w:val="009E3579"/>
    <w:rsid w:val="009E35A1"/>
    <w:rsid w:val="009E3BD2"/>
    <w:rsid w:val="009E4396"/>
    <w:rsid w:val="009E4761"/>
    <w:rsid w:val="009E4876"/>
    <w:rsid w:val="009E692A"/>
    <w:rsid w:val="009F0226"/>
    <w:rsid w:val="009F136E"/>
    <w:rsid w:val="009F494A"/>
    <w:rsid w:val="009F604B"/>
    <w:rsid w:val="00A12C58"/>
    <w:rsid w:val="00A142CC"/>
    <w:rsid w:val="00A21937"/>
    <w:rsid w:val="00A23728"/>
    <w:rsid w:val="00A23CF6"/>
    <w:rsid w:val="00A264E9"/>
    <w:rsid w:val="00A300C8"/>
    <w:rsid w:val="00A32568"/>
    <w:rsid w:val="00A3304F"/>
    <w:rsid w:val="00A344C7"/>
    <w:rsid w:val="00A344F0"/>
    <w:rsid w:val="00A347B8"/>
    <w:rsid w:val="00A349C9"/>
    <w:rsid w:val="00A34D83"/>
    <w:rsid w:val="00A35656"/>
    <w:rsid w:val="00A37B28"/>
    <w:rsid w:val="00A40AD7"/>
    <w:rsid w:val="00A41C39"/>
    <w:rsid w:val="00A429A8"/>
    <w:rsid w:val="00A444B4"/>
    <w:rsid w:val="00A476E0"/>
    <w:rsid w:val="00A5211D"/>
    <w:rsid w:val="00A527AE"/>
    <w:rsid w:val="00A53287"/>
    <w:rsid w:val="00A5776D"/>
    <w:rsid w:val="00A61279"/>
    <w:rsid w:val="00A6176E"/>
    <w:rsid w:val="00A63428"/>
    <w:rsid w:val="00A63BA1"/>
    <w:rsid w:val="00A64AAB"/>
    <w:rsid w:val="00A64FF8"/>
    <w:rsid w:val="00A653F1"/>
    <w:rsid w:val="00A66275"/>
    <w:rsid w:val="00A66FAB"/>
    <w:rsid w:val="00A674B4"/>
    <w:rsid w:val="00A72933"/>
    <w:rsid w:val="00A743A5"/>
    <w:rsid w:val="00A7534D"/>
    <w:rsid w:val="00A817B8"/>
    <w:rsid w:val="00A86064"/>
    <w:rsid w:val="00A86173"/>
    <w:rsid w:val="00A900E3"/>
    <w:rsid w:val="00A904CE"/>
    <w:rsid w:val="00A90AB8"/>
    <w:rsid w:val="00A90D50"/>
    <w:rsid w:val="00A912B7"/>
    <w:rsid w:val="00A9269C"/>
    <w:rsid w:val="00A93729"/>
    <w:rsid w:val="00A94D44"/>
    <w:rsid w:val="00A97919"/>
    <w:rsid w:val="00AA019B"/>
    <w:rsid w:val="00AA1B0F"/>
    <w:rsid w:val="00AA5C96"/>
    <w:rsid w:val="00AA78B9"/>
    <w:rsid w:val="00AA78C9"/>
    <w:rsid w:val="00AB0ECD"/>
    <w:rsid w:val="00AB765A"/>
    <w:rsid w:val="00AC2D9D"/>
    <w:rsid w:val="00AC400D"/>
    <w:rsid w:val="00AD0122"/>
    <w:rsid w:val="00AD0181"/>
    <w:rsid w:val="00AD170D"/>
    <w:rsid w:val="00AD2991"/>
    <w:rsid w:val="00AD4F22"/>
    <w:rsid w:val="00AD5D4D"/>
    <w:rsid w:val="00AD77E6"/>
    <w:rsid w:val="00AE2BEE"/>
    <w:rsid w:val="00AE34CC"/>
    <w:rsid w:val="00AE577B"/>
    <w:rsid w:val="00AE64D4"/>
    <w:rsid w:val="00AE6ACF"/>
    <w:rsid w:val="00AE7FA9"/>
    <w:rsid w:val="00AF00F1"/>
    <w:rsid w:val="00AF4C09"/>
    <w:rsid w:val="00AF65BD"/>
    <w:rsid w:val="00AF69E2"/>
    <w:rsid w:val="00B01B09"/>
    <w:rsid w:val="00B02FCB"/>
    <w:rsid w:val="00B04E24"/>
    <w:rsid w:val="00B05899"/>
    <w:rsid w:val="00B07AE7"/>
    <w:rsid w:val="00B144E0"/>
    <w:rsid w:val="00B17AC3"/>
    <w:rsid w:val="00B20259"/>
    <w:rsid w:val="00B22198"/>
    <w:rsid w:val="00B23255"/>
    <w:rsid w:val="00B23342"/>
    <w:rsid w:val="00B23C9B"/>
    <w:rsid w:val="00B25333"/>
    <w:rsid w:val="00B26932"/>
    <w:rsid w:val="00B31086"/>
    <w:rsid w:val="00B31DE8"/>
    <w:rsid w:val="00B33BF0"/>
    <w:rsid w:val="00B36690"/>
    <w:rsid w:val="00B370DC"/>
    <w:rsid w:val="00B4018B"/>
    <w:rsid w:val="00B41C9B"/>
    <w:rsid w:val="00B42012"/>
    <w:rsid w:val="00B42AB1"/>
    <w:rsid w:val="00B42E89"/>
    <w:rsid w:val="00B431F3"/>
    <w:rsid w:val="00B44922"/>
    <w:rsid w:val="00B477DB"/>
    <w:rsid w:val="00B478B5"/>
    <w:rsid w:val="00B50179"/>
    <w:rsid w:val="00B512E8"/>
    <w:rsid w:val="00B5372F"/>
    <w:rsid w:val="00B54D5C"/>
    <w:rsid w:val="00B5683A"/>
    <w:rsid w:val="00B56BD0"/>
    <w:rsid w:val="00B60187"/>
    <w:rsid w:val="00B65BAA"/>
    <w:rsid w:val="00B67EE5"/>
    <w:rsid w:val="00B731C1"/>
    <w:rsid w:val="00B82360"/>
    <w:rsid w:val="00B84705"/>
    <w:rsid w:val="00B87455"/>
    <w:rsid w:val="00B9144A"/>
    <w:rsid w:val="00B93CE0"/>
    <w:rsid w:val="00B955EE"/>
    <w:rsid w:val="00B968B5"/>
    <w:rsid w:val="00BA09C1"/>
    <w:rsid w:val="00BA1018"/>
    <w:rsid w:val="00BA10C0"/>
    <w:rsid w:val="00BA1141"/>
    <w:rsid w:val="00BA4006"/>
    <w:rsid w:val="00BA5616"/>
    <w:rsid w:val="00BA5CB8"/>
    <w:rsid w:val="00BA6BBA"/>
    <w:rsid w:val="00BA77DC"/>
    <w:rsid w:val="00BB2261"/>
    <w:rsid w:val="00BB3013"/>
    <w:rsid w:val="00BB399D"/>
    <w:rsid w:val="00BB3C35"/>
    <w:rsid w:val="00BB4BE0"/>
    <w:rsid w:val="00BB4E0E"/>
    <w:rsid w:val="00BC36F8"/>
    <w:rsid w:val="00BC7B75"/>
    <w:rsid w:val="00BD2AA9"/>
    <w:rsid w:val="00BD7CFF"/>
    <w:rsid w:val="00BE0ADF"/>
    <w:rsid w:val="00BE1A27"/>
    <w:rsid w:val="00BE531A"/>
    <w:rsid w:val="00BF0CD6"/>
    <w:rsid w:val="00BF139C"/>
    <w:rsid w:val="00C00645"/>
    <w:rsid w:val="00C02348"/>
    <w:rsid w:val="00C02CE2"/>
    <w:rsid w:val="00C03878"/>
    <w:rsid w:val="00C04640"/>
    <w:rsid w:val="00C10D81"/>
    <w:rsid w:val="00C15607"/>
    <w:rsid w:val="00C17121"/>
    <w:rsid w:val="00C210C2"/>
    <w:rsid w:val="00C22BC9"/>
    <w:rsid w:val="00C23029"/>
    <w:rsid w:val="00C23BD8"/>
    <w:rsid w:val="00C23FF8"/>
    <w:rsid w:val="00C24DF1"/>
    <w:rsid w:val="00C26D7C"/>
    <w:rsid w:val="00C30F36"/>
    <w:rsid w:val="00C327CA"/>
    <w:rsid w:val="00C3485D"/>
    <w:rsid w:val="00C3551B"/>
    <w:rsid w:val="00C35F39"/>
    <w:rsid w:val="00C37C1F"/>
    <w:rsid w:val="00C40773"/>
    <w:rsid w:val="00C414CC"/>
    <w:rsid w:val="00C41B9C"/>
    <w:rsid w:val="00C420C5"/>
    <w:rsid w:val="00C4233E"/>
    <w:rsid w:val="00C4287E"/>
    <w:rsid w:val="00C42DCD"/>
    <w:rsid w:val="00C430D6"/>
    <w:rsid w:val="00C43E27"/>
    <w:rsid w:val="00C452E7"/>
    <w:rsid w:val="00C456A7"/>
    <w:rsid w:val="00C459B7"/>
    <w:rsid w:val="00C4692A"/>
    <w:rsid w:val="00C46B6E"/>
    <w:rsid w:val="00C50056"/>
    <w:rsid w:val="00C50DF4"/>
    <w:rsid w:val="00C5384F"/>
    <w:rsid w:val="00C53BC7"/>
    <w:rsid w:val="00C54373"/>
    <w:rsid w:val="00C5665F"/>
    <w:rsid w:val="00C64DB3"/>
    <w:rsid w:val="00C650F7"/>
    <w:rsid w:val="00C661D9"/>
    <w:rsid w:val="00C66578"/>
    <w:rsid w:val="00C675B0"/>
    <w:rsid w:val="00C67E3A"/>
    <w:rsid w:val="00C70891"/>
    <w:rsid w:val="00C72221"/>
    <w:rsid w:val="00C754C7"/>
    <w:rsid w:val="00C837E1"/>
    <w:rsid w:val="00C8433E"/>
    <w:rsid w:val="00C8590B"/>
    <w:rsid w:val="00C86915"/>
    <w:rsid w:val="00C92343"/>
    <w:rsid w:val="00C930AC"/>
    <w:rsid w:val="00C934F5"/>
    <w:rsid w:val="00C93BB3"/>
    <w:rsid w:val="00C961AA"/>
    <w:rsid w:val="00C96B73"/>
    <w:rsid w:val="00CA012C"/>
    <w:rsid w:val="00CA18B7"/>
    <w:rsid w:val="00CA2197"/>
    <w:rsid w:val="00CA6786"/>
    <w:rsid w:val="00CA6DAF"/>
    <w:rsid w:val="00CB1C99"/>
    <w:rsid w:val="00CB32E5"/>
    <w:rsid w:val="00CB488A"/>
    <w:rsid w:val="00CB48C7"/>
    <w:rsid w:val="00CB5A60"/>
    <w:rsid w:val="00CB5E03"/>
    <w:rsid w:val="00CB6997"/>
    <w:rsid w:val="00CB6E9E"/>
    <w:rsid w:val="00CC56EE"/>
    <w:rsid w:val="00CC746C"/>
    <w:rsid w:val="00CC7A97"/>
    <w:rsid w:val="00CC7D74"/>
    <w:rsid w:val="00CD51F0"/>
    <w:rsid w:val="00CE4B50"/>
    <w:rsid w:val="00CE6062"/>
    <w:rsid w:val="00CE6512"/>
    <w:rsid w:val="00CE6F58"/>
    <w:rsid w:val="00CE7783"/>
    <w:rsid w:val="00CE7EF9"/>
    <w:rsid w:val="00CF11A0"/>
    <w:rsid w:val="00CF1FE9"/>
    <w:rsid w:val="00CF4FF8"/>
    <w:rsid w:val="00CF54AC"/>
    <w:rsid w:val="00CF61A3"/>
    <w:rsid w:val="00CF62F1"/>
    <w:rsid w:val="00CF7307"/>
    <w:rsid w:val="00D05A32"/>
    <w:rsid w:val="00D07588"/>
    <w:rsid w:val="00D13412"/>
    <w:rsid w:val="00D16605"/>
    <w:rsid w:val="00D216D6"/>
    <w:rsid w:val="00D22B1D"/>
    <w:rsid w:val="00D22BAE"/>
    <w:rsid w:val="00D22E5B"/>
    <w:rsid w:val="00D24B2E"/>
    <w:rsid w:val="00D25335"/>
    <w:rsid w:val="00D2556A"/>
    <w:rsid w:val="00D25841"/>
    <w:rsid w:val="00D26A9B"/>
    <w:rsid w:val="00D31BB8"/>
    <w:rsid w:val="00D368F0"/>
    <w:rsid w:val="00D40E26"/>
    <w:rsid w:val="00D423FD"/>
    <w:rsid w:val="00D4341A"/>
    <w:rsid w:val="00D4364B"/>
    <w:rsid w:val="00D43D10"/>
    <w:rsid w:val="00D47AB7"/>
    <w:rsid w:val="00D503D3"/>
    <w:rsid w:val="00D52762"/>
    <w:rsid w:val="00D546AA"/>
    <w:rsid w:val="00D5547A"/>
    <w:rsid w:val="00D565A6"/>
    <w:rsid w:val="00D61856"/>
    <w:rsid w:val="00D62473"/>
    <w:rsid w:val="00D62825"/>
    <w:rsid w:val="00D62BDE"/>
    <w:rsid w:val="00D660EE"/>
    <w:rsid w:val="00D6615A"/>
    <w:rsid w:val="00D72887"/>
    <w:rsid w:val="00D72D29"/>
    <w:rsid w:val="00D73CC2"/>
    <w:rsid w:val="00D750A3"/>
    <w:rsid w:val="00D752F7"/>
    <w:rsid w:val="00D76325"/>
    <w:rsid w:val="00D76671"/>
    <w:rsid w:val="00D77D39"/>
    <w:rsid w:val="00D81726"/>
    <w:rsid w:val="00D81BC2"/>
    <w:rsid w:val="00D83BA2"/>
    <w:rsid w:val="00D8521B"/>
    <w:rsid w:val="00D93F9F"/>
    <w:rsid w:val="00D94CD3"/>
    <w:rsid w:val="00DA7CA2"/>
    <w:rsid w:val="00DB47A0"/>
    <w:rsid w:val="00DC77F6"/>
    <w:rsid w:val="00DD040A"/>
    <w:rsid w:val="00DD19E8"/>
    <w:rsid w:val="00DD3F58"/>
    <w:rsid w:val="00DD47D6"/>
    <w:rsid w:val="00DD5559"/>
    <w:rsid w:val="00DE15A2"/>
    <w:rsid w:val="00DE3B0A"/>
    <w:rsid w:val="00DE4ABB"/>
    <w:rsid w:val="00DF1CCE"/>
    <w:rsid w:val="00DF2F92"/>
    <w:rsid w:val="00E00725"/>
    <w:rsid w:val="00E06F73"/>
    <w:rsid w:val="00E10F0D"/>
    <w:rsid w:val="00E1177E"/>
    <w:rsid w:val="00E12D86"/>
    <w:rsid w:val="00E16F52"/>
    <w:rsid w:val="00E208E8"/>
    <w:rsid w:val="00E20D29"/>
    <w:rsid w:val="00E25539"/>
    <w:rsid w:val="00E267D5"/>
    <w:rsid w:val="00E26F5D"/>
    <w:rsid w:val="00E33D2C"/>
    <w:rsid w:val="00E35928"/>
    <w:rsid w:val="00E35A40"/>
    <w:rsid w:val="00E37E41"/>
    <w:rsid w:val="00E41589"/>
    <w:rsid w:val="00E46E1C"/>
    <w:rsid w:val="00E47A3A"/>
    <w:rsid w:val="00E50219"/>
    <w:rsid w:val="00E514C7"/>
    <w:rsid w:val="00E51F68"/>
    <w:rsid w:val="00E53F3B"/>
    <w:rsid w:val="00E54630"/>
    <w:rsid w:val="00E5534F"/>
    <w:rsid w:val="00E60A51"/>
    <w:rsid w:val="00E61AC2"/>
    <w:rsid w:val="00E61F1E"/>
    <w:rsid w:val="00E6221F"/>
    <w:rsid w:val="00E62C06"/>
    <w:rsid w:val="00E64E2A"/>
    <w:rsid w:val="00E664BF"/>
    <w:rsid w:val="00E716E5"/>
    <w:rsid w:val="00E76DDC"/>
    <w:rsid w:val="00E7722A"/>
    <w:rsid w:val="00E773FA"/>
    <w:rsid w:val="00E77A76"/>
    <w:rsid w:val="00E813E8"/>
    <w:rsid w:val="00E81560"/>
    <w:rsid w:val="00E840F2"/>
    <w:rsid w:val="00E84AB8"/>
    <w:rsid w:val="00E84EC4"/>
    <w:rsid w:val="00E85FC1"/>
    <w:rsid w:val="00E8630A"/>
    <w:rsid w:val="00E878D4"/>
    <w:rsid w:val="00E90498"/>
    <w:rsid w:val="00E91707"/>
    <w:rsid w:val="00E96999"/>
    <w:rsid w:val="00E974FB"/>
    <w:rsid w:val="00EA298B"/>
    <w:rsid w:val="00EA2F72"/>
    <w:rsid w:val="00EA3063"/>
    <w:rsid w:val="00EA3A4F"/>
    <w:rsid w:val="00EA67EE"/>
    <w:rsid w:val="00EA783D"/>
    <w:rsid w:val="00EB2EB2"/>
    <w:rsid w:val="00EB6868"/>
    <w:rsid w:val="00EB711B"/>
    <w:rsid w:val="00EC0C46"/>
    <w:rsid w:val="00EC0CB5"/>
    <w:rsid w:val="00EC1922"/>
    <w:rsid w:val="00EC54C3"/>
    <w:rsid w:val="00EC5FF9"/>
    <w:rsid w:val="00EC6E07"/>
    <w:rsid w:val="00ED06D3"/>
    <w:rsid w:val="00ED2260"/>
    <w:rsid w:val="00ED2C58"/>
    <w:rsid w:val="00ED388D"/>
    <w:rsid w:val="00ED4213"/>
    <w:rsid w:val="00ED5FF2"/>
    <w:rsid w:val="00ED772F"/>
    <w:rsid w:val="00ED79DC"/>
    <w:rsid w:val="00EE1F5E"/>
    <w:rsid w:val="00EE3A87"/>
    <w:rsid w:val="00EE5521"/>
    <w:rsid w:val="00EE61A0"/>
    <w:rsid w:val="00EE6C00"/>
    <w:rsid w:val="00EF1B91"/>
    <w:rsid w:val="00EF2236"/>
    <w:rsid w:val="00EF5433"/>
    <w:rsid w:val="00EF5B1D"/>
    <w:rsid w:val="00EF61A4"/>
    <w:rsid w:val="00EF7D10"/>
    <w:rsid w:val="00F00219"/>
    <w:rsid w:val="00F00EAF"/>
    <w:rsid w:val="00F0315B"/>
    <w:rsid w:val="00F036E9"/>
    <w:rsid w:val="00F043C8"/>
    <w:rsid w:val="00F07C5C"/>
    <w:rsid w:val="00F07F37"/>
    <w:rsid w:val="00F11E37"/>
    <w:rsid w:val="00F11F19"/>
    <w:rsid w:val="00F11F4F"/>
    <w:rsid w:val="00F12669"/>
    <w:rsid w:val="00F13348"/>
    <w:rsid w:val="00F15B31"/>
    <w:rsid w:val="00F16304"/>
    <w:rsid w:val="00F16BEA"/>
    <w:rsid w:val="00F17BEC"/>
    <w:rsid w:val="00F2379C"/>
    <w:rsid w:val="00F252EF"/>
    <w:rsid w:val="00F26325"/>
    <w:rsid w:val="00F26B39"/>
    <w:rsid w:val="00F303F5"/>
    <w:rsid w:val="00F3305C"/>
    <w:rsid w:val="00F35275"/>
    <w:rsid w:val="00F36041"/>
    <w:rsid w:val="00F36EA8"/>
    <w:rsid w:val="00F37788"/>
    <w:rsid w:val="00F402CF"/>
    <w:rsid w:val="00F4142B"/>
    <w:rsid w:val="00F41779"/>
    <w:rsid w:val="00F432E4"/>
    <w:rsid w:val="00F438AA"/>
    <w:rsid w:val="00F46C35"/>
    <w:rsid w:val="00F4741D"/>
    <w:rsid w:val="00F475F3"/>
    <w:rsid w:val="00F50759"/>
    <w:rsid w:val="00F51068"/>
    <w:rsid w:val="00F519C9"/>
    <w:rsid w:val="00F52593"/>
    <w:rsid w:val="00F52BF5"/>
    <w:rsid w:val="00F55AD9"/>
    <w:rsid w:val="00F6261A"/>
    <w:rsid w:val="00F648B0"/>
    <w:rsid w:val="00F65675"/>
    <w:rsid w:val="00F6680B"/>
    <w:rsid w:val="00F70308"/>
    <w:rsid w:val="00F73E00"/>
    <w:rsid w:val="00F7434D"/>
    <w:rsid w:val="00F743C4"/>
    <w:rsid w:val="00F75186"/>
    <w:rsid w:val="00F81072"/>
    <w:rsid w:val="00F81205"/>
    <w:rsid w:val="00F81383"/>
    <w:rsid w:val="00F81749"/>
    <w:rsid w:val="00F83997"/>
    <w:rsid w:val="00F84FD1"/>
    <w:rsid w:val="00F85CD4"/>
    <w:rsid w:val="00F867BD"/>
    <w:rsid w:val="00F86D0C"/>
    <w:rsid w:val="00F86EA2"/>
    <w:rsid w:val="00F903D8"/>
    <w:rsid w:val="00F918FF"/>
    <w:rsid w:val="00F92DAD"/>
    <w:rsid w:val="00F93F21"/>
    <w:rsid w:val="00F94A24"/>
    <w:rsid w:val="00F9524F"/>
    <w:rsid w:val="00FA67E9"/>
    <w:rsid w:val="00FA7195"/>
    <w:rsid w:val="00FB0292"/>
    <w:rsid w:val="00FB25E3"/>
    <w:rsid w:val="00FB3147"/>
    <w:rsid w:val="00FB41D8"/>
    <w:rsid w:val="00FB522A"/>
    <w:rsid w:val="00FB6AE5"/>
    <w:rsid w:val="00FB71F0"/>
    <w:rsid w:val="00FC372B"/>
    <w:rsid w:val="00FC393F"/>
    <w:rsid w:val="00FC3D2B"/>
    <w:rsid w:val="00FC4842"/>
    <w:rsid w:val="00FC525B"/>
    <w:rsid w:val="00FD1213"/>
    <w:rsid w:val="00FD1663"/>
    <w:rsid w:val="00FD1CA7"/>
    <w:rsid w:val="00FD3E85"/>
    <w:rsid w:val="00FD5714"/>
    <w:rsid w:val="00FD5E63"/>
    <w:rsid w:val="00FD694D"/>
    <w:rsid w:val="00FD753E"/>
    <w:rsid w:val="00FE1132"/>
    <w:rsid w:val="00FE28F0"/>
    <w:rsid w:val="00FE406A"/>
    <w:rsid w:val="00FE4C08"/>
    <w:rsid w:val="00FE6B94"/>
    <w:rsid w:val="00FF3DC8"/>
    <w:rsid w:val="00FF6F20"/>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82EF"/>
  <w15:docId w15:val="{F6DE60C0-3D92-4596-B051-CC67E41B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olor w:val="2E74B5"/>
      <w:sz w:val="32"/>
      <w:szCs w:val="29"/>
    </w:rPr>
  </w:style>
  <w:style w:type="paragraph" w:styleId="Heading2">
    <w:name w:val="heading 2"/>
    <w:basedOn w:val="Normal"/>
    <w:next w:val="Normal"/>
    <w:link w:val="Heading2Char"/>
    <w:uiPriority w:val="9"/>
    <w:unhideWhenUsed/>
    <w:qFormat/>
    <w:rsid w:val="004529B6"/>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361B0A"/>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unhideWhenUsed/>
    <w:qFormat/>
    <w:rsid w:val="00632FF1"/>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unhideWhenUsed/>
    <w:qFormat/>
    <w:rsid w:val="00313126"/>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Spacing">
    <w:name w:val="No Spacing"/>
    <w:pPr>
      <w:widowControl/>
      <w:suppressAutoHyphens/>
    </w:pPr>
  </w:style>
  <w:style w:type="paragraph" w:styleId="FootnoteText">
    <w:name w:val="footnote text"/>
    <w:basedOn w:val="Standard"/>
    <w:uiPriority w:val="99"/>
    <w:rPr>
      <w:sz w:val="20"/>
      <w:szCs w:val="20"/>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customStyle="1" w:styleId="Footnote">
    <w:name w:val="Footnote"/>
    <w:basedOn w:val="Standard"/>
    <w:pPr>
      <w:suppressLineNumbers/>
      <w:ind w:left="283" w:hanging="283"/>
    </w:pPr>
    <w:rPr>
      <w:sz w:val="20"/>
      <w:szCs w:val="20"/>
    </w:rPr>
  </w:style>
  <w:style w:type="paragraph" w:styleId="EndnoteText">
    <w:name w:val="endnote text"/>
    <w:basedOn w:val="Standard"/>
    <w:rPr>
      <w:sz w:val="20"/>
      <w:szCs w:val="18"/>
    </w:rPr>
  </w:style>
  <w:style w:type="character" w:customStyle="1" w:styleId="FootnoteTextChar">
    <w:name w:val="Footnote Text Char"/>
    <w:basedOn w:val="DefaultParagraphFont"/>
    <w:uiPriority w:val="99"/>
    <w:rPr>
      <w:rFonts w:ascii="Times New Roman" w:eastAsia="SimSun" w:hAnsi="Times New Roman" w:cs="Mangal"/>
      <w:kern w:val="3"/>
      <w:sz w:val="20"/>
      <w:szCs w:val="20"/>
      <w:lang w:eastAsia="zh-CN" w:bidi="hi-IN"/>
    </w:rPr>
  </w:style>
  <w:style w:type="character" w:customStyle="1" w:styleId="HeaderChar">
    <w:name w:val="Header Char"/>
    <w:basedOn w:val="DefaultParagraphFont"/>
    <w:rPr>
      <w:rFonts w:ascii="Times New Roman" w:eastAsia="SimSun" w:hAnsi="Times New Roman" w:cs="Mangal"/>
      <w:kern w:val="3"/>
      <w:sz w:val="24"/>
      <w:szCs w:val="24"/>
      <w:lang w:eastAsia="zh-CN" w:bidi="hi-IN"/>
    </w:rPr>
  </w:style>
  <w:style w:type="character" w:customStyle="1" w:styleId="FooterChar">
    <w:name w:val="Footer Char"/>
    <w:basedOn w:val="DefaultParagraphFont"/>
    <w:rPr>
      <w:rFonts w:ascii="Times New Roman" w:eastAsia="SimSun" w:hAnsi="Times New Roman" w:cs="Mangal"/>
      <w:kern w:val="3"/>
      <w:sz w:val="24"/>
      <w:szCs w:val="24"/>
      <w:lang w:eastAsia="zh-CN" w:bidi="hi-IN"/>
    </w:rPr>
  </w:style>
  <w:style w:type="character" w:styleId="FootnoteReference">
    <w:name w:val="footnote reference"/>
    <w:basedOn w:val="DefaultParagraphFont"/>
    <w:uiPriority w:val="99"/>
    <w:rPr>
      <w:position w:val="0"/>
      <w:vertAlign w:val="superscript"/>
    </w:rPr>
  </w:style>
  <w:style w:type="character" w:customStyle="1" w:styleId="fidntext">
    <w:name w:val="fidntext"/>
    <w:basedOn w:val="DefaultParagraphFont"/>
  </w:style>
  <w:style w:type="character" w:customStyle="1" w:styleId="EndnoteTextChar">
    <w:name w:val="Endnote Text Char"/>
    <w:basedOn w:val="DefaultParagraphFont"/>
    <w:rPr>
      <w:rFonts w:ascii="Times New Roman" w:eastAsia="SimSun" w:hAnsi="Times New Roman" w:cs="Mangal"/>
      <w:kern w:val="3"/>
      <w:sz w:val="20"/>
      <w:szCs w:val="18"/>
      <w:lang w:eastAsia="zh-CN" w:bidi="hi-IN"/>
    </w:rPr>
  </w:style>
  <w:style w:type="character" w:styleId="EndnoteReference">
    <w:name w:val="endnote reference"/>
    <w:basedOn w:val="DefaultParagraphFont"/>
    <w:rPr>
      <w:position w:val="0"/>
      <w:vertAlign w:val="superscript"/>
    </w:rPr>
  </w:style>
  <w:style w:type="character" w:customStyle="1" w:styleId="ListLabel1">
    <w:name w:val="ListLabel 1"/>
    <w:rPr>
      <w:u w:val="none"/>
    </w:rPr>
  </w:style>
  <w:style w:type="character" w:customStyle="1" w:styleId="EndnoteSymbol">
    <w:name w:val="Endnote Symbol"/>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Heading1Char">
    <w:name w:val="Heading 1 Char"/>
    <w:basedOn w:val="DefaultParagraphFont"/>
    <w:rPr>
      <w:rFonts w:ascii="Calibri Light" w:eastAsia="Times New Roman" w:hAnsi="Calibri Light"/>
      <w:color w:val="2E74B5"/>
      <w:sz w:val="32"/>
      <w:szCs w:val="29"/>
    </w:rPr>
  </w:style>
  <w:style w:type="paragraph" w:customStyle="1" w:styleId="Default">
    <w:name w:val="Default"/>
    <w:pPr>
      <w:widowControl/>
      <w:autoSpaceDE w:val="0"/>
      <w:textAlignment w:val="auto"/>
    </w:pPr>
    <w:rPr>
      <w:rFonts w:cs="Times New Roman"/>
      <w:color w:val="000000"/>
      <w:kern w:val="0"/>
      <w:lang w:bidi="ar-SA"/>
    </w:rPr>
  </w:style>
  <w:style w:type="paragraph" w:styleId="CommentText">
    <w:name w:val="annotation text"/>
    <w:basedOn w:val="Normal"/>
    <w:uiPriority w:val="99"/>
    <w:rPr>
      <w:sz w:val="20"/>
      <w:szCs w:val="18"/>
    </w:rPr>
  </w:style>
  <w:style w:type="character" w:customStyle="1" w:styleId="CommentTextChar">
    <w:name w:val="Comment Text Char"/>
    <w:basedOn w:val="DefaultParagraphFont"/>
    <w:uiPriority w:val="99"/>
    <w:rPr>
      <w:sz w:val="20"/>
      <w:szCs w:val="18"/>
    </w:rPr>
  </w:style>
  <w:style w:type="character" w:styleId="CommentReference">
    <w:name w:val="annotation reference"/>
    <w:basedOn w:val="DefaultParagraphFont"/>
    <w:uiPriority w:val="99"/>
    <w:rPr>
      <w:sz w:val="16"/>
      <w:szCs w:val="16"/>
    </w:rPr>
  </w:style>
  <w:style w:type="paragraph" w:styleId="BalloonText">
    <w:name w:val="Balloon Text"/>
    <w:basedOn w:val="Normal"/>
    <w:rPr>
      <w:rFonts w:ascii="Segoe UI" w:hAnsi="Segoe UI"/>
      <w:sz w:val="18"/>
      <w:szCs w:val="16"/>
    </w:rPr>
  </w:style>
  <w:style w:type="character" w:customStyle="1" w:styleId="BalloonTextChar">
    <w:name w:val="Balloon Text Char"/>
    <w:basedOn w:val="DefaultParagraphFont"/>
    <w:rPr>
      <w:rFonts w:ascii="Segoe UI" w:hAnsi="Segoe UI"/>
      <w:sz w:val="18"/>
      <w:szCs w:val="16"/>
    </w:rPr>
  </w:style>
  <w:style w:type="paragraph" w:styleId="CommentSubject">
    <w:name w:val="annotation subject"/>
    <w:basedOn w:val="CommentText"/>
    <w:next w:val="CommentText"/>
    <w:rPr>
      <w:b/>
      <w:bCs/>
    </w:rPr>
  </w:style>
  <w:style w:type="character" w:customStyle="1" w:styleId="CommentTextChar1">
    <w:name w:val="Comment Text Char1"/>
    <w:basedOn w:val="DefaultParagraphFont"/>
    <w:rPr>
      <w:sz w:val="20"/>
      <w:szCs w:val="18"/>
    </w:rPr>
  </w:style>
  <w:style w:type="paragraph" w:styleId="Title">
    <w:name w:val="Title"/>
    <w:basedOn w:val="Normal"/>
    <w:next w:val="Normal"/>
    <w:link w:val="TitleChar"/>
    <w:uiPriority w:val="10"/>
    <w:qFormat/>
    <w:rsid w:val="004529B6"/>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4529B6"/>
    <w:rPr>
      <w:rFonts w:asciiTheme="majorHAnsi" w:eastAsiaTheme="majorEastAsia" w:hAnsiTheme="majorHAnsi"/>
      <w:spacing w:val="-10"/>
      <w:kern w:val="28"/>
      <w:sz w:val="56"/>
      <w:szCs w:val="50"/>
    </w:rPr>
  </w:style>
  <w:style w:type="character" w:customStyle="1" w:styleId="CommentSubjectChar">
    <w:name w:val="Comment Subject Char"/>
    <w:basedOn w:val="CommentTextChar1"/>
    <w:rPr>
      <w:b/>
      <w:bCs/>
      <w:sz w:val="20"/>
      <w:szCs w:val="18"/>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character" w:customStyle="1" w:styleId="Heading2Char">
    <w:name w:val="Heading 2 Char"/>
    <w:basedOn w:val="DefaultParagraphFont"/>
    <w:link w:val="Heading2"/>
    <w:uiPriority w:val="9"/>
    <w:rsid w:val="004529B6"/>
    <w:rPr>
      <w:rFonts w:asciiTheme="majorHAnsi" w:eastAsiaTheme="majorEastAsia" w:hAnsiTheme="majorHAnsi"/>
      <w:color w:val="2E74B5" w:themeColor="accent1" w:themeShade="BF"/>
      <w:sz w:val="26"/>
      <w:szCs w:val="23"/>
    </w:rPr>
  </w:style>
  <w:style w:type="character" w:customStyle="1" w:styleId="Heading3Char">
    <w:name w:val="Heading 3 Char"/>
    <w:basedOn w:val="DefaultParagraphFont"/>
    <w:link w:val="Heading3"/>
    <w:uiPriority w:val="9"/>
    <w:rsid w:val="00361B0A"/>
    <w:rPr>
      <w:rFonts w:asciiTheme="majorHAnsi" w:eastAsiaTheme="majorEastAsia" w:hAnsiTheme="majorHAnsi"/>
      <w:color w:val="1F4D78" w:themeColor="accent1" w:themeShade="7F"/>
      <w:szCs w:val="21"/>
    </w:rPr>
  </w:style>
  <w:style w:type="character" w:customStyle="1" w:styleId="Heading4Char">
    <w:name w:val="Heading 4 Char"/>
    <w:basedOn w:val="DefaultParagraphFont"/>
    <w:link w:val="Heading4"/>
    <w:uiPriority w:val="9"/>
    <w:rsid w:val="00632FF1"/>
    <w:rPr>
      <w:rFonts w:asciiTheme="majorHAnsi" w:eastAsiaTheme="majorEastAsia" w:hAnsiTheme="majorHAnsi"/>
      <w:i/>
      <w:iCs/>
      <w:color w:val="2E74B5" w:themeColor="accent1" w:themeShade="BF"/>
      <w:szCs w:val="21"/>
    </w:rPr>
  </w:style>
  <w:style w:type="character" w:customStyle="1" w:styleId="Heading5Char">
    <w:name w:val="Heading 5 Char"/>
    <w:basedOn w:val="DefaultParagraphFont"/>
    <w:link w:val="Heading5"/>
    <w:uiPriority w:val="9"/>
    <w:rsid w:val="00313126"/>
    <w:rPr>
      <w:rFonts w:asciiTheme="majorHAnsi" w:eastAsiaTheme="majorEastAsia" w:hAnsiTheme="majorHAnsi"/>
      <w:color w:val="2E74B5" w:themeColor="accent1" w:themeShade="BF"/>
      <w:szCs w:val="21"/>
    </w:rPr>
  </w:style>
  <w:style w:type="character" w:customStyle="1" w:styleId="greek">
    <w:name w:val="greek"/>
    <w:basedOn w:val="DefaultParagraphFont"/>
    <w:rsid w:val="00C37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96216">
      <w:bodyDiv w:val="1"/>
      <w:marLeft w:val="0"/>
      <w:marRight w:val="0"/>
      <w:marTop w:val="0"/>
      <w:marBottom w:val="0"/>
      <w:divBdr>
        <w:top w:val="none" w:sz="0" w:space="0" w:color="auto"/>
        <w:left w:val="none" w:sz="0" w:space="0" w:color="auto"/>
        <w:bottom w:val="none" w:sz="0" w:space="0" w:color="auto"/>
        <w:right w:val="none" w:sz="0" w:space="0" w:color="auto"/>
      </w:divBdr>
    </w:div>
    <w:div w:id="344287663">
      <w:bodyDiv w:val="1"/>
      <w:marLeft w:val="0"/>
      <w:marRight w:val="0"/>
      <w:marTop w:val="0"/>
      <w:marBottom w:val="0"/>
      <w:divBdr>
        <w:top w:val="none" w:sz="0" w:space="0" w:color="auto"/>
        <w:left w:val="none" w:sz="0" w:space="0" w:color="auto"/>
        <w:bottom w:val="none" w:sz="0" w:space="0" w:color="auto"/>
        <w:right w:val="none" w:sz="0" w:space="0" w:color="auto"/>
      </w:divBdr>
    </w:div>
    <w:div w:id="1289311699">
      <w:bodyDiv w:val="1"/>
      <w:marLeft w:val="0"/>
      <w:marRight w:val="0"/>
      <w:marTop w:val="0"/>
      <w:marBottom w:val="0"/>
      <w:divBdr>
        <w:top w:val="none" w:sz="0" w:space="0" w:color="auto"/>
        <w:left w:val="none" w:sz="0" w:space="0" w:color="auto"/>
        <w:bottom w:val="none" w:sz="0" w:space="0" w:color="auto"/>
        <w:right w:val="none" w:sz="0" w:space="0" w:color="auto"/>
      </w:divBdr>
      <w:divsChild>
        <w:div w:id="1610357270">
          <w:marLeft w:val="0"/>
          <w:marRight w:val="0"/>
          <w:marTop w:val="0"/>
          <w:marBottom w:val="0"/>
          <w:divBdr>
            <w:top w:val="none" w:sz="0" w:space="0" w:color="auto"/>
            <w:left w:val="none" w:sz="0" w:space="0" w:color="auto"/>
            <w:bottom w:val="none" w:sz="0" w:space="0" w:color="auto"/>
            <w:right w:val="none" w:sz="0" w:space="0" w:color="auto"/>
          </w:divBdr>
        </w:div>
        <w:div w:id="1616255340">
          <w:marLeft w:val="0"/>
          <w:marRight w:val="0"/>
          <w:marTop w:val="0"/>
          <w:marBottom w:val="0"/>
          <w:divBdr>
            <w:top w:val="none" w:sz="0" w:space="0" w:color="auto"/>
            <w:left w:val="none" w:sz="0" w:space="0" w:color="auto"/>
            <w:bottom w:val="none" w:sz="0" w:space="0" w:color="auto"/>
            <w:right w:val="none" w:sz="0" w:space="0" w:color="auto"/>
          </w:divBdr>
        </w:div>
      </w:divsChild>
    </w:div>
    <w:div w:id="1755591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FD805-4D35-4A3A-AC48-5FC3AA51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29</Pages>
  <Words>7158</Words>
  <Characters>40804</Characters>
  <Application>Microsoft Office Word</Application>
  <DocSecurity>0</DocSecurity>
  <Lines>340</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47867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Philosophy</dc:creator>
  <cp:lastModifiedBy>Jacob</cp:lastModifiedBy>
  <cp:revision>175</cp:revision>
  <cp:lastPrinted>2012-03-29T18:40:00Z</cp:lastPrinted>
  <dcterms:created xsi:type="dcterms:W3CDTF">2016-01-11T18:04:00Z</dcterms:created>
  <dcterms:modified xsi:type="dcterms:W3CDTF">2016-01-24T23:32:00Z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Fordham University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