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lang w:val="en-GB"/>
        </w:rPr>
      </w:pPr>
      <w:r>
        <w:rPr>
          <w:rFonts w:cs="Times New Roman" w:ascii="Baskerville Old Face" w:hAnsi="Baskerville Old Face"/>
          <w:b/>
          <w:sz w:val="24"/>
          <w:szCs w:val="24"/>
          <w:lang w:val="en-GB"/>
        </w:rPr>
        <w:t xml:space="preserve">The Teaching of the </w:t>
      </w:r>
      <w:r>
        <w:rPr>
          <w:rFonts w:cs="Times New Roman" w:ascii="Baskerville Old Face" w:hAnsi="Baskerville Old Face"/>
          <w:b/>
          <w:i/>
          <w:sz w:val="24"/>
          <w:szCs w:val="24"/>
          <w:lang w:val="en-GB"/>
        </w:rPr>
        <w:t>Trivium</w:t>
      </w:r>
      <w:r>
        <w:rPr>
          <w:rFonts w:cs="Times New Roman" w:ascii="Baskerville Old Face" w:hAnsi="Baskerville Old Face"/>
          <w:b/>
          <w:sz w:val="24"/>
          <w:szCs w:val="24"/>
          <w:lang w:val="en-GB"/>
        </w:rPr>
        <w:t xml:space="preserve"> at Bec and its Bearing on Anselm’s Programme of </w:t>
      </w:r>
      <w:r>
        <w:rPr>
          <w:rFonts w:cs="Times New Roman" w:ascii="Baskerville Old Face" w:hAnsi="Baskerville Old Face"/>
          <w:b/>
          <w:i/>
          <w:sz w:val="24"/>
          <w:szCs w:val="24"/>
          <w:lang w:val="en-GB"/>
        </w:rPr>
        <w:t>Fides Quaerens Intellectum</w:t>
      </w:r>
    </w:p>
    <w:p>
      <w:pPr>
        <w:pStyle w:val="Normal"/>
        <w:spacing w:lineRule="auto" w:line="480"/>
        <w:jc w:val="both"/>
        <w:rPr>
          <w:lang w:val="en-GB"/>
        </w:rPr>
      </w:pPr>
      <w:r>
        <w:rPr>
          <w:rFonts w:ascii="Baskerville Old Face" w:hAnsi="Baskerville Old Face"/>
          <w:sz w:val="24"/>
          <w:szCs w:val="24"/>
          <w:lang w:val="en-GB"/>
        </w:rPr>
        <w:t>Jacob Archambault</w:t>
      </w:r>
    </w:p>
    <w:p>
      <w:pPr>
        <w:pStyle w:val="Normal"/>
        <w:spacing w:lineRule="auto" w:line="480"/>
        <w:ind w:left="900" w:hanging="0"/>
        <w:jc w:val="both"/>
        <w:rPr>
          <w:lang w:val="en-GB"/>
        </w:rPr>
      </w:pPr>
      <w:r>
        <w:rPr>
          <w:rFonts w:cs="Times New Roman" w:ascii="Baskerville Old Face" w:hAnsi="Baskerville Old Face"/>
          <w:b/>
          <w:sz w:val="24"/>
          <w:szCs w:val="24"/>
          <w:lang w:val="en-GB"/>
        </w:rPr>
        <w:t xml:space="preserve">Abstract. </w:t>
      </w:r>
      <w:r>
        <w:rPr>
          <w:rFonts w:cs="Times New Roman" w:ascii="Baskerville Old Face" w:hAnsi="Baskerville Old Face"/>
          <w:sz w:val="24"/>
          <w:szCs w:val="24"/>
          <w:lang w:val="en-GB"/>
        </w:rPr>
        <w:t>How should the phrase ‘</w:t>
      </w:r>
      <w:r>
        <w:rPr>
          <w:rFonts w:cs="Times New Roman" w:ascii="Baskerville Old Face" w:hAnsi="Baskerville Old Face"/>
          <w:i/>
          <w:sz w:val="24"/>
          <w:szCs w:val="24"/>
          <w:lang w:val="en-GB"/>
        </w:rPr>
        <w:t>fides quaerens intellectum</w:t>
      </w:r>
      <w:r>
        <w:rPr>
          <w:rFonts w:cs="Times New Roman" w:ascii="Baskerville Old Face" w:hAnsi="Baskerville Old Face"/>
          <w:sz w:val="24"/>
          <w:szCs w:val="24"/>
          <w:lang w:val="en-GB"/>
        </w:rPr>
        <w:t xml:space="preserve">’ be understood as a characterization of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I argue that ‘</w:t>
      </w:r>
      <w:r>
        <w:rPr>
          <w:rFonts w:cs="Times New Roman" w:ascii="Baskerville Old Face" w:hAnsi="Baskerville Old Face"/>
          <w:i/>
          <w:sz w:val="24"/>
          <w:szCs w:val="24"/>
          <w:lang w:val="en-GB"/>
        </w:rPr>
        <w:t>fides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and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lang w:val="en-GB"/>
        </w:rPr>
      </w:pPr>
      <w:r>
        <w:rPr>
          <w:rFonts w:cs="Times New Roman" w:ascii="Baskerville Old Face" w:hAnsi="Baskerville Old Face"/>
          <w:sz w:val="24"/>
          <w:szCs w:val="24"/>
          <w:lang w:val="en-GB"/>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used at Bec according to a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functioned in these works. Finally, I show how these considerations illuminate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and the exchange with Gaunilo.</w:t>
      </w:r>
    </w:p>
    <w:p>
      <w:pPr>
        <w:pStyle w:val="Normal"/>
        <w:spacing w:lineRule="auto" w:line="480"/>
        <w:jc w:val="both"/>
        <w:rPr>
          <w:lang w:val="en-GB"/>
        </w:rPr>
      </w:pPr>
      <w:r>
        <w:rPr>
          <w:rFonts w:cs="Times New Roman" w:ascii="Baskerville Old Face" w:hAnsi="Baskerville Old Face"/>
          <w:sz w:val="24"/>
          <w:szCs w:val="24"/>
          <w:lang w:val="en-GB"/>
        </w:rPr>
        <w:t>Keywords: Anselm of Canterbury; Boethius; topics, medieval interpretations of; faith and reason.</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1 The Current State of Anselm Scholarship and the Usual Understanding of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and </w:t>
      </w:r>
      <w:r>
        <w:rPr>
          <w:rFonts w:cs="Times New Roman" w:ascii="Baskerville Old Face" w:hAnsi="Baskerville Old Face"/>
          <w:b/>
          <w:i/>
          <w:color w:val="auto"/>
          <w:sz w:val="24"/>
          <w:szCs w:val="24"/>
          <w:lang w:val="en-GB"/>
        </w:rPr>
        <w:t>Intellectus</w:t>
      </w:r>
    </w:p>
    <w:p>
      <w:pPr>
        <w:pStyle w:val="Normal"/>
        <w:spacing w:lineRule="auto" w:line="480"/>
        <w:jc w:val="both"/>
        <w:rPr>
          <w:lang w:val="en-GB"/>
        </w:rPr>
      </w:pPr>
      <w:r>
        <w:rPr>
          <w:rFonts w:cs="Times New Roman" w:ascii="Baskerville Old Face" w:hAnsi="Baskerville Old Face"/>
          <w:i/>
          <w:sz w:val="24"/>
          <w:szCs w:val="24"/>
          <w:lang w:val="en-GB"/>
        </w:rPr>
        <w:tab/>
      </w:r>
      <w:r>
        <w:rPr>
          <w:rFonts w:cs="Times New Roman" w:ascii="Baskerville Old Face" w:hAnsi="Baskerville Old Face"/>
          <w:sz w:val="24"/>
          <w:szCs w:val="24"/>
          <w:lang w:val="en-GB"/>
        </w:rPr>
        <w:t xml:space="preserve">In </w:t>
      </w:r>
      <w:r>
        <w:rPr>
          <w:rFonts w:cs="Times New Roman" w:ascii="Baskerville Old Face" w:hAnsi="Baskerville Old Face"/>
          <w:i/>
          <w:sz w:val="24"/>
          <w:szCs w:val="24"/>
          <w:lang w:val="en-GB"/>
        </w:rPr>
        <w:t>Anselm of Canterbury and the Desire for the Word</w:t>
      </w:r>
      <w:r>
        <w:rPr>
          <w:rFonts w:cs="Times New Roman" w:ascii="Baskerville Old Face" w:hAnsi="Baskerville Old Face"/>
          <w:sz w:val="24"/>
          <w:szCs w:val="24"/>
          <w:lang w:val="en-GB"/>
        </w:rPr>
        <w:t xml:space="preserve">, Eileen Sweeney describes the current state of Anselm scholarship thus:  </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lang w:val="en-GB"/>
        </w:rPr>
        <w:footnoteReference w:id="2"/>
      </w:r>
    </w:p>
    <w:p>
      <w:pPr>
        <w:pStyle w:val="Normal"/>
        <w:spacing w:lineRule="auto" w:line="480"/>
        <w:jc w:val="both"/>
        <w:rPr>
          <w:lang w:val="en-GB"/>
        </w:rPr>
      </w:pPr>
      <w:r>
        <w:rPr>
          <w:rFonts w:cs="Times New Roman" w:ascii="Baskerville Old Face" w:hAnsi="Baskerville Old Face"/>
          <w:sz w:val="24"/>
          <w:szCs w:val="24"/>
          <w:lang w:val="en-GB"/>
        </w:rPr>
        <w:t xml:space="preserve">According to the operative conception behind the aforementioned divide, to study religion, theology, or spirituality is to take </w:t>
      </w:r>
      <w:r>
        <w:rPr>
          <w:rFonts w:cs="Times New Roman" w:ascii="Baskerville Old Face" w:hAnsi="Baskerville Old Face"/>
          <w:i/>
          <w:sz w:val="24"/>
          <w:szCs w:val="24"/>
          <w:lang w:val="en-GB"/>
        </w:rPr>
        <w:t>faith</w:t>
      </w:r>
      <w:r>
        <w:rPr>
          <w:rFonts w:cs="Times New Roman" w:ascii="Baskerville Old Face" w:hAnsi="Baskerville Old Face"/>
          <w:sz w:val="24"/>
          <w:szCs w:val="24"/>
          <w:lang w:val="en-GB"/>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lang w:val="en-GB"/>
        </w:rPr>
        <w:t>ratio</w:t>
      </w:r>
      <w:r>
        <w:rPr>
          <w:rFonts w:cs="Times New Roman" w:ascii="Baskerville Old Face" w:hAnsi="Baskerville Old Face"/>
          <w:sz w:val="24"/>
          <w:szCs w:val="24"/>
          <w:lang w:val="en-GB"/>
        </w:rPr>
        <w:t xml:space="preserve"> 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are not identical, then the former at least provides the paradigmatic case of the latter.</w:t>
      </w:r>
    </w:p>
    <w:p>
      <w:pPr>
        <w:pStyle w:val="Normal"/>
        <w:spacing w:lineRule="auto" w:line="480"/>
        <w:jc w:val="both"/>
        <w:rPr>
          <w:lang w:val="en-GB"/>
        </w:rPr>
      </w:pPr>
      <w:r>
        <w:rPr>
          <w:rFonts w:cs="Times New Roman" w:ascii="Baskerville Old Face" w:hAnsi="Baskerville Old Face"/>
          <w:i/>
          <w:sz w:val="24"/>
          <w:szCs w:val="24"/>
          <w:lang w:val="en-GB"/>
        </w:rPr>
        <w:tab/>
        <w:t>Fides</w:t>
      </w:r>
      <w:r>
        <w:rPr>
          <w:rFonts w:cs="Times New Roman" w:ascii="Baskerville Old Face" w:hAnsi="Baskerville Old Face"/>
          <w:sz w:val="24"/>
          <w:szCs w:val="24"/>
          <w:lang w:val="en-GB"/>
        </w:rPr>
        <w:t>, or ‘faith’,</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lang w:val="en-GB"/>
        </w:rPr>
      </w:pPr>
      <w:r>
        <w:rPr>
          <w:rFonts w:cs="Times New Roman" w:ascii="Baskerville Old Face" w:hAnsi="Baskerville Old Face"/>
          <w:sz w:val="24"/>
          <w:szCs w:val="24"/>
          <w:lang w:val="en-GB"/>
        </w:rPr>
        <w:tab/>
        <w:t xml:space="preserve">A divide between subjective and objective senses similarly governs the meanings of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lang w:val="en-GB"/>
        </w:rPr>
        <w:t>faculty</w:t>
      </w:r>
      <w:r>
        <w:rPr>
          <w:rFonts w:cs="Times New Roman" w:ascii="Baskerville Old Face" w:hAnsi="Baskerville Old Face"/>
          <w:sz w:val="24"/>
          <w:szCs w:val="24"/>
          <w:lang w:val="en-GB"/>
        </w:rPr>
        <w:t xml:space="preserve"> of understanding is often taken to be identical to the faculty of reason, while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lang w:val="en-GB"/>
        </w:rPr>
        <w:footnoteReference w:id="3"/>
      </w:r>
    </w:p>
    <w:p>
      <w:pPr>
        <w:pStyle w:val="Normal"/>
        <w:spacing w:lineRule="auto" w:line="480"/>
        <w:jc w:val="both"/>
        <w:rPr>
          <w:lang w:val="en-GB"/>
        </w:rPr>
      </w:pPr>
      <w:r>
        <w:rPr>
          <w:rFonts w:cs="Times New Roman" w:ascii="Baskerville Old Face" w:hAnsi="Baskerville Old Face"/>
          <w:sz w:val="24"/>
          <w:szCs w:val="24"/>
          <w:lang w:val="en-GB"/>
        </w:rPr>
        <w:tab/>
        <w:t xml:space="preserve">The relation between these states is taken as follows. Faith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faith is, compared with that of understanding, incomplete. And the </w:t>
      </w:r>
      <w:r>
        <w:rPr>
          <w:rFonts w:cs="Times New Roman" w:ascii="Baskerville Old Face" w:hAnsi="Baskerville Old Face"/>
          <w:i/>
          <w:sz w:val="24"/>
          <w:szCs w:val="24"/>
          <w:lang w:val="en-GB"/>
        </w:rPr>
        <w:t>content</w:t>
      </w:r>
      <w:r>
        <w:rPr>
          <w:rFonts w:cs="Times New Roman" w:ascii="Baskerville Old Face" w:hAnsi="Baskerville Old Face"/>
          <w:sz w:val="24"/>
          <w:szCs w:val="24"/>
          <w:lang w:val="en-GB"/>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lang w:val="en-GB"/>
        </w:rPr>
        <w:t xml:space="preserve">above </w:t>
      </w:r>
      <w:r>
        <w:rPr>
          <w:rFonts w:cs="Times New Roman" w:ascii="Baskerville Old Face" w:hAnsi="Baskerville Old Face"/>
          <w:sz w:val="24"/>
          <w:szCs w:val="24"/>
          <w:lang w:val="en-GB"/>
        </w:rPr>
        <w:t>reason; on the second, stemming from Latin Avërroism,</w:t>
      </w:r>
      <w:r>
        <w:rPr>
          <w:rStyle w:val="FootnoteAnchor"/>
          <w:rFonts w:cs="Times New Roman" w:ascii="Baskerville Old Face" w:hAnsi="Baskerville Old Face"/>
          <w:sz w:val="24"/>
          <w:szCs w:val="24"/>
          <w:lang w:val="en-GB"/>
        </w:rPr>
        <w:footnoteReference w:id="4"/>
      </w:r>
      <w:r>
        <w:rPr>
          <w:rFonts w:cs="Times New Roman" w:ascii="Baskerville Old Face" w:hAnsi="Baskerville Old Face"/>
          <w:sz w:val="24"/>
          <w:szCs w:val="24"/>
          <w:lang w:val="en-GB"/>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lang w:val="en-GB"/>
        </w:rPr>
      </w:pPr>
      <w:r>
        <w:rPr>
          <w:rFonts w:cs="Times New Roman" w:ascii="Baskerville Old Face" w:hAnsi="Baskerville Old Face"/>
          <w:i/>
          <w:sz w:val="24"/>
          <w:szCs w:val="24"/>
          <w:lang w:val="en-GB"/>
        </w:rPr>
        <w:tab/>
        <w:t>Fides quaerens intellectum</w:t>
      </w:r>
      <w:r>
        <w:rPr>
          <w:rFonts w:cs="Times New Roman" w:ascii="Baskerville Old Face" w:hAnsi="Baskerville Old Face"/>
          <w:sz w:val="24"/>
          <w:szCs w:val="24"/>
          <w:lang w:val="en-GB"/>
        </w:rPr>
        <w:t xml:space="preserve">, then, is most often taken to mean ‘subjective, willed believing-without-evidence seeking definitive proof that what it believes unknowingly is in fact the case’. If one takes the content of reason and faith to conflict, then ‘without’ can be strengthened to ‘against’. This sense is not terribly flattering. This does not mean it is an incorrect reading of the phenomena, but we should hesitate to think this was </w:t>
      </w:r>
      <w:r>
        <w:rPr>
          <w:rFonts w:cs="Times New Roman" w:ascii="Baskerville Old Face" w:hAnsi="Baskerville Old Face"/>
          <w:sz w:val="24"/>
          <w:szCs w:val="24"/>
          <w:lang w:val="en-GB"/>
        </w:rPr>
        <w:t xml:space="preserve">what </w:t>
      </w:r>
      <w:r>
        <w:rPr>
          <w:rFonts w:cs="Times New Roman" w:ascii="Baskerville Old Face" w:hAnsi="Baskerville Old Face"/>
          <w:sz w:val="24"/>
          <w:szCs w:val="24"/>
          <w:lang w:val="en-GB"/>
        </w:rPr>
        <w:t xml:space="preserve">Anselm endorsed when he gave </w:t>
      </w:r>
      <w:r>
        <w:rPr>
          <w:rFonts w:cs="Times New Roman" w:ascii="Baskerville Old Face" w:hAnsi="Baskerville Old Face"/>
          <w:i/>
          <w:sz w:val="24"/>
          <w:szCs w:val="24"/>
          <w:lang w:val="en-GB"/>
        </w:rPr>
        <w:t xml:space="preserve">fides quaerens intellectum </w:t>
      </w:r>
      <w:r>
        <w:rPr>
          <w:rFonts w:cs="Times New Roman" w:ascii="Baskerville Old Face" w:hAnsi="Baskerville Old Face"/>
          <w:sz w:val="24"/>
          <w:szCs w:val="24"/>
          <w:lang w:val="en-GB"/>
        </w:rPr>
        <w:t xml:space="preserve">as the working title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 xml:space="preserve">This essay aims not so much to </w:t>
      </w:r>
      <w:r>
        <w:rPr>
          <w:rFonts w:cs="Times New Roman" w:ascii="Baskerville Old Face" w:hAnsi="Baskerville Old Face"/>
          <w:i/>
          <w:sz w:val="24"/>
          <w:szCs w:val="24"/>
          <w:lang w:val="en-GB"/>
        </w:rPr>
        <w:t xml:space="preserve">refute </w:t>
      </w:r>
      <w:r>
        <w:rPr>
          <w:rFonts w:cs="Times New Roman" w:ascii="Baskerville Old Face" w:hAnsi="Baskerville Old Face"/>
          <w:sz w:val="24"/>
          <w:szCs w:val="24"/>
          <w:lang w:val="en-GB"/>
        </w:rPr>
        <w:t xml:space="preserve">standard interpretations as to deepen them: the meanings we assign primarily to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are, on Anselm’s analysis, derivative. If reading Anselm differently on this point proves fruitful, it may also provide a way into seeing the matters themselves differently.</w:t>
      </w:r>
    </w:p>
    <w:p>
      <w:pPr>
        <w:pStyle w:val="Heading1"/>
        <w:spacing w:lineRule="auto" w:line="480"/>
        <w:jc w:val="both"/>
        <w:rPr>
          <w:lang w:val="en-GB"/>
        </w:rPr>
      </w:pPr>
      <w:r>
        <w:rPr>
          <w:rFonts w:cs="Times New Roman" w:ascii="Baskerville Old Face" w:hAnsi="Baskerville Old Face"/>
          <w:b/>
          <w:color w:val="auto"/>
          <w:sz w:val="24"/>
          <w:szCs w:val="24"/>
          <w:lang w:val="en-GB"/>
        </w:rPr>
        <w:t>2 The Trivium at Bec in the Early 12</w:t>
      </w:r>
      <w:r>
        <w:rPr>
          <w:rFonts w:cs="Times New Roman" w:ascii="Baskerville Old Face" w:hAnsi="Baskerville Old Face"/>
          <w:b/>
          <w:color w:val="auto"/>
          <w:sz w:val="24"/>
          <w:szCs w:val="24"/>
          <w:vertAlign w:val="superscript"/>
          <w:lang w:val="en-GB"/>
        </w:rPr>
        <w:t>th</w:t>
      </w:r>
      <w:r>
        <w:rPr>
          <w:rFonts w:cs="Times New Roman" w:ascii="Baskerville Old Face" w:hAnsi="Baskerville Old Face"/>
          <w:b/>
          <w:color w:val="auto"/>
          <w:sz w:val="24"/>
          <w:szCs w:val="24"/>
          <w:lang w:val="en-GB"/>
        </w:rPr>
        <w:t xml:space="preserve"> c.</w:t>
      </w:r>
    </w:p>
    <w:p>
      <w:pPr>
        <w:pStyle w:val="Normal"/>
        <w:spacing w:lineRule="auto" w:line="480"/>
        <w:jc w:val="both"/>
        <w:rPr>
          <w:lang w:val="en-GB"/>
        </w:rPr>
      </w:pPr>
      <w:r>
        <w:rPr>
          <w:rFonts w:cs="Times New Roman" w:ascii="Baskerville Old Face" w:hAnsi="Baskerville Old Face"/>
          <w:sz w:val="24"/>
          <w:szCs w:val="24"/>
          <w:lang w:val="en-GB"/>
        </w:rPr>
        <w:tab/>
        <w:t xml:space="preserve">The following entry is found toward the end of a library list from Bec abbey that Becker dates to the twelfth century: </w:t>
      </w:r>
    </w:p>
    <w:p>
      <w:pPr>
        <w:pStyle w:val="Normal"/>
        <w:spacing w:lineRule="auto" w:line="480"/>
        <w:ind w:left="900" w:hanging="0"/>
        <w:jc w:val="both"/>
        <w:rPr>
          <w:lang w:val="en-GB"/>
        </w:rPr>
      </w:pPr>
      <w:r>
        <w:rPr>
          <w:rFonts w:cs="Times New Roman" w:ascii="Baskerville Old Face" w:hAnsi="Baskerville Old Face"/>
          <w:sz w:val="24"/>
          <w:szCs w:val="24"/>
          <w:lang w:val="en-GB"/>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lang w:val="en-GB"/>
        </w:rPr>
        <w:footnoteReference w:id="5"/>
      </w:r>
    </w:p>
    <w:p>
      <w:pPr>
        <w:pStyle w:val="Normal"/>
        <w:spacing w:lineRule="auto" w:line="480"/>
        <w:jc w:val="both"/>
        <w:rPr/>
      </w:pPr>
      <w:r>
        <w:rPr>
          <w:rFonts w:cs="Times New Roman" w:ascii="Baskerville Old Face" w:hAnsi="Baskerville Old Face"/>
          <w:sz w:val="24"/>
          <w:szCs w:val="24"/>
          <w:lang w:val="en-GB"/>
        </w:rPr>
        <w:t xml:space="preserve">Both the wording and content suggest these works, given as follows, were bound in a single volume. The first is the </w:t>
      </w:r>
      <w:r>
        <w:rPr>
          <w:rFonts w:cs="Times New Roman" w:ascii="Baskerville Old Face" w:hAnsi="Baskerville Old Face"/>
          <w:i/>
          <w:sz w:val="24"/>
          <w:szCs w:val="24"/>
          <w:lang w:val="en-GB"/>
        </w:rPr>
        <w:t>de nuptiis Mercurii et philologiae</w:t>
      </w:r>
      <w:r>
        <w:rPr>
          <w:rFonts w:cs="Times New Roman" w:ascii="Baskerville Old Face" w:hAnsi="Baskerville Old Face"/>
          <w:sz w:val="24"/>
          <w:szCs w:val="24"/>
          <w:lang w:val="en-GB"/>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lang w:val="en-GB"/>
        </w:rPr>
        <w:footnoteReference w:id="6"/>
      </w:r>
      <w:r>
        <w:rPr>
          <w:rFonts w:cs="Times New Roman" w:ascii="Baskerville Old Face" w:hAnsi="Baskerville Old Face"/>
          <w:sz w:val="24"/>
          <w:szCs w:val="24"/>
          <w:lang w:val="en-GB"/>
        </w:rPr>
        <w:t xml:space="preserve"> accompanied by a commentary of Remigius of Auxerre on the entire work. The work attributed to Priscian listed as </w:t>
      </w:r>
      <w:r>
        <w:rPr>
          <w:rFonts w:cs="Times New Roman" w:ascii="Baskerville Old Face" w:hAnsi="Baskerville Old Face"/>
          <w:i/>
          <w:sz w:val="24"/>
          <w:szCs w:val="24"/>
          <w:lang w:val="en-GB"/>
        </w:rPr>
        <w:t>de viii partibus et de constructionibus ii</w:t>
      </w:r>
      <w:r>
        <w:rPr>
          <w:rFonts w:cs="Times New Roman" w:ascii="Baskerville Old Face" w:hAnsi="Baskerville Old Face"/>
          <w:sz w:val="24"/>
          <w:szCs w:val="24"/>
          <w:lang w:val="en-GB"/>
        </w:rPr>
        <w:t xml:space="preserve"> is the </w:t>
      </w:r>
      <w:r>
        <w:rPr>
          <w:rFonts w:cs="Times New Roman" w:ascii="Baskerville Old Face" w:hAnsi="Baskerville Old Face"/>
          <w:i/>
          <w:sz w:val="24"/>
          <w:szCs w:val="24"/>
          <w:lang w:val="en-GB"/>
        </w:rPr>
        <w:t>Institutiones Grammaticae</w:t>
      </w:r>
      <w:r>
        <w:rPr>
          <w:rFonts w:cs="Times New Roman" w:ascii="Baskerville Old Face" w:hAnsi="Baskerville Old Face"/>
          <w:sz w:val="24"/>
          <w:szCs w:val="24"/>
          <w:lang w:val="en-GB"/>
        </w:rPr>
        <w:t>.</w:t>
      </w:r>
      <w:r>
        <w:rPr>
          <w:rStyle w:val="FootnoteCharacters"/>
          <w:rFonts w:cs="Times New Roman" w:ascii="Baskerville Old Face" w:hAnsi="Baskerville Old Face"/>
          <w:sz w:val="24"/>
          <w:szCs w:val="24"/>
          <w:lang w:val="en-GB"/>
        </w:rPr>
        <w:t xml:space="preserve"> </w:t>
      </w:r>
      <w:r>
        <w:rPr>
          <w:rStyle w:val="FootnoteAnchor"/>
          <w:rFonts w:cs="Times New Roman" w:ascii="Baskerville Old Face" w:hAnsi="Baskerville Old Face"/>
          <w:sz w:val="24"/>
          <w:szCs w:val="24"/>
          <w:lang w:val="en-GB"/>
        </w:rPr>
        <w:footnoteReference w:id="7"/>
      </w:r>
      <w:r>
        <w:rPr>
          <w:rFonts w:cs="Times New Roman" w:ascii="Baskerville Old Face" w:hAnsi="Baskerville Old Face"/>
          <w:sz w:val="24"/>
          <w:szCs w:val="24"/>
          <w:lang w:val="en-GB"/>
        </w:rPr>
        <w:t xml:space="preserve"> One of the rhetorics listed may also be his. The other may be the fourth book of Boethius’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8"/>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The ‘Dialectic in three books’ is likely either the first three books of the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 xml:space="preserve"> or his</w:t>
      </w:r>
      <w:r>
        <w:rPr>
          <w:rFonts w:cs="Times New Roman" w:ascii="Baskerville Old Face" w:hAnsi="Baskerville Old Face"/>
          <w:i/>
          <w:iCs/>
          <w:sz w:val="24"/>
          <w:szCs w:val="24"/>
          <w:lang w:val="en-GB"/>
        </w:rPr>
        <w:t xml:space="preserve"> De syllogismo hypothetico</w:t>
      </w:r>
      <w:r>
        <w:rPr>
          <w:rFonts w:cs="Times New Roman" w:ascii="Baskerville Old Face" w:hAnsi="Baskerville Old Face"/>
          <w:i w:val="false"/>
          <w:iCs w:val="false"/>
          <w:sz w:val="24"/>
          <w:szCs w:val="24"/>
          <w:lang w:val="en-GB"/>
        </w:rPr>
        <w:t>.</w:t>
      </w:r>
      <w:r>
        <w:rPr>
          <w:rStyle w:val="FootnoteAnchor"/>
          <w:rFonts w:cs="Times New Roman" w:ascii="Baskerville Old Face" w:hAnsi="Baskerville Old Face"/>
          <w:i w:val="false"/>
          <w:iCs w:val="false"/>
          <w:sz w:val="24"/>
          <w:szCs w:val="24"/>
          <w:lang w:val="en-GB"/>
        </w:rPr>
        <w:footnoteReference w:id="9"/>
      </w:r>
      <w:r>
        <w:rPr>
          <w:rFonts w:cs="Times New Roman" w:ascii="Baskerville Old Face" w:hAnsi="Baskerville Old Face"/>
          <w:i/>
          <w:iCs/>
          <w:sz w:val="24"/>
          <w:szCs w:val="24"/>
          <w:lang w:val="en-GB"/>
        </w:rPr>
        <w:t xml:space="preserve"> </w:t>
      </w:r>
      <w:r>
        <w:rPr>
          <w:rFonts w:cs="Times New Roman" w:ascii="Baskerville Old Face" w:hAnsi="Baskerville Old Face"/>
          <w:sz w:val="24"/>
          <w:szCs w:val="24"/>
          <w:lang w:val="en-GB"/>
        </w:rPr>
        <w:t xml:space="preserve">The remaining works of the list are also by Boethius: his commentaries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On Interpretation</w:t>
      </w:r>
      <w:r>
        <w:rPr>
          <w:rFonts w:cs="Times New Roman" w:ascii="Baskerville Old Face" w:hAnsi="Baskerville Old Face"/>
          <w:sz w:val="24"/>
          <w:szCs w:val="24"/>
          <w:lang w:val="en-GB"/>
        </w:rPr>
        <w:t xml:space="preserve">, and Cicero’s </w:t>
      </w:r>
      <w:r>
        <w:rPr>
          <w:rFonts w:cs="Times New Roman" w:ascii="Baskerville Old Face" w:hAnsi="Baskerville Old Face"/>
          <w:i/>
          <w:sz w:val="24"/>
          <w:szCs w:val="24"/>
          <w:lang w:val="en-GB"/>
        </w:rPr>
        <w:t>Topics</w:t>
      </w:r>
      <w:r>
        <w:rPr>
          <w:rFonts w:cs="Times New Roman" w:ascii="Baskerville Old Face" w:hAnsi="Baskerville Old Face"/>
          <w:sz w:val="24"/>
          <w:szCs w:val="24"/>
          <w:lang w:val="en-GB"/>
        </w:rPr>
        <w:t>.</w:t>
      </w:r>
    </w:p>
    <w:p>
      <w:pPr>
        <w:pStyle w:val="Normal"/>
        <w:spacing w:lineRule="auto" w:line="480"/>
        <w:jc w:val="both"/>
        <w:rPr>
          <w:lang w:val="en-GB"/>
        </w:rPr>
      </w:pPr>
      <w:r>
        <w:rPr>
          <w:rFonts w:cs="Times New Roman" w:ascii="Baskerville Old Face" w:hAnsi="Baskerville Old Face"/>
          <w:sz w:val="24"/>
          <w:szCs w:val="24"/>
          <w:lang w:val="en-GB"/>
        </w:rPr>
        <w:tab/>
        <w:t>It is likely that some of these texts were present in Bec in the eleventh century, and possible that this particular ms was.</w:t>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quadrivium</w:t>
      </w:r>
      <w:r>
        <w:rPr>
          <w:rFonts w:cs="Times New Roman" w:ascii="Baskerville Old Face" w:hAnsi="Baskerville Old Face"/>
          <w:sz w:val="24"/>
          <w:szCs w:val="24"/>
          <w:lang w:val="en-GB"/>
        </w:rPr>
        <w:t>, which had fallen into neglect and profound obscurity’.</w:t>
      </w:r>
      <w:r>
        <w:rPr>
          <w:rStyle w:val="FootnoteAnchor"/>
          <w:rFonts w:cs="Times New Roman" w:ascii="Baskerville Old Face" w:hAnsi="Baskerville Old Face"/>
          <w:sz w:val="24"/>
          <w:szCs w:val="24"/>
          <w:lang w:val="en-GB"/>
        </w:rPr>
        <w:footnoteReference w:id="10"/>
      </w:r>
      <w:r>
        <w:rPr>
          <w:rFonts w:cs="Times New Roman" w:ascii="Baskerville Old Face" w:hAnsi="Baskerville Old Face"/>
          <w:sz w:val="24"/>
          <w:szCs w:val="24"/>
          <w:lang w:val="en-GB"/>
        </w:rPr>
        <w:t xml:space="preserve"> Further, Anselm shows familiarity with at least some of the works on the list. He mentions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1"/>
      </w:r>
      <w:r>
        <w:rPr>
          <w:rFonts w:cs="Times New Roman" w:ascii="Baskerville Old Face" w:hAnsi="Baskerville Old Face"/>
          <w:sz w:val="24"/>
          <w:szCs w:val="24"/>
          <w:lang w:val="en-GB"/>
        </w:rPr>
        <w:t xml:space="preserve"> and examples and vocabulary used in the same work suggest familiarity with both Priscian’s </w:t>
      </w:r>
      <w:r>
        <w:rPr>
          <w:rFonts w:cs="Times New Roman" w:ascii="Baskerville Old Face" w:hAnsi="Baskerville Old Face"/>
          <w:i/>
          <w:sz w:val="24"/>
          <w:szCs w:val="24"/>
          <w:lang w:val="en-GB"/>
        </w:rPr>
        <w:t>Institutiones</w:t>
      </w:r>
      <w:r>
        <w:rPr>
          <w:rFonts w:cs="Times New Roman" w:ascii="Baskerville Old Face" w:hAnsi="Baskerville Old Face"/>
          <w:sz w:val="24"/>
          <w:szCs w:val="24"/>
          <w:lang w:val="en-GB"/>
        </w:rPr>
        <w:t xml:space="preserve"> and Boethius’ </w:t>
      </w:r>
      <w:r>
        <w:rPr>
          <w:rFonts w:cs="Times New Roman" w:ascii="Baskerville Old Face" w:hAnsi="Baskerville Old Face"/>
          <w:i/>
          <w:sz w:val="24"/>
          <w:szCs w:val="24"/>
          <w:lang w:val="en-GB"/>
        </w:rPr>
        <w:t>Logica Vetus</w:t>
      </w:r>
      <w:r>
        <w:rPr>
          <w:rFonts w:cs="Times New Roman" w:ascii="Baskerville Old Face" w:hAnsi="Baskerville Old Face"/>
          <w:sz w:val="24"/>
          <w:szCs w:val="24"/>
          <w:lang w:val="en-GB"/>
        </w:rPr>
        <w:t xml:space="preserve"> commentaries.</w:t>
      </w:r>
      <w:r>
        <w:rPr>
          <w:rStyle w:val="FootnoteAnchor"/>
          <w:rFonts w:cs="Times New Roman" w:ascii="Baskerville Old Face" w:hAnsi="Baskerville Old Face"/>
          <w:sz w:val="24"/>
          <w:szCs w:val="24"/>
          <w:lang w:val="en-GB"/>
        </w:rPr>
        <w:footnoteReference w:id="12"/>
      </w:r>
      <w:r>
        <w:rPr>
          <w:rFonts w:cs="Times New Roman" w:ascii="Baskerville Old Face" w:hAnsi="Baskerville Old Face"/>
          <w:sz w:val="24"/>
          <w:szCs w:val="24"/>
          <w:lang w:val="en-GB"/>
        </w:rPr>
        <w:t xml:space="preserve"> That he would be familiar with the others would hardly be surprising.</w:t>
      </w:r>
    </w:p>
    <w:p>
      <w:pPr>
        <w:pStyle w:val="Normal"/>
        <w:spacing w:lineRule="auto" w:line="480"/>
        <w:jc w:val="both"/>
        <w:rPr>
          <w:lang w:val="en-GB"/>
        </w:rPr>
      </w:pPr>
      <w:r>
        <w:rPr>
          <w:rFonts w:cs="Times New Roman" w:ascii="Baskerville Old Face" w:hAnsi="Baskerville Old Face"/>
          <w:sz w:val="24"/>
          <w:szCs w:val="24"/>
          <w:lang w:val="en-GB"/>
        </w:rPr>
        <w:tab/>
        <w:t xml:space="preserve">Where the codex is on the list gives us another clue. The codex listed immediately before ours contains the </w:t>
      </w:r>
      <w:r>
        <w:rPr>
          <w:rFonts w:cs="Times New Roman" w:ascii="Baskerville Old Face" w:hAnsi="Baskerville Old Face"/>
          <w:i/>
          <w:sz w:val="24"/>
          <w:szCs w:val="24"/>
          <w:lang w:val="en-GB"/>
        </w:rPr>
        <w:t xml:space="preserve">Quaestiones Naturales </w:t>
      </w:r>
      <w:r>
        <w:rPr>
          <w:rFonts w:cs="Times New Roman" w:ascii="Baskerville Old Face" w:hAnsi="Baskerville Old Face"/>
          <w:sz w:val="24"/>
          <w:szCs w:val="24"/>
          <w:lang w:val="en-GB"/>
        </w:rPr>
        <w:t xml:space="preserve">of Seneca the Elder. This work is likely the proximate source for the phrase </w:t>
      </w:r>
      <w:r>
        <w:rPr>
          <w:rFonts w:cs="Times New Roman" w:ascii="Baskerville Old Face" w:hAnsi="Baskerville Old Face"/>
          <w:i/>
          <w:sz w:val="24"/>
          <w:szCs w:val="24"/>
          <w:lang w:val="en-GB"/>
        </w:rPr>
        <w:t>id quo nihil maius cogitari potest</w:t>
      </w:r>
      <w:r>
        <w:rPr>
          <w:rFonts w:cs="Times New Roman" w:ascii="Baskerville Old Face" w:hAnsi="Baskerville Old Face"/>
          <w:sz w:val="24"/>
          <w:szCs w:val="24"/>
          <w:lang w:val="en-GB"/>
        </w:rPr>
        <w:t xml:space="preserve">, ‘that than which nothing greater can be thought,’ so central to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3"/>
      </w:r>
      <w:r>
        <w:rPr>
          <w:rFonts w:cs="Times New Roman" w:ascii="Baskerville Old Face" w:hAnsi="Baskerville Old Face"/>
          <w:sz w:val="24"/>
          <w:szCs w:val="24"/>
          <w:lang w:val="en-GB"/>
        </w:rPr>
        <w:t xml:space="preserve"> If both the ms. described in Becker’s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lang w:val="en-GB"/>
        </w:rPr>
        <w:t>trivium</w:t>
      </w:r>
      <w:r>
        <w:rPr>
          <w:rFonts w:cs="Times New Roman" w:ascii="Baskerville Old Face" w:hAnsi="Baskerville Old Face"/>
          <w:sz w:val="24"/>
          <w:szCs w:val="24"/>
          <w:lang w:val="en-GB"/>
        </w:rPr>
        <w:t xml:space="preserve"> codex, and fortuitously picking up the codex next to it that would provide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with its key phrase.</w:t>
      </w:r>
      <w:r>
        <w:rPr>
          <w:rStyle w:val="FootnoteAnchor"/>
          <w:rFonts w:cs="Times New Roman" w:ascii="Baskerville Old Face" w:hAnsi="Baskerville Old Face"/>
          <w:sz w:val="24"/>
          <w:szCs w:val="24"/>
          <w:lang w:val="en-GB"/>
        </w:rPr>
        <w:footnoteReference w:id="14"/>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3 </w:t>
      </w:r>
      <w:r>
        <w:rPr>
          <w:rFonts w:cs="Times New Roman" w:ascii="Baskerville Old Face" w:hAnsi="Baskerville Old Face"/>
          <w:b/>
          <w:i/>
          <w:color w:val="auto"/>
          <w:sz w:val="24"/>
          <w:szCs w:val="24"/>
          <w:lang w:val="en-GB"/>
        </w:rPr>
        <w:t>Intellectus</w:t>
      </w:r>
      <w:r>
        <w:rPr>
          <w:rFonts w:cs="Times New Roman" w:ascii="Baskerville Old Face" w:hAnsi="Baskerville Old Face"/>
          <w:b/>
          <w:color w:val="auto"/>
          <w:sz w:val="24"/>
          <w:szCs w:val="24"/>
          <w:lang w:val="en-GB"/>
        </w:rPr>
        <w:t xml:space="preserve"> in the Boethian Works of the </w:t>
      </w:r>
      <w:r>
        <w:rPr>
          <w:rFonts w:cs="Times New Roman" w:ascii="Baskerville Old Face" w:hAnsi="Baskerville Old Face"/>
          <w:b/>
          <w:i/>
          <w:color w:val="auto"/>
          <w:sz w:val="24"/>
          <w:szCs w:val="24"/>
          <w:lang w:val="en-GB"/>
        </w:rPr>
        <w:t>Logica Vetus</w:t>
      </w:r>
    </w:p>
    <w:p>
      <w:pPr>
        <w:pStyle w:val="Normal"/>
        <w:spacing w:lineRule="auto" w:line="480"/>
        <w:jc w:val="both"/>
        <w:rPr>
          <w:lang w:val="en-GB"/>
        </w:rPr>
      </w:pPr>
      <w:r>
        <w:rPr>
          <w:rFonts w:cs="Times New Roman" w:ascii="Baskerville Old Face" w:hAnsi="Baskerville Old Face"/>
          <w:sz w:val="24"/>
          <w:szCs w:val="24"/>
          <w:lang w:val="en-GB"/>
        </w:rPr>
        <w:tab/>
        <w:t xml:space="preserve">The prominence of the subject-object dichotomy for our understanding of the faith/understanding relation hinders approaching Anselm’s </w:t>
      </w:r>
      <w:r>
        <w:rPr>
          <w:rFonts w:cs="Times New Roman" w:ascii="Baskerville Old Face" w:hAnsi="Baskerville Old Face"/>
          <w:i/>
          <w:sz w:val="24"/>
          <w:szCs w:val="24"/>
          <w:lang w:val="en-GB"/>
        </w:rPr>
        <w:t>Proslogion</w:t>
      </w:r>
      <w:r>
        <w:rPr>
          <w:rFonts w:cs="Times New Roman" w:ascii="Baskerville Old Face" w:hAnsi="Baskerville Old Face"/>
          <w:i w:val="false"/>
          <w:iCs w:val="false"/>
          <w:sz w:val="24"/>
          <w:szCs w:val="24"/>
          <w:lang w:val="en-GB"/>
        </w:rPr>
        <w:t xml:space="preserve"> in its proper context</w:t>
      </w:r>
      <w:r>
        <w:rPr>
          <w:rFonts w:cs="Times New Roman" w:ascii="Baskerville Old Face" w:hAnsi="Baskerville Old Face"/>
          <w:sz w:val="24"/>
          <w:szCs w:val="24"/>
          <w:lang w:val="en-GB"/>
        </w:rPr>
        <w:t xml:space="preserve">. Its main features are 1) that the world of objects is conceived of after the fashion of a domain of objects in model theory, typically the minimal set of things necessary for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lang w:val="en-GB"/>
        </w:rPr>
        <w:t>meanings</w:t>
      </w:r>
      <w:r>
        <w:rPr>
          <w:rFonts w:cs="Times New Roman" w:ascii="Baskerville Old Face" w:hAnsi="Baskerville Old Face"/>
          <w:sz w:val="24"/>
          <w:szCs w:val="24"/>
          <w:lang w:val="en-GB"/>
        </w:rPr>
        <w:t xml:space="preserve"> must either be platonic objects or mental constructions of some sort.</w:t>
      </w:r>
    </w:p>
    <w:p>
      <w:pPr>
        <w:pStyle w:val="Normal"/>
        <w:spacing w:lineRule="auto" w:line="480"/>
        <w:jc w:val="both"/>
        <w:rPr>
          <w:lang w:val="en-GB"/>
        </w:rPr>
      </w:pPr>
      <w:r>
        <w:rPr>
          <w:rFonts w:cs="Times New Roman" w:ascii="Baskerville Old Face" w:hAnsi="Baskerville Old Face"/>
          <w:sz w:val="24"/>
          <w:szCs w:val="24"/>
          <w:lang w:val="en-GB"/>
        </w:rPr>
        <w:tab/>
        <w:t xml:space="preserve">In contrast, earlier medieval logic generally takes meanings to be neither objects nor impositions of subjects, but something </w:t>
      </w:r>
      <w:r>
        <w:rPr>
          <w:rFonts w:cs="Times New Roman" w:ascii="Baskerville Old Face" w:hAnsi="Baskerville Old Face"/>
          <w:i/>
          <w:sz w:val="24"/>
          <w:szCs w:val="24"/>
          <w:lang w:val="en-GB"/>
        </w:rPr>
        <w:t>had</w:t>
      </w:r>
      <w:r>
        <w:rPr>
          <w:rFonts w:cs="Times New Roman" w:ascii="Baskerville Old Face" w:hAnsi="Baskerville Old Face"/>
          <w:sz w:val="24"/>
          <w:szCs w:val="24"/>
          <w:lang w:val="en-GB"/>
        </w:rPr>
        <w:t xml:space="preserve"> </w:t>
      </w:r>
      <w:r>
        <w:rPr>
          <w:rFonts w:cs="Times New Roman" w:ascii="Baskerville Old Face" w:hAnsi="Baskerville Old Face"/>
          <w:i/>
          <w:sz w:val="24"/>
          <w:szCs w:val="24"/>
          <w:lang w:val="en-GB"/>
        </w:rPr>
        <w:t>by entities.</w:t>
      </w:r>
      <w:r>
        <w:rPr>
          <w:rStyle w:val="FootnoteAnchor"/>
          <w:rFonts w:cs="Times New Roman" w:ascii="Baskerville Old Face" w:hAnsi="Baskerville Old Face"/>
          <w:sz w:val="24"/>
          <w:szCs w:val="24"/>
          <w:lang w:val="en-GB"/>
        </w:rPr>
        <w:footnoteReference w:id="15"/>
      </w:r>
      <w:r>
        <w:rPr>
          <w:rFonts w:cs="Times New Roman" w:ascii="Baskerville Old Face" w:hAnsi="Baskerville Old Face"/>
          <w:sz w:val="24"/>
          <w:szCs w:val="24"/>
          <w:lang w:val="en-GB"/>
        </w:rPr>
        <w:t xml:space="preserve"> Because of this, we may by an appropriate transference ascribe that meaning to a term referring to the entity. Boethius makes the point as follows:</w:t>
      </w:r>
    </w:p>
    <w:p>
      <w:pPr>
        <w:pStyle w:val="Normal"/>
        <w:bidi w:val="0"/>
        <w:spacing w:lineRule="auto" w:line="480"/>
        <w:ind w:left="900" w:hanging="0"/>
        <w:jc w:val="both"/>
        <w:rPr>
          <w:lang w:val="en-GB"/>
        </w:rPr>
      </w:pPr>
      <w:r>
        <w:rPr>
          <w:rFonts w:cs="Times New Roman" w:ascii="Baskerville Old Face" w:hAnsi="Baskerville Old Face"/>
          <w:sz w:val="24"/>
          <w:szCs w:val="24"/>
          <w:lang w:val="en-GB"/>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lang w:val="en-GB"/>
        </w:rPr>
        <w:footnoteReference w:id="16"/>
      </w:r>
      <w:r>
        <w:rPr>
          <w:rFonts w:cs="Times New Roman" w:ascii="Baskerville Old Face" w:hAnsi="Baskerville Old Face"/>
          <w:sz w:val="24"/>
          <w:szCs w:val="24"/>
          <w:lang w:val="en-GB"/>
        </w:rPr>
        <w:t xml:space="preserve"> </w:t>
      </w:r>
    </w:p>
    <w:p>
      <w:pPr>
        <w:pStyle w:val="Normal"/>
        <w:spacing w:lineRule="auto" w:line="480" w:before="0" w:after="0"/>
        <w:jc w:val="both"/>
        <w:rPr>
          <w:lang w:val="en-GB"/>
        </w:rPr>
      </w:pPr>
      <w:r>
        <w:rPr>
          <w:rFonts w:cs="Times New Roman" w:ascii="Baskerville Old Face" w:hAnsi="Baskerville Old Face"/>
          <w:sz w:val="24"/>
          <w:szCs w:val="24"/>
          <w:lang w:val="en-GB"/>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 there is a point where the teacher admonishes the student saying:</w:t>
      </w:r>
    </w:p>
    <w:p>
      <w:pPr>
        <w:pStyle w:val="Normal"/>
        <w:spacing w:lineRule="auto" w:line="480" w:before="0" w:after="0"/>
        <w:ind w:left="900" w:hanging="0"/>
        <w:jc w:val="both"/>
        <w:rPr>
          <w:lang w:val="en-GB"/>
        </w:rPr>
      </w:pPr>
      <w:r>
        <w:rPr>
          <w:rFonts w:cs="Times New Roman" w:ascii="Baskerville Old Face" w:hAnsi="Baskerville Old Face"/>
          <w:sz w:val="24"/>
          <w:szCs w:val="24"/>
          <w:lang w:val="en-GB"/>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lang w:val="en-GB"/>
        </w:rPr>
        <w:footnoteReference w:id="17"/>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lang w:val="en-GB"/>
        </w:rPr>
        <w:footnoteReference w:id="18"/>
      </w:r>
      <w:r>
        <w:rPr>
          <w:rFonts w:cs="Times New Roman" w:ascii="Baskerville Old Face" w:hAnsi="Baskerville Old Face"/>
          <w:sz w:val="24"/>
          <w:szCs w:val="24"/>
          <w:lang w:val="en-GB"/>
        </w:rPr>
        <w:t xml:space="preserve"> Second, it denies thought the character of spontaneity. So, for instance, if Anselm can be truly described as </w:t>
      </w:r>
      <w:r>
        <w:rPr>
          <w:rFonts w:cs="Times New Roman" w:ascii="Baskerville Old Face" w:hAnsi="Baskerville Old Face"/>
          <w:i/>
          <w:sz w:val="24"/>
          <w:szCs w:val="24"/>
          <w:lang w:val="en-GB"/>
        </w:rPr>
        <w:t>fidelis</w:t>
      </w:r>
      <w:r>
        <w:rPr>
          <w:rFonts w:cs="Times New Roman" w:ascii="Baskerville Old Face" w:hAnsi="Baskerville Old Face"/>
          <w:sz w:val="24"/>
          <w:szCs w:val="24"/>
          <w:lang w:val="en-GB"/>
        </w:rPr>
        <w:t xml:space="preserve">/faithful, then i) our ability to call him such is a consequence of his </w:t>
      </w:r>
      <w:r>
        <w:rPr>
          <w:rFonts w:cs="Times New Roman" w:ascii="Baskerville Old Face" w:hAnsi="Baskerville Old Face"/>
          <w:i/>
          <w:sz w:val="24"/>
          <w:szCs w:val="24"/>
          <w:lang w:val="en-GB"/>
        </w:rPr>
        <w:t xml:space="preserve">being </w:t>
      </w:r>
      <w:r>
        <w:rPr>
          <w:rFonts w:cs="Times New Roman" w:ascii="Baskerville Old Face" w:hAnsi="Baskerville Old Face"/>
          <w:sz w:val="24"/>
          <w:szCs w:val="24"/>
          <w:lang w:val="en-GB"/>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 xml:space="preserve">to an intended ideal: it does not mean they are </w:t>
      </w:r>
      <w:r>
        <w:rPr>
          <w:rFonts w:cs="Times New Roman" w:ascii="Baskerville Old Face" w:hAnsi="Baskerville Old Face"/>
          <w:i/>
          <w:sz w:val="24"/>
          <w:szCs w:val="24"/>
          <w:lang w:val="en-GB"/>
        </w:rPr>
        <w:t xml:space="preserve">empty </w:t>
      </w:r>
      <w:r>
        <w:rPr>
          <w:rFonts w:cs="Times New Roman" w:ascii="Baskerville Old Face" w:hAnsi="Baskerville Old Face"/>
          <w:sz w:val="24"/>
          <w:szCs w:val="24"/>
          <w:lang w:val="en-GB"/>
        </w:rPr>
        <w:t>intentions, nor that the intent</w:t>
      </w:r>
      <w:r>
        <w:rPr>
          <w:rFonts w:cs="Times New Roman" w:ascii="Baskerville Old Face" w:hAnsi="Baskerville Old Face"/>
          <w:i/>
          <w:sz w:val="24"/>
          <w:szCs w:val="24"/>
          <w:lang w:val="en-GB"/>
        </w:rPr>
        <w:t>ion</w:t>
      </w:r>
      <w:r>
        <w:rPr>
          <w:rFonts w:cs="Times New Roman" w:ascii="Baskerville Old Face" w:hAnsi="Baskerville Old Face"/>
          <w:sz w:val="24"/>
          <w:szCs w:val="24"/>
          <w:lang w:val="en-GB"/>
        </w:rPr>
        <w:t xml:space="preserve"> becomes subordinated to the intend</w:t>
      </w:r>
      <w:r>
        <w:rPr>
          <w:rFonts w:cs="Times New Roman" w:ascii="Baskerville Old Face" w:hAnsi="Baskerville Old Face"/>
          <w:i/>
          <w:sz w:val="24"/>
          <w:szCs w:val="24"/>
          <w:lang w:val="en-GB"/>
        </w:rPr>
        <w:t>ing</w:t>
      </w:r>
      <w:r>
        <w:rPr>
          <w:rFonts w:cs="Times New Roman" w:ascii="Baskerville Old Face" w:hAnsi="Baskerville Old Face"/>
          <w:sz w:val="24"/>
          <w:szCs w:val="24"/>
          <w:lang w:val="en-GB"/>
        </w:rPr>
        <w:t xml:space="preserve"> by its being enacted.</w:t>
      </w:r>
      <w:r>
        <w:rPr>
          <w:rStyle w:val="FootnoteAnchor"/>
          <w:rFonts w:cs="Times New Roman" w:ascii="Baskerville Old Face" w:hAnsi="Baskerville Old Face"/>
          <w:sz w:val="24"/>
          <w:szCs w:val="24"/>
          <w:lang w:val="en-GB"/>
        </w:rPr>
        <w:footnoteReference w:id="19"/>
      </w:r>
    </w:p>
    <w:p>
      <w:pPr>
        <w:pStyle w:val="Normal"/>
        <w:spacing w:lineRule="auto" w:line="480"/>
        <w:jc w:val="both"/>
        <w:rPr>
          <w:lang w:val="en-GB"/>
        </w:rPr>
      </w:pPr>
      <w:r>
        <w:rPr>
          <w:rFonts w:cs="Times New Roman" w:ascii="Baskerville Old Face" w:hAnsi="Baskerville Old Face"/>
          <w:sz w:val="24"/>
          <w:szCs w:val="24"/>
          <w:lang w:val="en-GB"/>
        </w:rPr>
        <w:tab/>
        <w:t>If we are faithful to this general pattern, we will conclude that for Anselm, the sense of understanding given in ‘</w:t>
      </w:r>
      <w:r>
        <w:rPr>
          <w:rFonts w:cs="Times New Roman" w:ascii="Baskerville Old Face" w:hAnsi="Baskerville Old Face"/>
          <w:i/>
          <w:sz w:val="24"/>
          <w:szCs w:val="24"/>
          <w:lang w:val="en-GB"/>
        </w:rPr>
        <w:t>x</w:t>
      </w:r>
      <w:r>
        <w:rPr>
          <w:rFonts w:cs="Times New Roman" w:ascii="Baskerville Old Face" w:hAnsi="Baskerville Old Face"/>
          <w:sz w:val="24"/>
          <w:szCs w:val="24"/>
          <w:lang w:val="en-GB"/>
        </w:rPr>
        <w:t xml:space="preserve"> understands’ will be unpacked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has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understanding’, just as Anselm unpacks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white’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 xml:space="preserve">has whiteness’, and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grammatical’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knows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grammar’.</w:t>
      </w:r>
      <w:r>
        <w:rPr>
          <w:rStyle w:val="FootnoteAnchor"/>
          <w:rFonts w:cs="Times New Roman" w:ascii="Baskerville Old Face" w:hAnsi="Baskerville Old Face"/>
          <w:sz w:val="24"/>
          <w:szCs w:val="24"/>
          <w:lang w:val="en-GB"/>
        </w:rPr>
        <w:footnoteReference w:id="20"/>
      </w:r>
      <w:r>
        <w:rPr>
          <w:rFonts w:cs="Times New Roman" w:ascii="Baskerville Old Face" w:hAnsi="Baskerville Old Face"/>
          <w:sz w:val="24"/>
          <w:szCs w:val="24"/>
          <w:lang w:val="en-GB"/>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lang w:val="en-GB"/>
        </w:rPr>
        <w:footnoteReference w:id="21"/>
      </w:r>
    </w:p>
    <w:p>
      <w:pPr>
        <w:pStyle w:val="Normal"/>
        <w:spacing w:lineRule="auto" w:line="480"/>
        <w:jc w:val="both"/>
        <w:rPr>
          <w:lang w:val="en-GB"/>
        </w:rPr>
      </w:pPr>
      <w:r>
        <w:rPr>
          <w:rFonts w:cs="Times New Roman" w:ascii="Baskerville Old Face" w:hAnsi="Baskerville Old Face"/>
          <w:sz w:val="24"/>
          <w:szCs w:val="24"/>
          <w:lang w:val="en-GB"/>
        </w:rPr>
        <w:tab/>
        <w:t xml:space="preserve">A passage from Boethius’ longer commentary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lang w:val="en-GB"/>
        </w:rPr>
        <w:footnoteReference w:id="22"/>
      </w:r>
      <w:r>
        <w:rPr>
          <w:rFonts w:cs="Times New Roman" w:ascii="Baskerville Old Face" w:hAnsi="Baskerville Old Face"/>
          <w:sz w:val="24"/>
          <w:szCs w:val="24"/>
          <w:lang w:val="en-GB"/>
        </w:rPr>
        <w:t xml:space="preserve"> Boethius comments:</w:t>
      </w:r>
    </w:p>
    <w:p>
      <w:pPr>
        <w:pStyle w:val="Normal"/>
        <w:spacing w:lineRule="auto" w:line="480"/>
        <w:ind w:left="900" w:hanging="0"/>
        <w:jc w:val="both"/>
        <w:rPr>
          <w:lang w:val="en-GB"/>
        </w:rPr>
      </w:pPr>
      <w:r>
        <w:rPr>
          <w:rFonts w:cs="Times New Roman" w:ascii="Baskerville Old Face" w:hAnsi="Baskerville Old Face"/>
          <w:sz w:val="24"/>
          <w:szCs w:val="24"/>
          <w:lang w:val="en-GB"/>
        </w:rPr>
        <w:t>The first of these [questions] is of this sort: Whatever the mind understands it either receives by a meaning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of genus and others like it, whether we so understand species and genus as those things that are, and from which we grasp a true meaning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 or whether we are deceiving ourselves, when we form for ourselves things that are not with hollowed out imaginings.</w:t>
      </w:r>
      <w:r>
        <w:rPr>
          <w:rStyle w:val="FootnoteAnchor"/>
          <w:rFonts w:cs="Times New Roman" w:ascii="Baskerville Old Face" w:hAnsi="Baskerville Old Face"/>
          <w:sz w:val="24"/>
          <w:szCs w:val="24"/>
          <w:lang w:val="en-GB"/>
        </w:rPr>
        <w:footnoteReference w:id="23"/>
      </w:r>
    </w:p>
    <w:p>
      <w:pPr>
        <w:pStyle w:val="Normal"/>
        <w:bidi w:val="0"/>
        <w:spacing w:lineRule="auto" w:line="480"/>
        <w:jc w:val="both"/>
        <w:rPr>
          <w:lang w:val="en-GB"/>
        </w:rPr>
      </w:pPr>
      <w:r>
        <w:rPr>
          <w:rFonts w:cs="Times New Roman" w:ascii="Baskerville Old Face" w:hAnsi="Baskerville Old Face"/>
          <w:sz w:val="24"/>
          <w:szCs w:val="24"/>
          <w:lang w:val="en-GB"/>
        </w:rPr>
        <w:t xml:space="preserve">In the above passage, Boethius is attempting to sustain two contrasts: the first, between what is and what isn’t; the second, between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imaginatio</w:t>
      </w:r>
      <w:r>
        <w:rPr>
          <w:rFonts w:cs="Times New Roman" w:ascii="Baskerville Old Face" w:hAnsi="Baskerville Old Face"/>
          <w:sz w:val="24"/>
          <w:szCs w:val="24"/>
          <w:lang w:val="en-GB"/>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must correspond to what is, as opposed to what is not, and to what is fully true as opposed to what is empty and apparent. The contrast between the </w:t>
      </w:r>
      <w:r>
        <w:rPr>
          <w:rFonts w:cs="Times New Roman" w:ascii="Baskerville Old Face" w:hAnsi="Baskerville Old Face"/>
          <w:i/>
          <w:sz w:val="24"/>
          <w:szCs w:val="24"/>
          <w:lang w:val="en-GB"/>
        </w:rPr>
        <w:t>faculties</w:t>
      </w:r>
      <w:r>
        <w:rPr>
          <w:rFonts w:cs="Times New Roman" w:ascii="Baskerville Old Face" w:hAnsi="Baskerville Old Face"/>
          <w:sz w:val="24"/>
          <w:szCs w:val="24"/>
          <w:lang w:val="en-GB"/>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lang w:val="en-GB"/>
        </w:rPr>
        <w:t>be</w:t>
      </w:r>
      <w:r>
        <w:rPr>
          <w:rFonts w:cs="Times New Roman" w:ascii="Baskerville Old Face" w:hAnsi="Baskerville Old Face"/>
          <w:sz w:val="24"/>
          <w:szCs w:val="24"/>
          <w:lang w:val="en-GB"/>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lang w:val="en-GB"/>
        </w:rPr>
        <w:t xml:space="preserve">this </w:t>
      </w:r>
      <w:r>
        <w:rPr>
          <w:rFonts w:cs="Times New Roman" w:ascii="Baskerville Old Face" w:hAnsi="Baskerville Old Face"/>
          <w:sz w:val="24"/>
          <w:szCs w:val="24"/>
          <w:lang w:val="en-GB"/>
        </w:rPr>
        <w:t xml:space="preserve">dichotomy, upon which that between the faculties depends, I have translated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as ‘meaning’.</w:t>
      </w:r>
      <w:r>
        <w:rPr>
          <w:rStyle w:val="FootnoteAnchor"/>
          <w:rFonts w:cs="Times New Roman" w:ascii="Baskerville Old Face" w:hAnsi="Baskerville Old Face"/>
          <w:sz w:val="24"/>
          <w:szCs w:val="24"/>
          <w:lang w:val="en-GB"/>
        </w:rPr>
        <w:footnoteReference w:id="24"/>
      </w:r>
    </w:p>
    <w:p>
      <w:pPr>
        <w:pStyle w:val="Normal"/>
        <w:spacing w:lineRule="auto" w:line="480"/>
        <w:jc w:val="both"/>
        <w:rPr>
          <w:lang w:val="en-GB"/>
        </w:rPr>
      </w:pPr>
      <w:r>
        <w:rPr>
          <w:rFonts w:cs="Times New Roman" w:ascii="Baskerville Old Face" w:hAnsi="Baskerville Old Face"/>
          <w:sz w:val="24"/>
          <w:szCs w:val="24"/>
          <w:lang w:val="en-GB"/>
        </w:rPr>
        <w:tab/>
        <w:t xml:space="preserve">The same sense comes through in Boethius’ first commentary on the </w:t>
      </w:r>
      <w:r>
        <w:rPr>
          <w:rFonts w:cs="Times New Roman" w:ascii="Baskerville Old Face" w:hAnsi="Baskerville Old Face"/>
          <w:i/>
          <w:sz w:val="24"/>
          <w:szCs w:val="24"/>
          <w:lang w:val="en-GB"/>
        </w:rPr>
        <w:t>Peri Hermenias</w:t>
      </w:r>
      <w:r>
        <w:rPr>
          <w:rFonts w:cs="Times New Roman" w:ascii="Baskerville Old Face" w:hAnsi="Baskerville Old Face"/>
          <w:sz w:val="24"/>
          <w:szCs w:val="24"/>
          <w:lang w:val="en-GB"/>
        </w:rPr>
        <w:t>. Commenting on the passage at the beginning of the work explaining the relations between writing, speech, concepts, and things, he writes:</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three things from which every debate and disputation is composed: the matters at hand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and the spoken words (</w:t>
      </w:r>
      <w:r>
        <w:rPr>
          <w:rFonts w:cs="Times New Roman" w:ascii="Baskerville Old Face" w:hAnsi="Baskerville Old Face"/>
          <w:i/>
          <w:sz w:val="24"/>
          <w:szCs w:val="24"/>
          <w:lang w:val="en-GB"/>
        </w:rPr>
        <w:t>voces</w:t>
      </w:r>
      <w:r>
        <w:rPr>
          <w:rFonts w:cs="Times New Roman" w:ascii="Baskerville Old Face" w:hAnsi="Baskerville Old Face"/>
          <w:sz w:val="24"/>
          <w:szCs w:val="24"/>
          <w:lang w:val="en-GB"/>
        </w:rPr>
        <w:t>). The matters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what we grasp by measure of mind and distinguish by understanding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that by which we come to know the matters themselves. Spoken words are that by which we signify what we grasp in understanding.</w:t>
      </w:r>
      <w:r>
        <w:rPr>
          <w:rStyle w:val="FootnoteAnchor"/>
          <w:rFonts w:cs="Times New Roman" w:ascii="Baskerville Old Face" w:hAnsi="Baskerville Old Face"/>
          <w:sz w:val="24"/>
          <w:szCs w:val="24"/>
          <w:lang w:val="en-GB"/>
        </w:rPr>
        <w:footnoteReference w:id="25"/>
      </w:r>
    </w:p>
    <w:p>
      <w:pPr>
        <w:pStyle w:val="Normal"/>
        <w:spacing w:lineRule="auto" w:line="480"/>
        <w:jc w:val="both"/>
        <w:rPr>
          <w:lang w:val="en-GB"/>
        </w:rPr>
      </w:pPr>
      <w:r>
        <w:rPr>
          <w:rFonts w:cs="Times New Roman" w:ascii="Baskerville Old Face" w:hAnsi="Baskerville Old Face"/>
          <w:sz w:val="24"/>
          <w:szCs w:val="24"/>
          <w:lang w:val="en-GB"/>
        </w:rPr>
        <w:t>Translated thus, this passage can be disengaged from the metaphysics of representational realism</w:t>
      </w:r>
      <w:r>
        <w:rPr>
          <w:rStyle w:val="FootnoteAnchor"/>
          <w:rFonts w:cs="Times New Roman" w:ascii="Baskerville Old Face" w:hAnsi="Baskerville Old Face"/>
          <w:sz w:val="24"/>
          <w:szCs w:val="24"/>
          <w:lang w:val="en-GB"/>
        </w:rPr>
        <w:footnoteReference w:id="26"/>
      </w:r>
      <w:r>
        <w:rPr>
          <w:rFonts w:cs="Times New Roman" w:ascii="Baskerville Old Face" w:hAnsi="Baskerville Old Face"/>
          <w:sz w:val="24"/>
          <w:szCs w:val="24"/>
          <w:lang w:val="en-GB"/>
        </w:rPr>
        <w:t xml:space="preserve"> within which it is typically ensconced. The scope of </w:t>
      </w:r>
      <w:r>
        <w:rPr>
          <w:rFonts w:cs="Times New Roman" w:ascii="Baskerville Old Face" w:hAnsi="Baskerville Old Face"/>
          <w:i/>
          <w:sz w:val="24"/>
          <w:szCs w:val="24"/>
          <w:lang w:val="en-GB"/>
        </w:rPr>
        <w:t xml:space="preserve">res </w:t>
      </w:r>
      <w:r>
        <w:rPr>
          <w:rFonts w:cs="Times New Roman" w:ascii="Baskerville Old Face" w:hAnsi="Baskerville Old Face"/>
          <w:sz w:val="24"/>
          <w:szCs w:val="24"/>
          <w:lang w:val="en-GB"/>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1</w:t>
      </w:r>
      <w:r>
        <w:rPr>
          <w:rFonts w:cs="Times New Roman" w:ascii="Baskerville Old Face" w:hAnsi="Baskerville Old Face"/>
          <w:sz w:val="24"/>
          <w:szCs w:val="24"/>
          <w:lang w:val="en-GB"/>
        </w:rPr>
        <w:t>) to minds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2</w:t>
      </w:r>
      <w:r>
        <w:rPr>
          <w:rFonts w:cs="Times New Roman" w:ascii="Baskerville Old Face" w:hAnsi="Baskerville Old Face"/>
          <w:sz w:val="24"/>
          <w:szCs w:val="24"/>
          <w:lang w:val="en-GB"/>
        </w:rPr>
        <w:t>) which achieve a state of understanding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3</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in grasping the sense. These meanings do not mediate between the mind and world of objects: rather, the matters themselves are meaning</w:t>
      </w:r>
      <w:r>
        <w:rPr>
          <w:rFonts w:cs="Times New Roman" w:ascii="Baskerville Old Face" w:hAnsi="Baskerville Old Face"/>
          <w:i/>
          <w:sz w:val="24"/>
          <w:szCs w:val="24"/>
          <w:lang w:val="en-GB"/>
        </w:rPr>
        <w:t>ful</w:t>
      </w:r>
      <w:r>
        <w:rPr>
          <w:rFonts w:cs="Times New Roman" w:ascii="Baskerville Old Face" w:hAnsi="Baskerville Old Face"/>
          <w:sz w:val="24"/>
          <w:szCs w:val="24"/>
          <w:lang w:val="en-GB"/>
        </w:rPr>
        <w:t xml:space="preserve">; and, since meaning is,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meaning, granted to minds, these matters are meaningful </w:t>
      </w:r>
      <w:r>
        <w:rPr>
          <w:rFonts w:cs="Times New Roman" w:ascii="Baskerville Old Face" w:hAnsi="Baskerville Old Face"/>
          <w:i/>
          <w:sz w:val="24"/>
          <w:szCs w:val="24"/>
          <w:lang w:val="en-GB"/>
        </w:rPr>
        <w:t xml:space="preserve">for </w:t>
      </w:r>
      <w:r>
        <w:rPr>
          <w:rFonts w:cs="Times New Roman" w:ascii="Baskerville Old Face" w:hAnsi="Baskerville Old Face"/>
          <w:sz w:val="24"/>
          <w:szCs w:val="24"/>
          <w:lang w:val="en-GB"/>
        </w:rPr>
        <w:t>understanding subjects. Hence, though we do speak of ‘what we have in mind’ (</w:t>
      </w:r>
      <w:r>
        <w:rPr>
          <w:rFonts w:cs="Times New Roman" w:ascii="Baskerville Old Face" w:hAnsi="Baskerville Old Face"/>
          <w:i/>
          <w:sz w:val="24"/>
          <w:szCs w:val="24"/>
          <w:lang w:val="en-GB"/>
        </w:rPr>
        <w:t>id quod intellectu capimus</w:t>
      </w:r>
      <w:r>
        <w:rPr>
          <w:rFonts w:cs="Times New Roman" w:ascii="Baskerville Old Face" w:hAnsi="Baskerville Old Face"/>
          <w:sz w:val="24"/>
          <w:szCs w:val="24"/>
          <w:lang w:val="en-GB"/>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lang w:val="en-GB"/>
        </w:rPr>
        <w:t>constituere 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for another.</w:t>
      </w:r>
      <w:r>
        <w:rPr>
          <w:rStyle w:val="FootnoteAnchor"/>
          <w:rFonts w:cs="Times New Roman" w:ascii="Baskerville Old Face" w:hAnsi="Baskerville Old Face"/>
          <w:sz w:val="24"/>
          <w:szCs w:val="24"/>
          <w:lang w:val="en-GB"/>
        </w:rPr>
        <w:footnoteReference w:id="27"/>
      </w:r>
    </w:p>
    <w:p>
      <w:pPr>
        <w:pStyle w:val="Normal"/>
        <w:bidi w:val="0"/>
        <w:spacing w:lineRule="auto" w:line="480"/>
        <w:jc w:val="both"/>
        <w:rPr>
          <w:lang w:val="en-GB"/>
        </w:rPr>
      </w:pPr>
      <w:r>
        <w:rPr>
          <w:rFonts w:cs="Times New Roman" w:ascii="Baskerville Old Face" w:hAnsi="Baskerville Old Face"/>
          <w:sz w:val="24"/>
          <w:szCs w:val="24"/>
          <w:lang w:val="en-GB"/>
        </w:rPr>
        <w:tab/>
        <w:t>Two objections arise at this point: first, that the above merely amounts to replacing ‘</w:t>
      </w:r>
      <w:r>
        <w:rPr>
          <w:rFonts w:cs="Times New Roman" w:ascii="Baskerville Old Face" w:hAnsi="Baskerville Old Face"/>
          <w:sz w:val="24"/>
          <w:szCs w:val="24"/>
          <w:lang w:val="en-GB"/>
        </w:rPr>
        <w:t>thought’ or</w:t>
      </w:r>
      <w:r>
        <w:rPr>
          <w:rFonts w:cs="Times New Roman" w:ascii="Baskerville Old Face" w:hAnsi="Baskerville Old Face"/>
          <w:sz w:val="24"/>
          <w:szCs w:val="24"/>
          <w:lang w:val="en-GB"/>
        </w:rPr>
        <w:t xml:space="preserve"> ‘concept’ with ‘meaning’; second, that </w:t>
      </w:r>
      <w:r>
        <w:rPr>
          <w:rFonts w:cs="Times New Roman" w:ascii="Baskerville Old Face" w:hAnsi="Baskerville Old Face"/>
          <w:i w:val="false"/>
          <w:iCs w:val="false"/>
          <w:sz w:val="24"/>
          <w:szCs w:val="24"/>
          <w:lang w:val="en-GB"/>
        </w:rPr>
        <w:t xml:space="preserve">we would not expect the juxtaposition of </w:t>
      </w:r>
      <w:r>
        <w:rPr>
          <w:rFonts w:cs="Times New Roman" w:ascii="Baskerville Old Face" w:hAnsi="Baskerville Old Face"/>
          <w:i/>
          <w:iCs/>
          <w:sz w:val="24"/>
          <w:szCs w:val="24"/>
          <w:lang w:val="en-GB"/>
        </w:rPr>
        <w:t>intellectus</w:t>
      </w:r>
      <w:r>
        <w:rPr>
          <w:rFonts w:cs="Times New Roman" w:ascii="Baskerville Old Face" w:hAnsi="Baskerville Old Face"/>
          <w:i w:val="false"/>
          <w:iCs w:val="false"/>
          <w:sz w:val="24"/>
          <w:szCs w:val="24"/>
          <w:lang w:val="en-GB"/>
        </w:rPr>
        <w:t xml:space="preserve"> with </w:t>
      </w:r>
      <w:r>
        <w:rPr>
          <w:rFonts w:cs="Times New Roman" w:ascii="Baskerville Old Face" w:hAnsi="Baskerville Old Face"/>
          <w:i/>
          <w:iCs/>
          <w:sz w:val="24"/>
          <w:szCs w:val="24"/>
          <w:lang w:val="en-GB"/>
        </w:rPr>
        <w:t>significatio</w:t>
      </w:r>
      <w:r>
        <w:rPr>
          <w:rFonts w:cs="Times New Roman" w:ascii="Baskerville Old Face" w:hAnsi="Baskerville Old Face"/>
          <w:i w:val="false"/>
          <w:iCs w:val="false"/>
          <w:sz w:val="24"/>
          <w:szCs w:val="24"/>
          <w:lang w:val="en-GB"/>
        </w:rPr>
        <w:t xml:space="preserve">, itself commonly translated as meaning, if the above interpretation were correct. Take, for instance, the following passage from Boethius second commentary on Aristotle’s </w:t>
      </w:r>
      <w:r>
        <w:rPr>
          <w:rFonts w:cs="Times New Roman" w:ascii="Baskerville Old Face" w:hAnsi="Baskerville Old Face"/>
          <w:i/>
          <w:iCs/>
          <w:sz w:val="24"/>
          <w:szCs w:val="24"/>
          <w:lang w:val="en-GB"/>
        </w:rPr>
        <w:t>De Interpretatione</w:t>
      </w:r>
      <w:r>
        <w:rPr>
          <w:rFonts w:cs="Times New Roman" w:ascii="Baskerville Old Face" w:hAnsi="Baskerville Old Face"/>
          <w:i w:val="false"/>
          <w:iCs w:val="false"/>
          <w:sz w:val="24"/>
          <w:szCs w:val="24"/>
          <w:lang w:val="en-GB"/>
        </w:rPr>
        <w:t xml:space="preserve">: </w:t>
      </w:r>
    </w:p>
    <w:p>
      <w:pPr>
        <w:pStyle w:val="Normal"/>
        <w:widowControl/>
        <w:suppressAutoHyphens w:val="false"/>
        <w:bidi w:val="0"/>
        <w:spacing w:lineRule="auto" w:line="480" w:before="0" w:after="0"/>
        <w:ind w:left="900" w:right="0" w:hanging="0"/>
        <w:jc w:val="both"/>
        <w:rPr>
          <w:lang w:val="en-GB"/>
        </w:rPr>
      </w:pPr>
      <w:r>
        <w:rPr>
          <w:rFonts w:eastAsia="Times New Roman" w:cs="Times New Roman" w:ascii="Baskerville Old Face" w:hAnsi="Baskerville Old Face"/>
          <w:color w:val="auto"/>
          <w:sz w:val="24"/>
          <w:szCs w:val="24"/>
          <w:lang w:val="en-GB" w:eastAsia="en-GB"/>
        </w:rPr>
        <w:t>quocirca cum omnis animae passio rei quaedam videatur esse proprietas, porro autem designativae voces intellectuum principaliter, rerum dehinc a quibus intellectus profecti sunt significatione nitantur, quidquid est in vocibus significativum, id animae passiones designat.</w:t>
      </w:r>
      <w:r>
        <w:rPr>
          <w:rStyle w:val="FootnoteAnchor"/>
          <w:rFonts w:eastAsia="Times New Roman" w:cs="Times New Roman" w:ascii="Baskerville Old Face" w:hAnsi="Baskerville Old Face"/>
          <w:color w:val="auto"/>
          <w:sz w:val="24"/>
          <w:szCs w:val="24"/>
          <w:lang w:val="en-GB" w:eastAsia="en-GB"/>
        </w:rPr>
        <w:footnoteReference w:id="28"/>
      </w:r>
    </w:p>
    <w:p>
      <w:pPr>
        <w:pStyle w:val="Normal"/>
        <w:widowControl/>
        <w:suppressAutoHyphens w:val="false"/>
        <w:bidi w:val="0"/>
        <w:spacing w:lineRule="auto" w:line="480" w:before="0" w:after="0"/>
        <w:ind w:right="0" w:hanging="0"/>
        <w:jc w:val="both"/>
        <w:rPr>
          <w:lang w:val="en-GB"/>
        </w:rPr>
      </w:pPr>
      <w:r>
        <w:rPr>
          <w:rFonts w:eastAsia="Times New Roman" w:cs="Times New Roman" w:ascii="Baskerville Old Face" w:hAnsi="Baskerville Old Face"/>
          <w:color w:val="auto"/>
          <w:sz w:val="24"/>
          <w:szCs w:val="24"/>
          <w:lang w:val="en-GB" w:eastAsia="en-GB"/>
        </w:rPr>
        <w:t xml:space="preserve">Smith translates the text as follows: </w:t>
      </w:r>
    </w:p>
    <w:p>
      <w:pPr>
        <w:pStyle w:val="Normal"/>
        <w:suppressAutoHyphens w:val="false"/>
        <w:spacing w:lineRule="auto" w:line="480" w:beforeAutospacing="1" w:afterAutospacing="1"/>
        <w:ind w:left="1440" w:hanging="0"/>
        <w:jc w:val="both"/>
        <w:rPr>
          <w:lang w:val="en-GB"/>
        </w:rPr>
      </w:pPr>
      <w:r>
        <w:rPr>
          <w:rFonts w:eastAsia="Times New Roman" w:cs="Times New Roman" w:ascii="Baskerville Old Face" w:hAnsi="Baskerville Old Face"/>
          <w:color w:val="auto"/>
          <w:sz w:val="24"/>
          <w:szCs w:val="24"/>
          <w:lang w:val="en-GB" w:eastAsia="en-GB"/>
        </w:rPr>
        <w:t>And so, since 1) every affection in the soul seems to be the specific character of a thing and, furthermore, 2a) spoken sounds signify primarily thoughts but 2b) rely after this on the signification of the things from which thoughts arise, 3) any spoken sound which is significant indicates an affection of the soul.</w:t>
      </w:r>
      <w:r>
        <w:rPr>
          <w:rStyle w:val="FootnoteAnchor"/>
          <w:rFonts w:eastAsia="Times New Roman" w:cs="Times New Roman" w:ascii="Baskerville Old Face" w:hAnsi="Baskerville Old Face"/>
          <w:color w:val="auto"/>
          <w:sz w:val="24"/>
          <w:szCs w:val="24"/>
          <w:lang w:val="en-GB" w:eastAsia="en-GB"/>
        </w:rPr>
        <w:footnoteReference w:id="29"/>
      </w:r>
    </w:p>
    <w:p>
      <w:pPr>
        <w:pStyle w:val="Normal"/>
        <w:suppressAutoHyphens w:val="false"/>
        <w:bidi w:val="0"/>
        <w:spacing w:lineRule="auto" w:line="480" w:beforeAutospacing="1" w:afterAutospacing="1"/>
        <w:ind w:hanging="0"/>
        <w:jc w:val="both"/>
        <w:rPr>
          <w:rFonts w:ascii="Baskerville Old Face" w:hAnsi="Baskerville Old Face"/>
          <w:sz w:val="24"/>
          <w:szCs w:val="24"/>
          <w:lang w:val="en-GB"/>
        </w:rPr>
      </w:pPr>
      <w:r>
        <w:rPr>
          <w:rFonts w:ascii="Baskerville Old Face" w:hAnsi="Baskerville Old Face"/>
          <w:sz w:val="24"/>
          <w:szCs w:val="24"/>
          <w:lang w:val="en-GB"/>
        </w:rPr>
        <w:t xml:space="preserve">There are difficulties with the text translated thus: the intent of the phrase ‘specific character’ is opaque; it’s unclear in what sense spoken sounds rely on the signification of things, and there isn’t a clear, formally valid path from claims 1 and either part of 2 to claim 3. The following translation resolves these difficulties: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sz w:val="24"/>
          <w:szCs w:val="24"/>
          <w:lang w:val="en-GB"/>
        </w:rPr>
        <w:t>Since every impression of the soul seems to be some attribute of a thing, utterances, then, principally designating meanings from this in turn bear on the designation of things by which meanings advance (whatever is meaningful (</w:t>
      </w:r>
      <w:r>
        <w:rPr>
          <w:rFonts w:ascii="Baskerville Old Face" w:hAnsi="Baskerville Old Face"/>
          <w:i/>
          <w:iCs/>
          <w:sz w:val="24"/>
          <w:szCs w:val="24"/>
          <w:lang w:val="en-GB"/>
        </w:rPr>
        <w:t>significativum</w:t>
      </w:r>
      <w:r>
        <w:rPr>
          <w:rFonts w:ascii="Baskerville Old Face" w:hAnsi="Baskerville Old Face"/>
          <w:i w:val="false"/>
          <w:iCs w:val="false"/>
          <w:sz w:val="24"/>
          <w:szCs w:val="24"/>
          <w:lang w:val="en-GB"/>
        </w:rPr>
        <w:t>)</w:t>
      </w:r>
      <w:r>
        <w:rPr>
          <w:rFonts w:ascii="Baskerville Old Face" w:hAnsi="Baskerville Old Face"/>
          <w:i/>
          <w:iCs/>
          <w:sz w:val="24"/>
          <w:szCs w:val="24"/>
          <w:lang w:val="en-GB"/>
        </w:rPr>
        <w:t xml:space="preserve"> </w:t>
      </w:r>
      <w:r>
        <w:rPr>
          <w:rFonts w:ascii="Baskerville Old Face" w:hAnsi="Baskerville Old Face"/>
          <w:sz w:val="24"/>
          <w:szCs w:val="24"/>
          <w:lang w:val="en-GB"/>
        </w:rPr>
        <w:t>in utterances, the same designates impressions of the soul).</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sz w:val="24"/>
          <w:szCs w:val="24"/>
          <w:lang w:val="en-GB"/>
        </w:rPr>
        <w:t xml:space="preserve">The Smith translation follows the sense laid out in Migne’s </w:t>
      </w:r>
      <w:r>
        <w:rPr>
          <w:rFonts w:ascii="Baskerville Old Face" w:hAnsi="Baskerville Old Face"/>
          <w:i/>
          <w:iCs/>
          <w:sz w:val="24"/>
          <w:szCs w:val="24"/>
          <w:lang w:val="en-GB"/>
        </w:rPr>
        <w:t xml:space="preserve">Patrologia </w:t>
      </w:r>
      <w:r>
        <w:rPr>
          <w:rFonts w:ascii="Baskerville Old Face" w:hAnsi="Baskerville Old Face"/>
          <w:i w:val="false"/>
          <w:iCs w:val="false"/>
          <w:sz w:val="24"/>
          <w:szCs w:val="24"/>
          <w:lang w:val="en-GB"/>
        </w:rPr>
        <w:t xml:space="preserve">edition of Boethius’ </w:t>
      </w:r>
      <w:r>
        <w:rPr>
          <w:rFonts w:ascii="Baskerville Old Face" w:hAnsi="Baskerville Old Face"/>
          <w:sz w:val="24"/>
          <w:szCs w:val="24"/>
          <w:lang w:val="en-GB"/>
        </w:rPr>
        <w:t xml:space="preserve">text, which inserts a </w:t>
      </w:r>
      <w:r>
        <w:rPr>
          <w:rFonts w:ascii="Baskerville Old Face" w:hAnsi="Baskerville Old Face"/>
          <w:i/>
          <w:iCs/>
          <w:sz w:val="24"/>
          <w:szCs w:val="24"/>
          <w:lang w:val="en-GB"/>
        </w:rPr>
        <w:t>cum</w:t>
      </w:r>
      <w:r>
        <w:rPr>
          <w:rFonts w:ascii="Baskerville Old Face" w:hAnsi="Baskerville Old Face"/>
          <w:i w:val="false"/>
          <w:iCs w:val="false"/>
          <w:sz w:val="24"/>
          <w:szCs w:val="24"/>
          <w:lang w:val="en-GB"/>
        </w:rPr>
        <w:t xml:space="preserve"> immediately after </w:t>
      </w:r>
      <w:r>
        <w:rPr>
          <w:rFonts w:ascii="Baskerville Old Face" w:hAnsi="Baskerville Old Face"/>
          <w:i/>
          <w:iCs/>
          <w:sz w:val="24"/>
          <w:szCs w:val="24"/>
          <w:lang w:val="en-GB"/>
        </w:rPr>
        <w:t>porro autem</w:t>
      </w:r>
      <w:r>
        <w:rPr>
          <w:rFonts w:ascii="Baskerville Old Face" w:hAnsi="Baskerville Old Face"/>
          <w:i w:val="false"/>
          <w:iCs w:val="false"/>
          <w:sz w:val="24"/>
          <w:szCs w:val="24"/>
          <w:lang w:val="en-GB"/>
        </w:rPr>
        <w:t xml:space="preserve">, treating the second claim as a premise. Omitting this, as Meiser’s edition does, allows for what was assumed to be the second premise and conclusion to be inverted, immediately leading to a valid argument: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1. Every impression of the soul is an attribute of some thing</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2. Whatever is meaningful in utterances designates an impression of the soul</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C. Whatever is meaningful in utterances designates an attribute of some thing.</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 xml:space="preserve">Boethius’ argument identifies what spoken sounds designate with </w:t>
      </w:r>
      <w:r>
        <w:rPr>
          <w:rFonts w:ascii="Baskerville Old Face" w:hAnsi="Baskerville Old Face"/>
          <w:i/>
          <w:iCs/>
          <w:sz w:val="24"/>
          <w:szCs w:val="24"/>
          <w:lang w:val="en-GB"/>
        </w:rPr>
        <w:t>rerum proprietates –</w:t>
      </w:r>
      <w:r>
        <w:rPr>
          <w:rFonts w:ascii="Baskerville Old Face" w:hAnsi="Baskerville Old Face"/>
          <w:i w:val="false"/>
          <w:iCs w:val="false"/>
          <w:sz w:val="24"/>
          <w:szCs w:val="24"/>
          <w:lang w:val="en-GB"/>
        </w:rPr>
        <w:t xml:space="preserve"> features of things, broadly construed. But with this established, the text as written reveals another identification: that of impression or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in claim 1 with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in the text’s initial conclusion, what was premise 2a on Smith’s initial rendering (</w:t>
      </w:r>
      <w:r>
        <w:rPr>
          <w:rFonts w:ascii="Baskerville Old Face" w:hAnsi="Baskerville Old Face"/>
          <w:i/>
          <w:iCs/>
          <w:sz w:val="24"/>
          <w:szCs w:val="24"/>
          <w:lang w:val="en-GB"/>
        </w:rPr>
        <w:t>designativae voces intellectuum</w:t>
      </w:r>
      <w:r>
        <w:rPr>
          <w:rFonts w:ascii="Baskerville Old Face" w:hAnsi="Baskerville Old Face"/>
          <w:i w:val="false"/>
          <w:iCs w:val="false"/>
          <w:sz w:val="24"/>
          <w:szCs w:val="24"/>
          <w:lang w:val="en-GB"/>
        </w:rPr>
        <w:t>).</w:t>
      </w:r>
      <w:r>
        <w:rPr>
          <w:rStyle w:val="FootnoteAnchor"/>
          <w:rFonts w:ascii="Baskerville Old Face" w:hAnsi="Baskerville Old Face"/>
          <w:i w:val="false"/>
          <w:iCs w:val="false"/>
          <w:sz w:val="24"/>
          <w:szCs w:val="24"/>
          <w:lang w:val="en-GB"/>
        </w:rPr>
        <w:footnoteReference w:id="30"/>
      </w:r>
      <w:r>
        <w:rPr>
          <w:rFonts w:ascii="Baskerville Old Face" w:hAnsi="Baskerville Old Face"/>
          <w:i w:val="false"/>
          <w:iCs w:val="false"/>
          <w:sz w:val="24"/>
          <w:szCs w:val="24"/>
          <w:lang w:val="en-GB"/>
        </w:rPr>
        <w:t xml:space="preserve"> Here, the term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designates the object of understanding as something that impresses or affects it, while </w:t>
      </w:r>
      <w:r>
        <w:rPr>
          <w:rFonts w:ascii="Baskerville Old Face" w:hAnsi="Baskerville Old Face"/>
          <w:i/>
          <w:iCs/>
          <w:sz w:val="24"/>
          <w:szCs w:val="24"/>
          <w:lang w:val="en-GB"/>
        </w:rPr>
        <w:t>intellectus</w:t>
      </w:r>
      <w:r>
        <w:rPr>
          <w:rFonts w:ascii="Baskerville Old Face" w:hAnsi="Baskerville Old Face"/>
          <w:i w:val="false"/>
          <w:iCs w:val="false"/>
          <w:sz w:val="24"/>
          <w:szCs w:val="24"/>
          <w:lang w:val="en-GB"/>
        </w:rPr>
        <w:t xml:space="preserve"> designates the same </w:t>
      </w:r>
      <w:r>
        <w:rPr>
          <w:rFonts w:ascii="Baskerville Old Face" w:hAnsi="Baskerville Old Face"/>
          <w:i/>
          <w:iCs/>
          <w:sz w:val="24"/>
          <w:szCs w:val="24"/>
          <w:lang w:val="en-GB"/>
        </w:rPr>
        <w:t xml:space="preserve">as </w:t>
      </w:r>
      <w:r>
        <w:rPr>
          <w:rFonts w:ascii="Baskerville Old Face" w:hAnsi="Baskerville Old Face"/>
          <w:i w:val="false"/>
          <w:iCs w:val="false"/>
          <w:sz w:val="24"/>
          <w:szCs w:val="24"/>
          <w:lang w:val="en-GB"/>
        </w:rPr>
        <w:t xml:space="preserve">the immediate object of understanding, just as sound is the immediate object of the sense of hearing. </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From here we can assess the claim that spoken words </w:t>
      </w:r>
      <w:r>
        <w:rPr>
          <w:rFonts w:eastAsia="Times New Roman" w:cs="Times New Roman" w:ascii="Baskerville Old Face" w:hAnsi="Baskerville Old Face"/>
          <w:i w:val="false"/>
          <w:iCs w:val="false"/>
          <w:color w:val="auto"/>
          <w:sz w:val="24"/>
          <w:szCs w:val="24"/>
          <w:lang w:val="en-GB" w:eastAsia="en-GB"/>
        </w:rPr>
        <w:t xml:space="preserve">‘rely on the signification of the things from which thoughts arise’. Translated thus, signification and thought each bear a relation to things, but their relation to each other is unclear, and one would be forgiven for taking both as mediating instruments by which spoken terms refer to things. But Boethius generally uses </w:t>
      </w:r>
      <w:r>
        <w:rPr>
          <w:rFonts w:eastAsia="Times New Roman" w:cs="Times New Roman" w:ascii="Baskerville Old Face" w:hAnsi="Baskerville Old Face"/>
          <w:i/>
          <w:iCs/>
          <w:color w:val="auto"/>
          <w:sz w:val="24"/>
          <w:szCs w:val="24"/>
          <w:lang w:val="en-GB" w:eastAsia="en-GB"/>
        </w:rPr>
        <w:t>significatio</w:t>
      </w:r>
      <w:r>
        <w:rPr>
          <w:rFonts w:eastAsia="Times New Roman" w:cs="Times New Roman" w:ascii="Baskerville Old Face" w:hAnsi="Baskerville Old Face"/>
          <w:i w:val="false"/>
          <w:iCs w:val="false"/>
          <w:color w:val="auto"/>
          <w:sz w:val="24"/>
          <w:szCs w:val="24"/>
          <w:lang w:val="en-GB" w:eastAsia="en-GB"/>
        </w:rPr>
        <w:t xml:space="preserve"> and related terms to refer not to what is immediately meant by an utterance, but to a property of words by which they both mean and refer: for the former he instead uses </w:t>
      </w:r>
      <w:r>
        <w:rPr>
          <w:rFonts w:eastAsia="Times New Roman" w:cs="Times New Roman" w:ascii="Baskerville Old Face" w:hAnsi="Baskerville Old Face"/>
          <w:i/>
          <w:iCs/>
          <w:color w:val="auto"/>
          <w:sz w:val="24"/>
          <w:szCs w:val="24"/>
          <w:lang w:val="en-GB" w:eastAsia="en-GB"/>
        </w:rPr>
        <w:t>intellectus</w:t>
      </w:r>
      <w:r>
        <w:rPr>
          <w:rFonts w:eastAsia="Times New Roman" w:cs="Times New Roman" w:ascii="Baskerville Old Face" w:hAnsi="Baskerville Old Face"/>
          <w:i w:val="false"/>
          <w:iCs w:val="false"/>
          <w:color w:val="auto"/>
          <w:sz w:val="24"/>
          <w:szCs w:val="24"/>
          <w:lang w:val="en-GB" w:eastAsia="en-GB"/>
        </w:rPr>
        <w:t xml:space="preserve">, </w:t>
      </w:r>
      <w:r>
        <w:rPr>
          <w:rFonts w:eastAsia="Times New Roman" w:cs="Times New Roman" w:ascii="Baskerville Old Face" w:hAnsi="Baskerville Old Face"/>
          <w:i/>
          <w:iCs/>
          <w:color w:val="auto"/>
          <w:sz w:val="24"/>
          <w:szCs w:val="24"/>
          <w:lang w:val="en-GB" w:eastAsia="en-GB"/>
        </w:rPr>
        <w:t>passio</w:t>
      </w:r>
      <w:r>
        <w:rPr>
          <w:rFonts w:eastAsia="Times New Roman" w:cs="Times New Roman" w:ascii="Baskerville Old Face" w:hAnsi="Baskerville Old Face"/>
          <w:i w:val="false"/>
          <w:iCs w:val="false"/>
          <w:color w:val="auto"/>
          <w:sz w:val="24"/>
          <w:szCs w:val="24"/>
          <w:lang w:val="en-GB" w:eastAsia="en-GB"/>
        </w:rPr>
        <w:t xml:space="preserve">, or even </w:t>
      </w:r>
      <w:r>
        <w:rPr>
          <w:rFonts w:eastAsia="Times New Roman" w:cs="Times New Roman" w:ascii="Baskerville Old Face" w:hAnsi="Baskerville Old Face"/>
          <w:i/>
          <w:iCs/>
          <w:color w:val="auto"/>
          <w:sz w:val="24"/>
          <w:szCs w:val="24"/>
          <w:lang w:val="en-GB" w:eastAsia="en-GB"/>
        </w:rPr>
        <w:t>similitudo</w:t>
      </w:r>
      <w:r>
        <w:rPr>
          <w:rFonts w:eastAsia="Times New Roman" w:cs="Times New Roman" w:ascii="Baskerville Old Face" w:hAnsi="Baskerville Old Face"/>
          <w:i w:val="false"/>
          <w:iCs w:val="false"/>
          <w:color w:val="auto"/>
          <w:sz w:val="24"/>
          <w:szCs w:val="24"/>
          <w:lang w:val="en-GB" w:eastAsia="en-GB"/>
        </w:rPr>
        <w:t xml:space="preserve"> depending on the connotation desired. Rather, Boethius here answers how utterances principally designating impressions of the soul, which are identical with features of a thing, may in turn be used to refer not to </w:t>
      </w:r>
      <w:r>
        <w:rPr>
          <w:rFonts w:eastAsia="Times New Roman" w:cs="Times New Roman" w:ascii="Baskerville Old Face" w:hAnsi="Baskerville Old Face"/>
          <w:i w:val="false"/>
          <w:iCs w:val="false"/>
          <w:color w:val="auto"/>
          <w:sz w:val="24"/>
          <w:szCs w:val="24"/>
          <w:lang w:val="en-GB" w:eastAsia="en-GB"/>
        </w:rPr>
        <w:t xml:space="preserve">those features </w:t>
      </w:r>
      <w:r>
        <w:rPr>
          <w:rFonts w:eastAsia="Times New Roman" w:cs="Times New Roman" w:ascii="Baskerville Old Face" w:hAnsi="Baskerville Old Face"/>
          <w:i w:val="false"/>
          <w:iCs w:val="false"/>
          <w:color w:val="auto"/>
          <w:sz w:val="24"/>
          <w:szCs w:val="24"/>
          <w:lang w:val="en-GB" w:eastAsia="en-GB"/>
        </w:rPr>
        <w:t xml:space="preserve">but to their bearers, the things ‘by which meanings advance’. </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In short, the passage identifies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 xml:space="preserve">not with an activity of the mind or a product of that activity, but with something impressed on the intellect, what is at the same time not a medium by which features of things are understood, but the immediate and proper object of understanding itself, identical with those same features. Investing ‘thought’ or ‘concept’ with the desired sense, </w:t>
      </w:r>
      <w:r>
        <w:rPr>
          <w:rFonts w:ascii="Baskerville Old Face" w:hAnsi="Baskerville Old Face"/>
          <w:i w:val="false"/>
          <w:iCs w:val="false"/>
          <w:sz w:val="24"/>
          <w:szCs w:val="24"/>
          <w:lang w:val="en-GB"/>
        </w:rPr>
        <w:t xml:space="preserve">while possible, </w:t>
      </w:r>
      <w:r>
        <w:rPr>
          <w:rFonts w:ascii="Baskerville Old Face" w:hAnsi="Baskerville Old Face"/>
          <w:i w:val="false"/>
          <w:iCs w:val="false"/>
          <w:sz w:val="24"/>
          <w:szCs w:val="24"/>
          <w:lang w:val="en-GB"/>
        </w:rPr>
        <w:t>require</w:t>
      </w:r>
      <w:r>
        <w:rPr>
          <w:rFonts w:ascii="Baskerville Old Face" w:hAnsi="Baskerville Old Face"/>
          <w:i w:val="false"/>
          <w:iCs w:val="false"/>
          <w:sz w:val="24"/>
          <w:szCs w:val="24"/>
          <w:lang w:val="en-GB"/>
        </w:rPr>
        <w:t>s</w:t>
      </w:r>
      <w:r>
        <w:rPr>
          <w:rFonts w:ascii="Baskerville Old Face" w:hAnsi="Baskerville Old Face"/>
          <w:i w:val="false"/>
          <w:iCs w:val="false"/>
          <w:sz w:val="24"/>
          <w:szCs w:val="24"/>
          <w:lang w:val="en-GB"/>
        </w:rPr>
        <w:t xml:space="preserve"> repudiating the above contraindicated senses embedded in the </w:t>
      </w:r>
      <w:r>
        <w:rPr>
          <w:rFonts w:ascii="Baskerville Old Face" w:hAnsi="Baskerville Old Face"/>
          <w:i/>
          <w:iCs/>
          <w:sz w:val="24"/>
          <w:szCs w:val="24"/>
          <w:lang w:val="en-GB"/>
        </w:rPr>
        <w:t>prima facie</w:t>
      </w:r>
      <w:r>
        <w:rPr>
          <w:rFonts w:ascii="Baskerville Old Face" w:hAnsi="Baskerville Old Face"/>
          <w:i w:val="false"/>
          <w:iCs w:val="false"/>
          <w:sz w:val="24"/>
          <w:szCs w:val="24"/>
          <w:lang w:val="en-GB"/>
        </w:rPr>
        <w:t xml:space="preserve"> understanding of these terms today. </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4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in Boethius’ Topical Works</w:t>
      </w:r>
    </w:p>
    <w:p>
      <w:pPr>
        <w:pStyle w:val="Normal"/>
        <w:spacing w:lineRule="auto" w:line="480"/>
        <w:jc w:val="both"/>
        <w:rPr>
          <w:lang w:val="en-GB"/>
        </w:rPr>
      </w:pPr>
      <w:r>
        <w:rPr>
          <w:rFonts w:cs="Times New Roman" w:ascii="Baskerville Old Face" w:hAnsi="Baskerville Old Face"/>
          <w:sz w:val="24"/>
          <w:szCs w:val="24"/>
          <w:lang w:val="en-GB"/>
        </w:rPr>
        <w:tab/>
        <w:t xml:space="preserve">Of the works in the above mentioned codex, those most important for determining Anselm’s use of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are Boethius’ </w:t>
      </w:r>
      <w:r>
        <w:rPr>
          <w:rFonts w:cs="Times New Roman" w:ascii="Baskerville Old Face" w:hAnsi="Baskerville Old Face"/>
          <w:i/>
          <w:sz w:val="24"/>
          <w:szCs w:val="24"/>
          <w:lang w:val="en-GB"/>
        </w:rPr>
        <w:t xml:space="preserve">In Ciceronis Topica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 We turn to these now.</w:t>
      </w:r>
      <w:r>
        <w:rPr>
          <w:rStyle w:val="FootnoteAnchor"/>
          <w:rFonts w:cs="Times New Roman" w:ascii="Baskerville Old Face" w:hAnsi="Baskerville Old Face"/>
          <w:sz w:val="24"/>
          <w:szCs w:val="24"/>
          <w:lang w:val="en-GB"/>
        </w:rPr>
        <w:footnoteReference w:id="31"/>
      </w:r>
    </w:p>
    <w:p>
      <w:pPr>
        <w:pStyle w:val="Standard"/>
        <w:tabs>
          <w:tab w:val="clear" w:pos="720"/>
          <w:tab w:val="left" w:pos="360" w:leader="none"/>
        </w:tabs>
        <w:spacing w:lineRule="auto" w:line="480" w:before="0" w:after="160"/>
        <w:jc w:val="both"/>
        <w:rPr>
          <w:lang w:val="en-GB"/>
        </w:rPr>
      </w:pPr>
      <w:r>
        <w:rPr>
          <w:rFonts w:cs="Times New Roman" w:ascii="Baskerville Old Face" w:hAnsi="Baskerville Old Face"/>
          <w:lang w:val="en-GB"/>
        </w:rPr>
        <w:tab/>
        <w:t xml:space="preserve">The most important place where </w:t>
      </w:r>
      <w:r>
        <w:rPr>
          <w:rFonts w:cs="Times New Roman" w:ascii="Baskerville Old Face" w:hAnsi="Baskerville Old Face"/>
          <w:i/>
          <w:lang w:val="en-GB"/>
        </w:rPr>
        <w:t xml:space="preserve">fides </w:t>
      </w:r>
      <w:r>
        <w:rPr>
          <w:rFonts w:cs="Times New Roman" w:ascii="Baskerville Old Face" w:hAnsi="Baskerville Old Face"/>
          <w:lang w:val="en-GB"/>
        </w:rPr>
        <w:t xml:space="preserve">shows up in Cicero’s topics is in the definition of a topic itself. Cicero defines </w:t>
      </w:r>
      <w:r>
        <w:rPr>
          <w:rFonts w:cs="Times New Roman" w:ascii="Baskerville Old Face" w:hAnsi="Baskerville Old Face"/>
          <w:i/>
          <w:iCs/>
          <w:lang w:val="en-GB"/>
        </w:rPr>
        <w:t>locus</w:t>
      </w:r>
      <w:r>
        <w:rPr>
          <w:rFonts w:cs="Times New Roman" w:ascii="Baskerville Old Face" w:hAnsi="Baskerville Old Face"/>
          <w:lang w:val="en-GB"/>
        </w:rPr>
        <w:t>, the Latin translation of the Greek</w:t>
      </w:r>
      <w:r>
        <w:rPr>
          <w:rFonts w:cs="Times New Roman" w:ascii="Baskerville Old Face" w:hAnsi="Baskerville Old Face"/>
          <w:i/>
          <w:iCs/>
          <w:lang w:val="en-GB"/>
        </w:rPr>
        <w:t xml:space="preserve"> </w:t>
      </w:r>
      <w:r>
        <w:rPr>
          <w:rFonts w:cs="Cambria" w:ascii="Baskerville Old Face" w:hAnsi="Baskerville Old Face"/>
          <w:lang w:val="en-GB"/>
        </w:rPr>
        <w:t>τό</w:t>
      </w:r>
      <w:r>
        <w:rPr>
          <w:rFonts w:cs="Baskerville Old Face" w:ascii="Baskerville Old Face" w:hAnsi="Baskerville Old Face"/>
          <w:lang w:val="en-GB"/>
        </w:rPr>
        <w:t>π</w:t>
      </w:r>
      <w:r>
        <w:rPr>
          <w:rFonts w:cs="Cambria" w:ascii="Baskerville Old Face" w:hAnsi="Baskerville Old Face"/>
          <w:lang w:val="en-GB"/>
        </w:rPr>
        <w:t>ος</w:t>
      </w:r>
      <w:r>
        <w:rPr>
          <w:rFonts w:cs="Times New Roman" w:ascii="Baskerville Old Face" w:hAnsi="Baskerville Old Face"/>
          <w:lang w:val="en-GB"/>
        </w:rPr>
        <w:t xml:space="preserve">, thus: </w:t>
      </w:r>
      <w:r>
        <w:rPr>
          <w:rFonts w:cs="Baskerville Old Face" w:ascii="Baskerville Old Face" w:hAnsi="Baskerville Old Face"/>
          <w:lang w:val="en-GB"/>
        </w:rPr>
        <w:t>‘</w:t>
      </w:r>
      <w:r>
        <w:rPr>
          <w:rFonts w:cs="Times New Roman" w:ascii="Baskerville Old Face" w:hAnsi="Baskerville Old Face"/>
          <w:lang w:val="en-GB"/>
        </w:rPr>
        <w:t>Therefore we may define</w:t>
      </w:r>
      <w:r>
        <w:rPr>
          <w:rFonts w:cs="Times New Roman" w:ascii="Baskerville Old Face" w:hAnsi="Baskerville Old Face"/>
          <w:i/>
          <w:iCs/>
          <w:lang w:val="en-GB"/>
        </w:rPr>
        <w:t xml:space="preserve"> </w:t>
      </w:r>
      <w:r>
        <w:rPr>
          <w:rFonts w:cs="Times New Roman" w:ascii="Baskerville Old Face" w:hAnsi="Baskerville Old Face"/>
          <w:lang w:val="en-GB"/>
        </w:rPr>
        <w:t xml:space="preserve">'topic' as the seat of an argument, and 'argument' as the </w:t>
      </w:r>
      <w:r>
        <w:rPr>
          <w:rFonts w:cs="Times New Roman" w:ascii="Baskerville Old Face" w:hAnsi="Baskerville Old Face"/>
          <w:i/>
          <w:iCs/>
          <w:lang w:val="en-GB"/>
        </w:rPr>
        <w:t xml:space="preserve">ratio </w:t>
      </w:r>
      <w:r>
        <w:rPr>
          <w:rFonts w:cs="Times New Roman" w:ascii="Baskerville Old Face" w:hAnsi="Baskerville Old Face"/>
          <w:lang w:val="en-GB"/>
        </w:rPr>
        <w:t xml:space="preserve">that grants </w:t>
      </w:r>
      <w:r>
        <w:rPr>
          <w:rFonts w:cs="Times New Roman" w:ascii="Baskerville Old Face" w:hAnsi="Baskerville Old Face"/>
          <w:i/>
          <w:lang w:val="en-GB"/>
        </w:rPr>
        <w:t xml:space="preserve">fides </w:t>
      </w:r>
      <w:r>
        <w:rPr>
          <w:rFonts w:cs="Times New Roman" w:ascii="Baskerville Old Face" w:hAnsi="Baskerville Old Face"/>
          <w:lang w:val="en-GB"/>
        </w:rPr>
        <w:t>to a doubtful matter.’</w:t>
      </w:r>
      <w:r>
        <w:rPr>
          <w:rStyle w:val="FootnoteAnchor"/>
          <w:rFonts w:cs="Times New Roman" w:ascii="Baskerville Old Face" w:hAnsi="Baskerville Old Face"/>
          <w:lang w:val="en-GB"/>
        </w:rPr>
        <w:footnoteReference w:id="32"/>
      </w:r>
      <w:r>
        <w:rPr>
          <w:rFonts w:cs="Times New Roman" w:ascii="Baskerville Old Face" w:hAnsi="Baskerville Old Face"/>
          <w:lang w:val="en-GB"/>
        </w:rPr>
        <w:t xml:space="preserve"> Boethius comments on the passage as follows: </w:t>
      </w:r>
    </w:p>
    <w:p>
      <w:pPr>
        <w:pStyle w:val="Standard"/>
        <w:spacing w:lineRule="auto" w:line="480" w:before="0" w:after="160"/>
        <w:ind w:left="900" w:hanging="0"/>
        <w:jc w:val="both"/>
        <w:rPr>
          <w:lang w:val="en-GB"/>
        </w:rPr>
      </w:pPr>
      <w:r>
        <w:rPr>
          <w:rFonts w:cs="Times New Roman" w:ascii="Baskerville Old Face" w:hAnsi="Baskerville Old Face"/>
          <w:lang w:val="en-GB"/>
        </w:rPr>
        <w:t xml:space="preserve">There are many things that grant </w:t>
      </w:r>
      <w:r>
        <w:rPr>
          <w:rFonts w:cs="Times New Roman" w:ascii="Baskerville Old Face" w:hAnsi="Baskerville Old Face"/>
          <w:i/>
          <w:lang w:val="en-GB"/>
        </w:rPr>
        <w:t>fides</w:t>
      </w:r>
      <w:r>
        <w:rPr>
          <w:rFonts w:cs="Times New Roman" w:ascii="Baskerville Old Face" w:hAnsi="Baskerville Old Face"/>
          <w:lang w:val="en-GB"/>
        </w:rPr>
        <w:t xml:space="preserve">, but since they are not </w:t>
      </w:r>
      <w:r>
        <w:rPr>
          <w:rFonts w:cs="Times New Roman" w:ascii="Baskerville Old Face" w:hAnsi="Baskerville Old Face"/>
          <w:i/>
          <w:lang w:val="en-GB"/>
        </w:rPr>
        <w:t>rationes</w:t>
      </w:r>
      <w:r>
        <w:rPr>
          <w:rFonts w:cs="Times New Roman" w:ascii="Baskerville Old Face" w:hAnsi="Baskerville Old Face"/>
          <w:lang w:val="en-GB"/>
        </w:rPr>
        <w:t xml:space="preserve">, neither can they be </w:t>
      </w:r>
      <w:r>
        <w:rPr>
          <w:rFonts w:cs="Times New Roman" w:ascii="Baskerville Old Face" w:hAnsi="Baskerville Old Face"/>
          <w:i/>
          <w:lang w:val="en-GB"/>
        </w:rPr>
        <w:t>argumenta</w:t>
      </w:r>
      <w:r>
        <w:rPr>
          <w:rFonts w:cs="Times New Roman" w:ascii="Baskerville Old Face" w:hAnsi="Baskerville Old Face"/>
          <w:lang w:val="en-GB"/>
        </w:rPr>
        <w:t xml:space="preserve">: for instance, sight grants </w:t>
      </w:r>
      <w:r>
        <w:rPr>
          <w:rFonts w:cs="Times New Roman" w:ascii="Baskerville Old Face" w:hAnsi="Baskerville Old Face"/>
          <w:i/>
          <w:lang w:val="en-GB"/>
        </w:rPr>
        <w:t>fides</w:t>
      </w:r>
      <w:r>
        <w:rPr>
          <w:rFonts w:cs="Times New Roman" w:ascii="Baskerville Old Face" w:hAnsi="Baskerville Old Face"/>
          <w:lang w:val="en-GB"/>
        </w:rPr>
        <w:t xml:space="preserve"> to things seen, but because sight is not a </w:t>
      </w:r>
      <w:r>
        <w:rPr>
          <w:rFonts w:cs="Times New Roman" w:ascii="Baskerville Old Face" w:hAnsi="Baskerville Old Face"/>
          <w:i/>
          <w:lang w:val="en-GB"/>
        </w:rPr>
        <w:t>ratio</w:t>
      </w:r>
      <w:r>
        <w:rPr>
          <w:rFonts w:cs="Times New Roman" w:ascii="Baskerville Old Face" w:hAnsi="Baskerville Old Face"/>
          <w:lang w:val="en-GB"/>
        </w:rPr>
        <w:t xml:space="preserve">, neither can it be an </w:t>
      </w:r>
      <w:r>
        <w:rPr>
          <w:rFonts w:cs="Times New Roman" w:ascii="Baskerville Old Face" w:hAnsi="Baskerville Old Face"/>
          <w:i/>
          <w:lang w:val="en-GB"/>
        </w:rPr>
        <w:t>argumentum</w:t>
      </w:r>
      <w:r>
        <w:rPr>
          <w:rFonts w:cs="Times New Roman" w:ascii="Baskerville Old Face" w:hAnsi="Baskerville Old Face"/>
          <w:lang w:val="en-GB"/>
        </w:rPr>
        <w:t xml:space="preserve">. He assumes one difference, </w:t>
      </w:r>
      <w:r>
        <w:rPr>
          <w:rFonts w:cs="Times New Roman" w:ascii="Baskerville Old Face" w:hAnsi="Baskerville Old Face"/>
          <w:i/>
          <w:lang w:val="en-GB"/>
        </w:rPr>
        <w:t>that which grants fides</w:t>
      </w:r>
      <w:r>
        <w:rPr>
          <w:rFonts w:cs="Times New Roman" w:ascii="Baskerville Old Face" w:hAnsi="Baskerville Old Face"/>
          <w:lang w:val="en-GB"/>
        </w:rPr>
        <w:t xml:space="preserve">, since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grants </w:t>
      </w:r>
      <w:r>
        <w:rPr>
          <w:rFonts w:cs="Times New Roman" w:ascii="Baskerville Old Face" w:hAnsi="Baskerville Old Face"/>
          <w:i/>
          <w:lang w:val="en-GB"/>
        </w:rPr>
        <w:t>fides</w:t>
      </w:r>
      <w:r>
        <w:rPr>
          <w:rFonts w:cs="Times New Roman" w:ascii="Baskerville Old Face" w:hAnsi="Baskerville Old Face"/>
          <w:lang w:val="en-GB"/>
        </w:rPr>
        <w:t xml:space="preserve">. If, then, we were to join the genus to the difference, and call this an </w:t>
      </w:r>
      <w:r>
        <w:rPr>
          <w:rFonts w:cs="Times New Roman" w:ascii="Baskerville Old Face" w:hAnsi="Baskerville Old Face"/>
          <w:i/>
          <w:lang w:val="en-GB"/>
        </w:rPr>
        <w:t>argumentum</w:t>
      </w:r>
      <w:r>
        <w:rPr>
          <w:rFonts w:cs="Times New Roman" w:ascii="Baskerville Old Face" w:hAnsi="Baskerville Old Face"/>
          <w:lang w:val="en-GB"/>
        </w:rPr>
        <w:t xml:space="preserve">… would the complete nature of an </w:t>
      </w:r>
      <w:r>
        <w:rPr>
          <w:rFonts w:cs="Times New Roman" w:ascii="Baskerville Old Face" w:hAnsi="Baskerville Old Face"/>
          <w:i/>
          <w:lang w:val="en-GB"/>
        </w:rPr>
        <w:t>argumentum</w:t>
      </w:r>
      <w:r>
        <w:rPr>
          <w:rFonts w:cs="Times New Roman" w:ascii="Baskerville Old Face" w:hAnsi="Baskerville Old Face"/>
          <w:lang w:val="en-GB"/>
        </w:rPr>
        <w:t xml:space="preserve"> be made clear? Hardly…for an </w:t>
      </w:r>
      <w:r>
        <w:rPr>
          <w:rFonts w:cs="Times New Roman" w:ascii="Baskerville Old Face" w:hAnsi="Baskerville Old Face"/>
          <w:i/>
          <w:lang w:val="en-GB"/>
        </w:rPr>
        <w:t xml:space="preserve">argumentum </w:t>
      </w:r>
      <w:r>
        <w:rPr>
          <w:rFonts w:cs="Times New Roman" w:ascii="Baskerville Old Face" w:hAnsi="Baskerville Old Face"/>
          <w:lang w:val="en-GB"/>
        </w:rPr>
        <w:t>is what establishes something (</w:t>
      </w:r>
      <w:r>
        <w:rPr>
          <w:rFonts w:cs="Times New Roman" w:ascii="Baskerville Old Face" w:hAnsi="Baskerville Old Face"/>
          <w:i/>
          <w:lang w:val="en-GB"/>
        </w:rPr>
        <w:t>quod rem arguit</w:t>
      </w:r>
      <w:r>
        <w:rPr>
          <w:rFonts w:cs="Times New Roman" w:ascii="Baskerville Old Face" w:hAnsi="Baskerville Old Face"/>
          <w:lang w:val="en-GB"/>
        </w:rPr>
        <w:t xml:space="preserve">) – that is, what proves it – and nothing can be proven unless it is doubtful… Adding, then, another difference, that is, </w:t>
      </w:r>
      <w:r>
        <w:rPr>
          <w:rFonts w:cs="Times New Roman" w:ascii="Baskerville Old Face" w:hAnsi="Baskerville Old Face"/>
          <w:i/>
          <w:lang w:val="en-GB"/>
        </w:rPr>
        <w:t>to a doubtful matter</w:t>
      </w:r>
      <w:r>
        <w:rPr>
          <w:rFonts w:cs="Times New Roman" w:ascii="Baskerville Old Face" w:hAnsi="Baskerville Old Face"/>
          <w:lang w:val="en-GB"/>
        </w:rPr>
        <w:t xml:space="preserve">, the definition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made complete, consisting of a genus and two differences: the genus, </w:t>
      </w:r>
      <w:r>
        <w:rPr>
          <w:rFonts w:cs="Times New Roman" w:ascii="Baskerville Old Face" w:hAnsi="Baskerville Old Face"/>
          <w:i/>
          <w:lang w:val="en-GB"/>
        </w:rPr>
        <w:t>ratio</w:t>
      </w:r>
      <w:r>
        <w:rPr>
          <w:rFonts w:cs="Times New Roman" w:ascii="Baskerville Old Face" w:hAnsi="Baskerville Old Face"/>
          <w:lang w:val="en-GB"/>
        </w:rPr>
        <w:t xml:space="preserve">; the first difference, </w:t>
      </w:r>
      <w:r>
        <w:rPr>
          <w:rFonts w:cs="Times New Roman" w:ascii="Baskerville Old Face" w:hAnsi="Baskerville Old Face"/>
          <w:i/>
          <w:lang w:val="en-GB"/>
        </w:rPr>
        <w:t>granting</w:t>
      </w:r>
      <w:r>
        <w:rPr>
          <w:rFonts w:cs="Times New Roman" w:ascii="Baskerville Old Face" w:hAnsi="Baskerville Old Face"/>
          <w:lang w:val="en-GB"/>
        </w:rPr>
        <w:t xml:space="preserve"> </w:t>
      </w:r>
      <w:r>
        <w:rPr>
          <w:rFonts w:cs="Times New Roman" w:ascii="Baskerville Old Face" w:hAnsi="Baskerville Old Face"/>
          <w:i/>
          <w:lang w:val="en-GB"/>
        </w:rPr>
        <w:t>fides</w:t>
      </w:r>
      <w:r>
        <w:rPr>
          <w:rFonts w:cs="Times New Roman" w:ascii="Baskerville Old Face" w:hAnsi="Baskerville Old Face"/>
          <w:lang w:val="en-GB"/>
        </w:rPr>
        <w:t xml:space="preserve">; the other, </w:t>
      </w:r>
      <w:r>
        <w:rPr>
          <w:rFonts w:cs="Times New Roman" w:ascii="Baskerville Old Face" w:hAnsi="Baskerville Old Face"/>
          <w:i/>
          <w:lang w:val="en-GB"/>
        </w:rPr>
        <w:t>to a doubtful matter</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3"/>
      </w:r>
    </w:p>
    <w:p>
      <w:pPr>
        <w:pStyle w:val="Standard"/>
        <w:spacing w:lineRule="auto" w:line="480" w:before="0" w:after="160"/>
        <w:jc w:val="both"/>
        <w:rPr>
          <w:lang w:val="en-GB"/>
        </w:rPr>
      </w:pPr>
      <w:r>
        <w:rPr>
          <w:rFonts w:cs="Times New Roman" w:ascii="Baskerville Old Face" w:hAnsi="Baskerville Old Face"/>
          <w:lang w:val="en-GB"/>
        </w:rPr>
        <w:t xml:space="preserve">Here, we must not construe </w:t>
      </w:r>
      <w:r>
        <w:rPr>
          <w:rFonts w:cs="Times New Roman" w:ascii="Baskerville Old Face" w:hAnsi="Baskerville Old Face"/>
          <w:i/>
          <w:lang w:val="en-GB"/>
        </w:rPr>
        <w:t>ratio</w:t>
      </w:r>
      <w:r>
        <w:rPr>
          <w:rFonts w:cs="Times New Roman" w:ascii="Baskerville Old Face" w:hAnsi="Baskerville Old Face"/>
          <w:lang w:val="en-GB"/>
        </w:rPr>
        <w:t xml:space="preserve"> as ‘reasoning’, but as what is reasoned about, since the term is constitutive of the meaning of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4"/>
      </w:r>
      <w:r>
        <w:rPr>
          <w:rFonts w:cs="Times New Roman" w:ascii="Baskerville Old Face" w:hAnsi="Baskerville Old Face"/>
          <w:i/>
          <w:lang w:val="en-GB"/>
        </w:rPr>
        <w:t xml:space="preserve"> </w:t>
      </w:r>
      <w:r>
        <w:rPr>
          <w:rFonts w:cs="Times New Roman" w:ascii="Baskerville Old Face" w:hAnsi="Baskerville Old Face"/>
          <w:lang w:val="en-GB"/>
        </w:rPr>
        <w:t>Further, as Holopainen has shown,</w:t>
      </w:r>
      <w:r>
        <w:rPr>
          <w:rStyle w:val="FootnoteAnchor"/>
          <w:rFonts w:cs="Times New Roman" w:ascii="Baskerville Old Face" w:hAnsi="Baskerville Old Face"/>
          <w:lang w:val="en-GB"/>
        </w:rPr>
        <w:footnoteReference w:id="35"/>
      </w:r>
      <w:r>
        <w:rPr>
          <w:rFonts w:cs="Times New Roman" w:ascii="Baskerville Old Face" w:hAnsi="Baskerville Old Face"/>
          <w:lang w:val="en-GB"/>
        </w:rPr>
        <w:t xml:space="preserve"> the term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be extensionally differentiated from that of </w:t>
      </w:r>
      <w:r>
        <w:rPr>
          <w:rFonts w:cs="Times New Roman" w:ascii="Baskerville Old Face" w:hAnsi="Baskerville Old Face"/>
          <w:i/>
          <w:lang w:val="en-GB"/>
        </w:rPr>
        <w:t>ratio</w:t>
      </w:r>
      <w:r>
        <w:rPr>
          <w:rFonts w:cs="Times New Roman" w:ascii="Baskerville Old Face" w:hAnsi="Baskerville Old Face"/>
          <w:lang w:val="en-GB"/>
        </w:rPr>
        <w:t xml:space="preserve">, but may be so intensionally: a </w:t>
      </w:r>
      <w:r>
        <w:rPr>
          <w:rFonts w:cs="Times New Roman" w:ascii="Baskerville Old Face" w:hAnsi="Baskerville Old Face"/>
          <w:i/>
          <w:lang w:val="en-GB"/>
        </w:rPr>
        <w:t>ratio</w:t>
      </w:r>
      <w:r>
        <w:rPr>
          <w:rFonts w:cs="Times New Roman" w:ascii="Baskerville Old Face" w:hAnsi="Baskerville Old Face"/>
          <w:lang w:val="en-GB"/>
        </w:rPr>
        <w:t xml:space="preserve"> is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when it plays the role of a middle term in a certain kind of deduction. We may, then, construe </w:t>
      </w:r>
      <w:r>
        <w:rPr>
          <w:rFonts w:cs="Times New Roman" w:ascii="Baskerville Old Face" w:hAnsi="Baskerville Old Face"/>
          <w:i/>
          <w:lang w:val="en-GB"/>
        </w:rPr>
        <w:t>ratio</w:t>
      </w:r>
      <w:r>
        <w:rPr>
          <w:rFonts w:cs="Times New Roman" w:ascii="Baskerville Old Face" w:hAnsi="Baskerville Old Face"/>
          <w:lang w:val="en-GB"/>
        </w:rPr>
        <w:t xml:space="preserve"> as ‘idea’ or ‘concept’, provided we understand it as the essence of a thing </w:t>
      </w:r>
      <w:r>
        <w:rPr>
          <w:rFonts w:cs="Times New Roman" w:ascii="Baskerville Old Face" w:hAnsi="Baskerville Old Face"/>
          <w:i/>
          <w:lang w:val="en-GB"/>
        </w:rPr>
        <w:t xml:space="preserve">qua </w:t>
      </w:r>
      <w:r>
        <w:rPr>
          <w:rFonts w:cs="Times New Roman" w:ascii="Baskerville Old Face" w:hAnsi="Baskerville Old Face"/>
          <w:lang w:val="en-GB"/>
        </w:rPr>
        <w:t>received by the intellect, and not as a representational medium for understanding the world spontaneously drawn up by the intellect.</w:t>
      </w:r>
      <w:r>
        <w:rPr>
          <w:rStyle w:val="FootnoteAnchor"/>
          <w:rFonts w:cs="Times New Roman" w:ascii="Baskerville Old Face" w:hAnsi="Baskerville Old Face"/>
          <w:lang w:val="en-GB"/>
        </w:rPr>
        <w:footnoteReference w:id="36"/>
      </w:r>
    </w:p>
    <w:p>
      <w:pPr>
        <w:pStyle w:val="Standard"/>
        <w:spacing w:lineRule="auto" w:line="480" w:before="0" w:after="160"/>
        <w:jc w:val="both"/>
        <w:rPr>
          <w:lang w:val="en-GB"/>
        </w:rPr>
      </w:pPr>
      <w:r>
        <w:rPr>
          <w:rFonts w:cs="Times New Roman" w:ascii="Baskerville Old Face" w:hAnsi="Baskerville Old Face"/>
          <w:lang w:val="en-GB"/>
        </w:rPr>
        <w:tab/>
        <w:t xml:space="preserve">To construe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lang w:val="en-GB"/>
        </w:rPr>
        <w:t>argumentum</w:t>
      </w:r>
      <w:r>
        <w:rPr>
          <w:rFonts w:cs="Times New Roman" w:ascii="Baskerville Old Face" w:hAnsi="Baskerville Old Face"/>
          <w:lang w:val="en-GB"/>
        </w:rPr>
        <w:t xml:space="preserve">. An </w:t>
      </w:r>
      <w:r>
        <w:rPr>
          <w:rFonts w:cs="Times New Roman" w:ascii="Baskerville Old Face" w:hAnsi="Baskerville Old Face"/>
          <w:i/>
          <w:lang w:val="en-GB"/>
        </w:rPr>
        <w:t>argumentum</w:t>
      </w:r>
      <w:r>
        <w:rPr>
          <w:rFonts w:cs="Times New Roman" w:ascii="Baskerville Old Face" w:hAnsi="Baskerville Old Face"/>
          <w:lang w:val="en-GB"/>
        </w:rPr>
        <w:t xml:space="preserve"> must be the subject or predicate of a true sentence, the major term</w:t>
      </w:r>
      <w:r>
        <w:rPr>
          <w:rStyle w:val="FootnoteAnchor"/>
          <w:rFonts w:cs="Times New Roman" w:ascii="Baskerville Old Face" w:hAnsi="Baskerville Old Face"/>
          <w:lang w:val="en-GB"/>
        </w:rPr>
        <w:footnoteReference w:id="37"/>
      </w:r>
      <w:r>
        <w:rPr>
          <w:rFonts w:cs="Times New Roman" w:ascii="Baskerville Old Face" w:hAnsi="Baskerville Old Face"/>
          <w:lang w:val="en-GB"/>
        </w:rPr>
        <w:t xml:space="preserve"> taking up the sentential position not filled by the </w:t>
      </w:r>
      <w:r>
        <w:rPr>
          <w:rFonts w:cs="Times New Roman" w:ascii="Baskerville Old Face" w:hAnsi="Baskerville Old Face"/>
          <w:i/>
          <w:lang w:val="en-GB"/>
        </w:rPr>
        <w:t>argumentum</w:t>
      </w:r>
      <w:r>
        <w:rPr>
          <w:rFonts w:cs="Times New Roman" w:ascii="Baskerville Old Face" w:hAnsi="Baskerville Old Face"/>
          <w:lang w:val="en-GB"/>
        </w:rPr>
        <w:t>, serving to deduce the conclusion relating the minor term to the major term.</w:t>
      </w:r>
      <w:r>
        <w:rPr>
          <w:rStyle w:val="FootnoteAnchor"/>
          <w:rFonts w:cs="Times New Roman" w:ascii="Baskerville Old Face" w:hAnsi="Baskerville Old Face"/>
          <w:lang w:val="en-GB"/>
        </w:rPr>
        <w:footnoteReference w:id="38"/>
      </w:r>
      <w:r>
        <w:rPr>
          <w:rFonts w:cs="Times New Roman" w:ascii="Baskerville Old Face" w:hAnsi="Baskerville Old Face"/>
          <w:lang w:val="en-GB"/>
        </w:rPr>
        <w:t xml:space="preserve"> Furthermore, it must be more immediately credible that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relates to the minor term than that the major term is predicable of the minor. Thus, redundant or circular proofs, such as: </w:t>
      </w:r>
    </w:p>
    <w:p>
      <w:pPr>
        <w:pStyle w:val="Standard"/>
        <w:spacing w:lineRule="auto" w:line="480" w:before="0" w:after="160"/>
        <w:jc w:val="both"/>
        <w:rPr>
          <w:lang w:val="en-GB"/>
        </w:rPr>
      </w:pPr>
      <w:r>
        <w:rPr>
          <w:rFonts w:cs="Times New Roman" w:ascii="Baskerville Old Face" w:hAnsi="Baskerville Old Face"/>
          <w:lang w:val="en-GB"/>
        </w:rPr>
        <w:t>B is A</w:t>
        <w:br/>
      </w:r>
      <w:r>
        <w:rPr>
          <w:rFonts w:cs="Times New Roman" w:ascii="Baskerville Old Face" w:hAnsi="Baskerville Old Face"/>
          <w:u w:val="single"/>
          <w:lang w:val="en-GB"/>
        </w:rPr>
        <w:t>A is B</w:t>
      </w:r>
      <w:r>
        <w:rPr>
          <w:rFonts w:cs="Times New Roman" w:ascii="Baskerville Old Face" w:hAnsi="Baskerville Old Face"/>
          <w:lang w:val="en-GB"/>
        </w:rPr>
        <w:br/>
        <w:t>A is A</w:t>
      </w:r>
    </w:p>
    <w:p>
      <w:pPr>
        <w:pStyle w:val="Standard"/>
        <w:spacing w:lineRule="auto" w:line="480" w:before="0" w:after="160"/>
        <w:jc w:val="both"/>
        <w:rPr>
          <w:lang w:val="en-GB"/>
        </w:rPr>
      </w:pPr>
      <w:r>
        <w:rPr>
          <w:rFonts w:cs="Times New Roman" w:ascii="Baskerville Old Face" w:hAnsi="Baskerville Old Face"/>
          <w:lang w:val="en-GB"/>
        </w:rPr>
        <w:t xml:space="preserve">will not have a middle term that is an </w:t>
      </w:r>
      <w:r>
        <w:rPr>
          <w:rFonts w:cs="Times New Roman" w:ascii="Baskerville Old Face" w:hAnsi="Baskerville Old Face"/>
          <w:i/>
          <w:lang w:val="en-GB"/>
        </w:rPr>
        <w:t>argumentum</w:t>
      </w:r>
      <w:r>
        <w:rPr>
          <w:rFonts w:cs="Times New Roman" w:ascii="Baskerville Old Face" w:hAnsi="Baskerville Old Face"/>
          <w:lang w:val="en-GB"/>
        </w:rPr>
        <w:t xml:space="preserve">; nor will a deduction attempting to establish a conclusion equally or less doubtful than its major premise. Thirdly, the conclusion must, </w:t>
      </w:r>
      <w:r>
        <w:rPr>
          <w:rFonts w:cs="Times New Roman" w:ascii="Baskerville Old Face" w:hAnsi="Baskerville Old Face"/>
          <w:i/>
          <w:lang w:val="en-GB"/>
        </w:rPr>
        <w:t xml:space="preserve">à la </w:t>
      </w:r>
      <w:r>
        <w:rPr>
          <w:rFonts w:cs="Times New Roman" w:ascii="Baskerville Old Face" w:hAnsi="Baskerville Old Face"/>
          <w:lang w:val="en-GB"/>
        </w:rPr>
        <w:t xml:space="preserve">contemporary relevant logic, genuinely follow </w:t>
      </w:r>
      <w:r>
        <w:rPr>
          <w:rFonts w:cs="Times New Roman" w:ascii="Baskerville Old Face" w:hAnsi="Baskerville Old Face"/>
          <w:i/>
          <w:lang w:val="en-GB"/>
        </w:rPr>
        <w:t xml:space="preserve">from </w:t>
      </w:r>
      <w:r>
        <w:rPr>
          <w:rFonts w:cs="Times New Roman" w:ascii="Baskerville Old Face" w:hAnsi="Baskerville Old Face"/>
          <w:lang w:val="en-GB"/>
        </w:rPr>
        <w:t>the premises.</w:t>
      </w:r>
    </w:p>
    <w:p>
      <w:pPr>
        <w:pStyle w:val="Standard"/>
        <w:spacing w:lineRule="auto" w:line="480" w:before="0" w:after="160"/>
        <w:jc w:val="both"/>
        <w:rPr>
          <w:lang w:val="en-GB"/>
        </w:rPr>
      </w:pPr>
      <w:r>
        <w:rPr>
          <w:rFonts w:cs="Times New Roman" w:ascii="Baskerville Old Face" w:hAnsi="Baskerville Old Face"/>
          <w:lang w:val="en-GB"/>
        </w:rPr>
        <w:tab/>
        <w:t xml:space="preserve">In the above passage, we are told: 1) </w:t>
      </w:r>
      <w:r>
        <w:rPr>
          <w:rFonts w:cs="Times New Roman" w:ascii="Baskerville Old Face" w:hAnsi="Baskerville Old Face"/>
          <w:i/>
          <w:lang w:val="en-GB"/>
        </w:rPr>
        <w:t xml:space="preserve">fides </w:t>
      </w:r>
      <w:r>
        <w:rPr>
          <w:rFonts w:cs="Times New Roman" w:ascii="Baskerville Old Face" w:hAnsi="Baskerville Old Face"/>
          <w:lang w:val="en-GB"/>
        </w:rPr>
        <w:t xml:space="preserve">can be brought about by an </w:t>
      </w:r>
      <w:r>
        <w:rPr>
          <w:rFonts w:cs="Times New Roman" w:ascii="Baskerville Old Face" w:hAnsi="Baskerville Old Face"/>
          <w:i/>
          <w:lang w:val="en-GB"/>
        </w:rPr>
        <w:t>argumentum</w:t>
      </w:r>
      <w:r>
        <w:rPr>
          <w:rFonts w:cs="Times New Roman" w:ascii="Baskerville Old Face" w:hAnsi="Baskerville Old Face"/>
          <w:lang w:val="en-GB"/>
        </w:rPr>
        <w:t xml:space="preserve">, but 2) also by other means (e.g. sight); 3)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effects </w:t>
      </w:r>
      <w:r>
        <w:rPr>
          <w:rFonts w:cs="Times New Roman" w:ascii="Baskerville Old Face" w:hAnsi="Baskerville Old Face"/>
          <w:i/>
          <w:lang w:val="en-GB"/>
        </w:rPr>
        <w:t>fides</w:t>
      </w:r>
      <w:r>
        <w:rPr>
          <w:rFonts w:cs="Times New Roman" w:ascii="Baskerville Old Face" w:hAnsi="Baskerville Old Face"/>
          <w:lang w:val="en-GB"/>
        </w:rPr>
        <w:t xml:space="preserve">; 4) </w:t>
      </w:r>
      <w:r>
        <w:rPr>
          <w:rFonts w:cs="Times New Roman" w:ascii="Baskerville Old Face" w:hAnsi="Baskerville Old Face"/>
          <w:i/>
          <w:lang w:val="en-GB"/>
        </w:rPr>
        <w:t xml:space="preserve">fides </w:t>
      </w:r>
      <w:r>
        <w:rPr>
          <w:rFonts w:cs="Times New Roman" w:ascii="Baskerville Old Face" w:hAnsi="Baskerville Old Face"/>
          <w:lang w:val="en-GB"/>
        </w:rPr>
        <w:t>can be provided for doubtful things 5) as well as things not in doubt.</w:t>
      </w:r>
      <w:r>
        <w:rPr>
          <w:rStyle w:val="FootnoteAnchor"/>
          <w:rFonts w:cs="Times New Roman" w:ascii="Baskerville Old Face" w:hAnsi="Baskerville Old Face"/>
          <w:lang w:val="en-GB"/>
        </w:rPr>
        <w:footnoteReference w:id="39"/>
      </w:r>
      <w:r>
        <w:rPr>
          <w:rFonts w:cs="Times New Roman" w:ascii="Baskerville Old Face" w:hAnsi="Baskerville Old Face"/>
          <w:lang w:val="en-GB"/>
        </w:rPr>
        <w:t xml:space="preserve"> Furthermore, we can deduce that 6)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antithetical to </w:t>
      </w:r>
      <w:r>
        <w:rPr>
          <w:rFonts w:cs="Times New Roman" w:ascii="Baskerville Old Face" w:hAnsi="Baskerville Old Face"/>
          <w:i/>
          <w:lang w:val="en-GB"/>
        </w:rPr>
        <w:t>ratio</w:t>
      </w:r>
      <w:r>
        <w:rPr>
          <w:rFonts w:cs="Times New Roman" w:ascii="Baskerville Old Face" w:hAnsi="Baskerville Old Face"/>
          <w:lang w:val="en-GB"/>
        </w:rPr>
        <w:t xml:space="preserve">, since some </w:t>
      </w:r>
      <w:r>
        <w:rPr>
          <w:rFonts w:cs="Times New Roman" w:ascii="Baskerville Old Face" w:hAnsi="Baskerville Old Face"/>
          <w:i/>
          <w:lang w:val="en-GB"/>
        </w:rPr>
        <w:t>rationes</w:t>
      </w:r>
      <w:r>
        <w:rPr>
          <w:rFonts w:cs="Times New Roman" w:ascii="Baskerville Old Face" w:hAnsi="Baskerville Old Face"/>
          <w:lang w:val="en-GB"/>
        </w:rPr>
        <w:t xml:space="preserve">—namely, </w:t>
      </w:r>
      <w:r>
        <w:rPr>
          <w:rFonts w:cs="Times New Roman" w:ascii="Baskerville Old Face" w:hAnsi="Baskerville Old Face"/>
          <w:i/>
          <w:lang w:val="en-GB"/>
        </w:rPr>
        <w:t>argumenta</w:t>
      </w:r>
      <w:r>
        <w:rPr>
          <w:rFonts w:cs="Times New Roman" w:ascii="Baskerville Old Face" w:hAnsi="Baskerville Old Face"/>
          <w:lang w:val="en-GB"/>
        </w:rPr>
        <w:t xml:space="preserve">—grant it; 7)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granted by something fitting the object granted it – just as </w:t>
      </w:r>
      <w:r>
        <w:rPr>
          <w:rFonts w:cs="Times New Roman" w:ascii="Baskerville Old Face" w:hAnsi="Baskerville Old Face"/>
          <w:i/>
          <w:lang w:val="en-GB"/>
        </w:rPr>
        <w:t>visus</w:t>
      </w:r>
      <w:r>
        <w:rPr>
          <w:rFonts w:cs="Times New Roman" w:ascii="Baskerville Old Face" w:hAnsi="Baskerville Old Face"/>
          <w:lang w:val="en-GB"/>
        </w:rPr>
        <w:t xml:space="preserve"> grants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visible things, so </w:t>
      </w:r>
      <w:r>
        <w:rPr>
          <w:rFonts w:cs="Times New Roman" w:ascii="Baskerville Old Face" w:hAnsi="Baskerville Old Face"/>
          <w:i/>
          <w:lang w:val="en-GB"/>
        </w:rPr>
        <w:t xml:space="preserve">rationes </w:t>
      </w:r>
      <w:r>
        <w:rPr>
          <w:rFonts w:cs="Times New Roman" w:ascii="Baskerville Old Face" w:hAnsi="Baskerville Old Face"/>
          <w:lang w:val="en-GB"/>
        </w:rPr>
        <w:t xml:space="preserve">grant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intelligible things; and 8)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lang w:val="en-GB"/>
        </w:rPr>
        <w:t xml:space="preserve">fides </w:t>
      </w:r>
      <w:r>
        <w:rPr>
          <w:rFonts w:cs="Times New Roman" w:ascii="Baskerville Old Face" w:hAnsi="Baskerville Old Face"/>
          <w:lang w:val="en-GB"/>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lang w:val="en-GB"/>
        </w:rPr>
      </w:pPr>
      <w:r>
        <w:rPr>
          <w:rFonts w:cs="Times New Roman" w:ascii="Baskerville Old Face" w:hAnsi="Baskerville Old Face"/>
          <w:lang w:val="en-GB"/>
        </w:rPr>
        <w:tab/>
        <w:t xml:space="preserve">From the enumeration of the above criteria, one might construe the </w:t>
      </w:r>
      <w:r>
        <w:rPr>
          <w:rFonts w:cs="Times New Roman" w:ascii="Baskerville Old Face" w:hAnsi="Baskerville Old Face"/>
          <w:i/>
          <w:lang w:val="en-GB"/>
        </w:rPr>
        <w:t xml:space="preserve">fides </w:t>
      </w:r>
      <w:r>
        <w:rPr>
          <w:rFonts w:cs="Times New Roman" w:ascii="Baskerville Old Face" w:hAnsi="Baskerville Old Face"/>
          <w:lang w:val="en-GB"/>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lang w:val="en-GB"/>
        </w:rPr>
        <w:t>assertibility conditions</w:t>
      </w:r>
      <w:r>
        <w:rPr>
          <w:rFonts w:cs="Times New Roman" w:ascii="Baskerville Old Face" w:hAnsi="Baskerville Old Face"/>
          <w:lang w:val="en-GB"/>
        </w:rPr>
        <w:t xml:space="preserve"> of a sentence: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an </w:t>
      </w:r>
      <w:r>
        <w:rPr>
          <w:rFonts w:cs="Times New Roman" w:ascii="Baskerville Old Face" w:hAnsi="Baskerville Old Face"/>
          <w:i/>
          <w:lang w:val="en-GB"/>
        </w:rPr>
        <w:t>idea</w:t>
      </w:r>
      <w:r>
        <w:rPr>
          <w:rFonts w:cs="Times New Roman" w:ascii="Baskerville Old Face" w:hAnsi="Baskerville Old Face"/>
          <w:lang w:val="en-GB"/>
        </w:rPr>
        <w:t xml:space="preserve"> making a matter previously in doubt assertible. But since the granting of </w:t>
      </w:r>
      <w:r>
        <w:rPr>
          <w:rFonts w:cs="Times New Roman" w:ascii="Baskerville Old Face" w:hAnsi="Baskerville Old Face"/>
          <w:i/>
          <w:lang w:val="en-GB"/>
        </w:rPr>
        <w:t xml:space="preserve">fides </w:t>
      </w:r>
      <w:r>
        <w:rPr>
          <w:rFonts w:cs="Times New Roman" w:ascii="Baskerville Old Face" w:hAnsi="Baskerville Old Face"/>
          <w:lang w:val="en-GB"/>
        </w:rPr>
        <w:t>is nothing linguistic, what we have granted here is rather a condition</w:t>
      </w:r>
      <w:r>
        <w:rPr>
          <w:rFonts w:cs="Times New Roman" w:ascii="Baskerville Old Face" w:hAnsi="Baskerville Old Face"/>
          <w:i/>
          <w:lang w:val="en-GB"/>
        </w:rPr>
        <w:t xml:space="preserve"> </w:t>
      </w:r>
      <w:r>
        <w:rPr>
          <w:rFonts w:cs="Times New Roman" w:ascii="Baskerville Old Face" w:hAnsi="Baskerville Old Face"/>
          <w:lang w:val="en-GB"/>
        </w:rPr>
        <w:t xml:space="preserve">for assertibility. A good translation of </w:t>
      </w:r>
      <w:r>
        <w:rPr>
          <w:rFonts w:cs="Times New Roman" w:ascii="Baskerville Old Face" w:hAnsi="Baskerville Old Face"/>
          <w:i/>
          <w:lang w:val="en-GB"/>
        </w:rPr>
        <w:t>fides</w:t>
      </w:r>
      <w:r>
        <w:rPr>
          <w:rFonts w:cs="Times New Roman" w:ascii="Baskerville Old Face" w:hAnsi="Baskerville Old Face"/>
          <w:lang w:val="en-GB"/>
        </w:rPr>
        <w:t>, then, in this context, would be something like reliability, or even – bringing out the ontological tenor a bit more – groundedness.</w:t>
      </w:r>
    </w:p>
    <w:p>
      <w:pPr>
        <w:pStyle w:val="Standard"/>
        <w:spacing w:lineRule="auto" w:line="480" w:before="0" w:after="160"/>
        <w:jc w:val="both"/>
        <w:rPr>
          <w:lang w:val="en-GB"/>
        </w:rPr>
      </w:pPr>
      <w:r>
        <w:rPr>
          <w:rFonts w:cs="Times New Roman" w:ascii="Baskerville Old Face" w:hAnsi="Baskerville Old Face"/>
          <w:lang w:val="en-GB"/>
        </w:rPr>
        <w:tab/>
        <w:t xml:space="preserve">Putting this together, we can rephrase Cicero’s definition thus: a topic is the seat of an </w:t>
      </w:r>
      <w:r>
        <w:rPr>
          <w:rFonts w:cs="Times New Roman" w:ascii="Baskerville Old Face" w:hAnsi="Baskerville Old Face"/>
          <w:i/>
          <w:lang w:val="en-GB"/>
        </w:rPr>
        <w:t>argumentum</w:t>
      </w:r>
      <w:r>
        <w:rPr>
          <w:rFonts w:cs="Times New Roman" w:ascii="Baskerville Old Face" w:hAnsi="Baskerville Old Face"/>
          <w:lang w:val="en-GB"/>
        </w:rPr>
        <w:t xml:space="preserve">, and an </w:t>
      </w:r>
      <w:r>
        <w:rPr>
          <w:rFonts w:cs="Times New Roman" w:ascii="Baskerville Old Face" w:hAnsi="Baskerville Old Face"/>
          <w:i/>
          <w:lang w:val="en-GB"/>
        </w:rPr>
        <w:t>argumentum</w:t>
      </w:r>
      <w:r>
        <w:rPr>
          <w:rFonts w:cs="Times New Roman" w:ascii="Baskerville Old Face" w:hAnsi="Baskerville Old Face"/>
          <w:lang w:val="en-GB"/>
        </w:rPr>
        <w:t>, an idea serving as a medium grounding a doubtful matter.</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5 </w:t>
      </w:r>
      <w:r>
        <w:rPr>
          <w:rFonts w:cs="Times New Roman" w:ascii="Baskerville Old Face" w:hAnsi="Baskerville Old Face"/>
          <w:b/>
          <w:i/>
          <w:color w:val="auto"/>
          <w:sz w:val="24"/>
          <w:szCs w:val="24"/>
          <w:lang w:val="en-GB"/>
        </w:rPr>
        <w:t>Fides Quaerens Intellectum.</w:t>
      </w:r>
    </w:p>
    <w:p>
      <w:pPr>
        <w:pStyle w:val="Normal"/>
        <w:spacing w:lineRule="auto" w:line="480"/>
        <w:jc w:val="both"/>
        <w:rPr>
          <w:lang w:val="en-GB"/>
        </w:rPr>
      </w:pPr>
      <w:r>
        <w:rPr>
          <w:rFonts w:cs="Times New Roman" w:ascii="Baskerville Old Face" w:hAnsi="Baskerville Old Face"/>
          <w:sz w:val="24"/>
          <w:szCs w:val="24"/>
          <w:lang w:val="en-GB"/>
        </w:rPr>
        <w:tab/>
        <w:t xml:space="preserve">We are now in a position to see how this account clarifies the meaning of the title Anselm originally gave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In the </w:t>
      </w:r>
      <w:r>
        <w:rPr>
          <w:rFonts w:cs="Times New Roman" w:ascii="Baskerville Old Face" w:hAnsi="Baskerville Old Face"/>
          <w:iCs/>
          <w:sz w:val="24"/>
          <w:szCs w:val="24"/>
          <w:lang w:val="en-GB"/>
        </w:rPr>
        <w:t>prologue</w:t>
      </w:r>
      <w:r>
        <w:rPr>
          <w:rFonts w:cs="Times New Roman" w:ascii="Baskerville Old Face" w:hAnsi="Baskerville Old Face"/>
          <w:sz w:val="24"/>
          <w:szCs w:val="24"/>
          <w:lang w:val="en-GB"/>
        </w:rPr>
        <w:t xml:space="preserve"> to the text, Anselm says his brother monks asked him for an ‘example of meditating on a </w:t>
      </w:r>
      <w:r>
        <w:rPr>
          <w:rFonts w:cs="Times New Roman" w:ascii="Baskerville Old Face" w:hAnsi="Baskerville Old Face"/>
          <w:i/>
          <w:iCs/>
          <w:sz w:val="24"/>
          <w:szCs w:val="24"/>
          <w:lang w:val="en-GB"/>
        </w:rPr>
        <w:t>ratio fidei.’</w:t>
      </w:r>
      <w:r>
        <w:rPr>
          <w:rStyle w:val="FootnoteAnchor"/>
          <w:rFonts w:cs="Times New Roman" w:ascii="Baskerville Old Face" w:hAnsi="Baskerville Old Face"/>
          <w:sz w:val="24"/>
          <w:szCs w:val="24"/>
          <w:lang w:val="en-GB"/>
        </w:rPr>
        <w:footnoteReference w:id="40"/>
      </w:r>
      <w:r>
        <w:rPr>
          <w:rFonts w:cs="Times New Roman" w:ascii="Baskerville Old Face" w:hAnsi="Baskerville Old Face"/>
          <w:sz w:val="24"/>
          <w:szCs w:val="24"/>
          <w:lang w:val="en-GB"/>
        </w:rPr>
        <w:t xml:space="preserve"> This could consist, he says, in a multitude of arguments, as did the </w:t>
      </w:r>
      <w:r>
        <w:rPr>
          <w:rFonts w:cs="Times New Roman" w:ascii="Baskerville Old Face" w:hAnsi="Baskerville Old Face"/>
          <w:i/>
          <w:iCs/>
          <w:sz w:val="24"/>
          <w:szCs w:val="24"/>
          <w:lang w:val="en-GB"/>
        </w:rPr>
        <w:t>Monologion</w:t>
      </w:r>
      <w:r>
        <w:rPr>
          <w:rFonts w:cs="Times New Roman" w:ascii="Baskerville Old Face" w:hAnsi="Baskerville Old Face"/>
          <w:sz w:val="24"/>
          <w:szCs w:val="24"/>
          <w:lang w:val="en-GB"/>
        </w:rPr>
        <w:t>, or it could consist in one argument. Anselm asks:</w:t>
      </w:r>
    </w:p>
    <w:p>
      <w:pPr>
        <w:pStyle w:val="Standard"/>
        <w:spacing w:lineRule="auto" w:line="480" w:before="0" w:after="160"/>
        <w:ind w:left="870" w:hanging="0"/>
        <w:jc w:val="both"/>
        <w:rPr>
          <w:lang w:val="en-GB"/>
        </w:rPr>
      </w:pPr>
      <w:r>
        <w:rPr>
          <w:rFonts w:cs="Times New Roman" w:ascii="Baskerville Old Face" w:hAnsi="Baskerville Old Face"/>
          <w:lang w:val="en-GB"/>
        </w:rPr>
        <w:t>whether perhaps one argument (</w:t>
      </w:r>
      <w:r>
        <w:rPr>
          <w:rFonts w:cs="Times New Roman" w:ascii="Baskerville Old Face" w:hAnsi="Baskerville Old Face"/>
          <w:i/>
          <w:iCs/>
          <w:lang w:val="en-GB"/>
        </w:rPr>
        <w:t>unum argumentum</w:t>
      </w:r>
      <w:r>
        <w:rPr>
          <w:rFonts w:cs="Times New Roman" w:ascii="Baskerville Old Face" w:hAnsi="Baskerville Old Face"/>
          <w:lang w:val="en-GB"/>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lang w:val="en-GB"/>
        </w:rPr>
        <w:footnoteReference w:id="41"/>
      </w:r>
    </w:p>
    <w:p>
      <w:pPr>
        <w:pStyle w:val="Standard"/>
        <w:spacing w:lineRule="auto" w:line="480" w:before="0" w:after="160"/>
        <w:jc w:val="both"/>
        <w:rPr>
          <w:lang w:val="en-GB"/>
        </w:rPr>
      </w:pPr>
      <w:r>
        <w:rPr>
          <w:rFonts w:cs="Times New Roman" w:ascii="Baskerville Old Face" w:hAnsi="Baskerville Old Face"/>
          <w:lang w:val="en-GB"/>
        </w:rPr>
        <w:t xml:space="preserve">He goes on to call this same </w:t>
      </w:r>
      <w:r>
        <w:rPr>
          <w:rFonts w:cs="Times New Roman" w:ascii="Baskerville Old Face" w:hAnsi="Baskerville Old Face"/>
          <w:i/>
          <w:lang w:val="en-GB"/>
        </w:rPr>
        <w:t xml:space="preserve">argumentum </w:t>
      </w:r>
      <w:r>
        <w:rPr>
          <w:rFonts w:cs="Times New Roman" w:ascii="Baskerville Old Face" w:hAnsi="Baskerville Old Face"/>
          <w:lang w:val="en-GB"/>
        </w:rPr>
        <w:t>a ‘</w:t>
      </w:r>
      <w:r>
        <w:rPr>
          <w:rFonts w:cs="Times New Roman" w:ascii="Baskerville Old Face" w:hAnsi="Baskerville Old Face"/>
          <w:i/>
          <w:iCs/>
          <w:lang w:val="en-GB"/>
        </w:rPr>
        <w:t xml:space="preserve">cogitatio </w:t>
      </w:r>
      <w:r>
        <w:rPr>
          <w:rFonts w:cs="Times New Roman" w:ascii="Baskerville Old Face" w:hAnsi="Baskerville Old Face"/>
          <w:lang w:val="en-GB"/>
        </w:rPr>
        <w:t>I zealously embraced.’</w:t>
      </w:r>
      <w:r>
        <w:rPr>
          <w:rStyle w:val="FootnoteAnchor"/>
          <w:rFonts w:cs="Times New Roman" w:ascii="Baskerville Old Face" w:hAnsi="Baskerville Old Face"/>
          <w:lang w:val="en-GB"/>
        </w:rPr>
        <w:footnoteReference w:id="42"/>
      </w:r>
      <w:r>
        <w:rPr>
          <w:rFonts w:cs="Times New Roman" w:ascii="Baskerville Old Face" w:hAnsi="Baskerville Old Face"/>
          <w:i/>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ab/>
        <w:t xml:space="preserve">Like the </w:t>
      </w:r>
      <w:r>
        <w:rPr>
          <w:rFonts w:cs="Times New Roman" w:ascii="Baskerville Old Face" w:hAnsi="Baskerville Old Face"/>
          <w:i/>
          <w:lang w:val="en-GB"/>
        </w:rPr>
        <w:t>Monologion</w:t>
      </w:r>
      <w:r>
        <w:rPr>
          <w:rFonts w:cs="Times New Roman" w:ascii="Baskerville Old Face" w:hAnsi="Baskerville Old Face"/>
          <w:lang w:val="en-GB"/>
        </w:rPr>
        <w:t xml:space="preserve">, the </w:t>
      </w:r>
      <w:r>
        <w:rPr>
          <w:rFonts w:cs="Times New Roman" w:ascii="Baskerville Old Face" w:hAnsi="Baskerville Old Face"/>
          <w:i/>
          <w:lang w:val="en-GB"/>
        </w:rPr>
        <w:t>Proslogion</w:t>
      </w:r>
      <w:r>
        <w:rPr>
          <w:rFonts w:cs="Times New Roman" w:ascii="Baskerville Old Face" w:hAnsi="Baskerville Old Face"/>
          <w:lang w:val="en-GB"/>
        </w:rPr>
        <w:t xml:space="preserve"> is an example of meditating on a </w:t>
      </w:r>
      <w:r>
        <w:rPr>
          <w:rFonts w:cs="Times New Roman" w:ascii="Baskerville Old Face" w:hAnsi="Baskerville Old Face"/>
          <w:i/>
          <w:lang w:val="en-GB"/>
        </w:rPr>
        <w:t>ratio</w:t>
      </w:r>
      <w:r>
        <w:rPr>
          <w:rFonts w:cs="Times New Roman" w:ascii="Baskerville Old Face" w:hAnsi="Baskerville Old Face"/>
          <w:lang w:val="en-GB"/>
        </w:rPr>
        <w:t xml:space="preserve"> </w:t>
      </w:r>
      <w:r>
        <w:rPr>
          <w:rFonts w:cs="Times New Roman" w:ascii="Baskerville Old Face" w:hAnsi="Baskerville Old Face"/>
          <w:i/>
          <w:lang w:val="en-GB"/>
        </w:rPr>
        <w:t>fidei</w:t>
      </w:r>
      <w:r>
        <w:rPr>
          <w:rFonts w:cs="Times New Roman" w:ascii="Baskerville Old Face" w:hAnsi="Baskerville Old Face"/>
          <w:lang w:val="en-GB"/>
        </w:rPr>
        <w:t xml:space="preserve"> – in this case, the notion </w:t>
      </w:r>
      <w:r>
        <w:rPr>
          <w:rFonts w:cs="Times New Roman" w:ascii="Baskerville Old Face" w:hAnsi="Baskerville Old Face"/>
          <w:i/>
          <w:lang w:val="en-GB"/>
        </w:rPr>
        <w:t xml:space="preserve">that than which nothing greater can be thought. </w:t>
      </w:r>
      <w:r>
        <w:rPr>
          <w:rFonts w:cs="Times New Roman" w:ascii="Baskerville Old Face" w:hAnsi="Baskerville Old Face"/>
          <w:lang w:val="en-GB"/>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lang w:val="en-GB"/>
        </w:rPr>
        <w:t>ratio fidei</w:t>
      </w:r>
      <w:r>
        <w:rPr>
          <w:rFonts w:cs="Times New Roman" w:ascii="Baskerville Old Face" w:hAnsi="Baskerville Old Face"/>
          <w:lang w:val="en-GB"/>
        </w:rPr>
        <w:t xml:space="preserve">, called a </w:t>
      </w:r>
      <w:r>
        <w:rPr>
          <w:rFonts w:cs="Times New Roman" w:ascii="Baskerville Old Face" w:hAnsi="Baskerville Old Face"/>
          <w:i/>
          <w:iCs/>
          <w:lang w:val="en-GB"/>
        </w:rPr>
        <w:t xml:space="preserve">cogitatio </w:t>
      </w:r>
      <w:r>
        <w:rPr>
          <w:rFonts w:cs="Times New Roman" w:ascii="Baskerville Old Face" w:hAnsi="Baskerville Old Face"/>
          <w:lang w:val="en-GB"/>
        </w:rPr>
        <w:t xml:space="preserve">in relation to his possessing it, to serve as an </w:t>
      </w:r>
      <w:r>
        <w:rPr>
          <w:rFonts w:cs="Times New Roman" w:ascii="Baskerville Old Face" w:hAnsi="Baskerville Old Face"/>
          <w:i/>
          <w:iCs/>
          <w:lang w:val="en-GB"/>
        </w:rPr>
        <w:t>argumentum</w:t>
      </w:r>
      <w:r>
        <w:rPr>
          <w:rFonts w:cs="Times New Roman" w:ascii="Baskerville Old Face" w:hAnsi="Baskerville Old Face"/>
          <w:lang w:val="en-GB"/>
        </w:rPr>
        <w:t xml:space="preserve">. The </w:t>
      </w:r>
      <w:r>
        <w:rPr>
          <w:rFonts w:cs="Times New Roman" w:ascii="Baskerville Old Face" w:hAnsi="Baskerville Old Face"/>
          <w:i/>
          <w:lang w:val="en-GB"/>
        </w:rPr>
        <w:t>ratio</w:t>
      </w:r>
      <w:r>
        <w:rPr>
          <w:rFonts w:cs="Times New Roman" w:ascii="Baskerville Old Face" w:hAnsi="Baskerville Old Face"/>
          <w:lang w:val="en-GB"/>
        </w:rPr>
        <w:t xml:space="preserve"> is ‘that than which nothing greater can be thought’, taken up as an </w:t>
      </w:r>
      <w:r>
        <w:rPr>
          <w:rFonts w:cs="Times New Roman" w:ascii="Baskerville Old Face" w:hAnsi="Baskerville Old Face"/>
          <w:i/>
          <w:lang w:val="en-GB"/>
        </w:rPr>
        <w:t>argumentum</w:t>
      </w:r>
      <w:r>
        <w:rPr>
          <w:rFonts w:cs="Times New Roman" w:ascii="Baskerville Old Face" w:hAnsi="Baskerville Old Face"/>
          <w:lang w:val="en-GB"/>
        </w:rPr>
        <w:t xml:space="preserve">, i.e. a middle term in a series of syllogisms running as follows: </w:t>
      </w:r>
    </w:p>
    <w:p>
      <w:pPr>
        <w:pStyle w:val="Standard"/>
        <w:spacing w:lineRule="auto" w:line="480" w:before="0" w:after="160"/>
        <w:jc w:val="both"/>
        <w:rPr>
          <w:lang w:val="en-GB"/>
        </w:rPr>
      </w:pPr>
      <w:r>
        <w:rPr>
          <w:rFonts w:cs="Times New Roman" w:ascii="Baskerville Old Face" w:hAnsi="Baskerville Old Face"/>
          <w:lang w:val="en-GB"/>
        </w:rPr>
        <w:t xml:space="preserve">Major Premise: </w:t>
        <w:tab/>
        <w:t>That than which nothing greater can be thought exists in reality, is the highest good, etc.</w:t>
      </w:r>
    </w:p>
    <w:p>
      <w:pPr>
        <w:pStyle w:val="Standard"/>
        <w:spacing w:lineRule="auto" w:line="480" w:before="0" w:after="160"/>
        <w:jc w:val="both"/>
        <w:rPr>
          <w:lang w:val="en-GB"/>
        </w:rPr>
      </w:pPr>
      <w:r>
        <w:rPr>
          <w:rFonts w:cs="Times New Roman" w:ascii="Baskerville Old Face" w:hAnsi="Baskerville Old Face"/>
          <w:u w:val="single"/>
          <w:lang w:val="en-GB"/>
        </w:rPr>
        <w:t>Minor Premise: God is that than which nothing greater can be thought</w:t>
      </w:r>
    </w:p>
    <w:p>
      <w:pPr>
        <w:pStyle w:val="Standard"/>
        <w:spacing w:lineRule="auto" w:line="480" w:before="0" w:after="160"/>
        <w:jc w:val="both"/>
        <w:rPr>
          <w:lang w:val="en-GB"/>
        </w:rPr>
      </w:pPr>
      <w:r>
        <w:rPr>
          <w:rFonts w:cs="Times New Roman" w:ascii="Baskerville Old Face" w:hAnsi="Baskerville Old Face"/>
          <w:lang w:val="en-GB"/>
        </w:rPr>
        <w:t xml:space="preserve">Conclusion: God exists in reality, etc. </w:t>
      </w:r>
    </w:p>
    <w:p>
      <w:pPr>
        <w:pStyle w:val="Standard"/>
        <w:spacing w:lineRule="auto" w:line="480" w:before="0" w:after="160"/>
        <w:jc w:val="both"/>
        <w:rPr>
          <w:lang w:val="en-GB"/>
        </w:rPr>
      </w:pPr>
      <w:r>
        <w:rPr>
          <w:rFonts w:cs="Times New Roman" w:ascii="Baskerville Old Face" w:hAnsi="Baskerville Old Face"/>
          <w:lang w:val="en-GB"/>
        </w:rPr>
        <w:t xml:space="preserve">Each of the above arguments is an example of the Themistian topic </w:t>
      </w:r>
      <w:r>
        <w:rPr>
          <w:rFonts w:cs="Times New Roman" w:ascii="Baskerville Old Face" w:hAnsi="Baskerville Old Face"/>
          <w:i/>
          <w:lang w:val="en-GB"/>
        </w:rPr>
        <w:t xml:space="preserve">from a description </w:t>
      </w:r>
      <w:r>
        <w:rPr>
          <w:rFonts w:cs="Times New Roman" w:ascii="Baskerville Old Face" w:hAnsi="Baskerville Old Face"/>
          <w:lang w:val="en-GB"/>
        </w:rPr>
        <w:t>(</w:t>
      </w:r>
      <w:r>
        <w:rPr>
          <w:rFonts w:cs="Times New Roman" w:ascii="Baskerville Old Face" w:hAnsi="Baskerville Old Face"/>
          <w:i/>
          <w:lang w:val="en-GB"/>
        </w:rPr>
        <w:t>a descriptione</w:t>
      </w:r>
      <w:r>
        <w:rPr>
          <w:rFonts w:cs="Times New Roman" w:ascii="Baskerville Old Face" w:hAnsi="Baskerville Old Face"/>
          <w:lang w:val="en-GB"/>
        </w:rPr>
        <w:t xml:space="preserve">), itself grouped among the topics </w:t>
      </w:r>
      <w:r>
        <w:rPr>
          <w:rFonts w:cs="Times New Roman" w:ascii="Baskerville Old Face" w:hAnsi="Baskerville Old Face"/>
          <w:i/>
          <w:lang w:val="en-GB"/>
        </w:rPr>
        <w:t xml:space="preserve">from substance </w:t>
      </w:r>
      <w:r>
        <w:rPr>
          <w:rFonts w:cs="Times New Roman" w:ascii="Baskerville Old Face" w:hAnsi="Baskerville Old Face"/>
          <w:lang w:val="en-GB"/>
        </w:rPr>
        <w:t>(</w:t>
      </w:r>
      <w:r>
        <w:rPr>
          <w:rFonts w:cs="Times New Roman" w:ascii="Baskerville Old Face" w:hAnsi="Baskerville Old Face"/>
          <w:i/>
          <w:lang w:val="en-GB"/>
        </w:rPr>
        <w:t>a substantia</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43"/>
      </w:r>
      <w:r>
        <w:rPr>
          <w:rFonts w:cs="Times New Roman" w:ascii="Baskerville Old Face" w:hAnsi="Baskerville Old Face"/>
          <w:lang w:val="en-GB"/>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lang w:val="en-GB"/>
        </w:rPr>
        <w:footnoteReference w:id="44"/>
      </w:r>
      <w:r>
        <w:rPr>
          <w:rFonts w:cs="Times New Roman" w:ascii="Baskerville Old Face" w:hAnsi="Baskerville Old Face"/>
          <w:lang w:val="en-GB"/>
        </w:rPr>
        <w:t xml:space="preserve"> it cannot qualify as an example of the topic </w:t>
      </w:r>
      <w:r>
        <w:rPr>
          <w:rFonts w:cs="Times New Roman" w:ascii="Baskerville Old Face" w:hAnsi="Baskerville Old Face"/>
          <w:i/>
          <w:lang w:val="en-GB"/>
        </w:rPr>
        <w:t xml:space="preserve">from a definition </w:t>
      </w:r>
      <w:r>
        <w:rPr>
          <w:rFonts w:cs="Times New Roman" w:ascii="Baskerville Old Face" w:hAnsi="Baskerville Old Face"/>
          <w:lang w:val="en-GB"/>
        </w:rPr>
        <w:t>(</w:t>
      </w:r>
      <w:r>
        <w:rPr>
          <w:rFonts w:cs="Times New Roman" w:ascii="Baskerville Old Face" w:hAnsi="Baskerville Old Face"/>
          <w:i/>
          <w:lang w:val="en-GB"/>
        </w:rPr>
        <w:t>a diffinitione</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 xml:space="preserve">The topic is an </w:t>
      </w:r>
      <w:r>
        <w:rPr>
          <w:rFonts w:cs="Times New Roman" w:ascii="Baskerville Old Face" w:hAnsi="Baskerville Old Face"/>
          <w:i/>
          <w:lang w:val="en-GB"/>
        </w:rPr>
        <w:t xml:space="preserve">intrinsic </w:t>
      </w:r>
      <w:r>
        <w:rPr>
          <w:rFonts w:cs="Times New Roman" w:ascii="Baskerville Old Face" w:hAnsi="Baskerville Old Face"/>
          <w:lang w:val="en-GB"/>
        </w:rPr>
        <w:t xml:space="preserve">topic, one where the major term’s relation to the minor is elicited directly from the </w:t>
      </w:r>
      <w:r>
        <w:rPr>
          <w:rFonts w:cs="Times New Roman" w:ascii="Baskerville Old Face" w:hAnsi="Baskerville Old Face"/>
          <w:i/>
          <w:lang w:val="en-GB"/>
        </w:rPr>
        <w:t>argumentum</w:t>
      </w:r>
      <w:r>
        <w:rPr>
          <w:rFonts w:cs="Times New Roman" w:ascii="Baskerville Old Face" w:hAnsi="Baskerville Old Face"/>
          <w:lang w:val="en-GB"/>
        </w:rPr>
        <w:t xml:space="preserve">, usually in a straightforwardly syllogistic manner. Intrinsic topics contrast with </w:t>
      </w:r>
      <w:r>
        <w:rPr>
          <w:rFonts w:cs="Times New Roman" w:ascii="Baskerville Old Face" w:hAnsi="Baskerville Old Face"/>
          <w:i/>
          <w:lang w:val="en-GB"/>
        </w:rPr>
        <w:t xml:space="preserve">extrinsic </w:t>
      </w:r>
      <w:r>
        <w:rPr>
          <w:rFonts w:cs="Times New Roman" w:ascii="Baskerville Old Face" w:hAnsi="Baskerville Old Face"/>
          <w:lang w:val="en-GB"/>
        </w:rPr>
        <w:t>topics,</w:t>
      </w:r>
      <w:r>
        <w:rPr>
          <w:rStyle w:val="FootnoteAnchor"/>
          <w:rFonts w:cs="Times New Roman" w:ascii="Baskerville Old Face" w:hAnsi="Baskerville Old Face"/>
          <w:lang w:val="en-GB"/>
        </w:rPr>
        <w:footnoteReference w:id="45"/>
      </w:r>
      <w:r>
        <w:rPr>
          <w:rFonts w:cs="Times New Roman" w:ascii="Baskerville Old Face" w:hAnsi="Baskerville Old Face"/>
          <w:lang w:val="en-GB"/>
        </w:rPr>
        <w:t xml:space="preserve"> where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bears a synthetic relation – proportionality, contrariety, etc. – to the other terms of the argument; and </w:t>
      </w:r>
      <w:r>
        <w:rPr>
          <w:rFonts w:cs="Times New Roman" w:ascii="Baskerville Old Face" w:hAnsi="Baskerville Old Face"/>
          <w:i/>
          <w:lang w:val="en-GB"/>
        </w:rPr>
        <w:t xml:space="preserve">middle </w:t>
      </w:r>
      <w:r>
        <w:rPr>
          <w:rFonts w:cs="Times New Roman" w:ascii="Baskerville Old Face" w:hAnsi="Baskerville Old Face"/>
          <w:lang w:val="en-GB"/>
        </w:rPr>
        <w:t>topics, which as the name suggests, are in some sense between intrinsic and extrinsic.</w:t>
      </w:r>
    </w:p>
    <w:p>
      <w:pPr>
        <w:pStyle w:val="Standard"/>
        <w:spacing w:lineRule="auto" w:line="480" w:before="0" w:after="160"/>
        <w:jc w:val="both"/>
        <w:rPr>
          <w:lang w:val="en-GB"/>
        </w:rPr>
      </w:pPr>
      <w:r>
        <w:rPr>
          <w:rFonts w:cs="Times New Roman" w:ascii="Baskerville Old Face" w:hAnsi="Baskerville Old Face"/>
          <w:lang w:val="en-GB"/>
        </w:rPr>
        <w:tab/>
        <w:t xml:space="preserve">The order in which Anselm presents the divine attributes in the </w:t>
      </w:r>
      <w:r>
        <w:rPr>
          <w:rFonts w:cs="Times New Roman" w:ascii="Baskerville Old Face" w:hAnsi="Baskerville Old Face"/>
          <w:i/>
          <w:lang w:val="en-GB"/>
        </w:rPr>
        <w:t>Proslogion</w:t>
      </w:r>
      <w:r>
        <w:rPr>
          <w:rFonts w:cs="Times New Roman" w:ascii="Baskerville Old Face" w:hAnsi="Baskerville Old Face"/>
          <w:lang w:val="en-GB"/>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lang w:val="en-GB"/>
        </w:rPr>
        <w:footnoteReference w:id="46"/>
      </w:r>
      <w:r>
        <w:rPr>
          <w:rFonts w:cs="Times New Roman" w:ascii="Baskerville Old Face" w:hAnsi="Baskerville Old Face"/>
          <w:lang w:val="en-GB"/>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lang w:val="en-GB"/>
        </w:rPr>
        <w:t xml:space="preserve">anything </w:t>
      </w:r>
      <w:r>
        <w:rPr>
          <w:rFonts w:cs="Times New Roman" w:ascii="Baskerville Old Face" w:hAnsi="Baskerville Old Face"/>
          <w:lang w:val="en-GB"/>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lang w:val="en-GB"/>
        </w:rPr>
      </w:pPr>
      <w:r>
        <w:rPr>
          <w:rFonts w:cs="Times New Roman" w:ascii="Baskerville Old Face" w:hAnsi="Baskerville Old Face"/>
          <w:lang w:val="en-GB"/>
        </w:rPr>
        <w:tab/>
        <w:t xml:space="preserve">To support his major premises, Anselm uses </w:t>
      </w:r>
      <w:r>
        <w:rPr>
          <w:rFonts w:cs="Times New Roman" w:ascii="Baskerville Old Face" w:hAnsi="Baskerville Old Face"/>
          <w:i/>
          <w:lang w:val="en-GB"/>
        </w:rPr>
        <w:t xml:space="preserve">reductio </w:t>
      </w:r>
      <w:r>
        <w:rPr>
          <w:rFonts w:cs="Times New Roman" w:ascii="Baskerville Old Face" w:hAnsi="Baskerville Old Face"/>
          <w:lang w:val="en-GB"/>
        </w:rPr>
        <w:t xml:space="preserve">proofs. All of these are cases of the middle topic </w:t>
      </w:r>
      <w:r>
        <w:rPr>
          <w:rFonts w:cs="Times New Roman" w:ascii="Baskerville Old Face" w:hAnsi="Baskerville Old Face"/>
          <w:i/>
          <w:lang w:val="en-GB"/>
        </w:rPr>
        <w:t>from division</w:t>
      </w:r>
      <w:r>
        <w:rPr>
          <w:rFonts w:cs="Times New Roman" w:ascii="Baskerville Old Face" w:hAnsi="Baskerville Old Face"/>
          <w:lang w:val="en-GB"/>
        </w:rPr>
        <w:t xml:space="preserve"> (</w:t>
      </w:r>
      <w:r>
        <w:rPr>
          <w:rFonts w:cs="Times New Roman" w:ascii="Baskerville Old Face" w:hAnsi="Baskerville Old Face"/>
          <w:i/>
          <w:lang w:val="en-GB"/>
        </w:rPr>
        <w:t>ex divisione</w:t>
      </w:r>
      <w:r>
        <w:rPr>
          <w:rFonts w:cs="Times New Roman" w:ascii="Baskerville Old Face" w:hAnsi="Baskerville Old Face"/>
          <w:lang w:val="en-GB"/>
        </w:rPr>
        <w:t>), which is similar to, but not quite the same as, disjunctive syllogism.</w:t>
      </w:r>
      <w:r>
        <w:rPr>
          <w:rStyle w:val="FootnoteAnchor"/>
          <w:rFonts w:cs="Times New Roman" w:ascii="Baskerville Old Face" w:hAnsi="Baskerville Old Face"/>
          <w:lang w:val="en-GB"/>
        </w:rPr>
        <w:footnoteReference w:id="47"/>
      </w:r>
      <w:r>
        <w:rPr>
          <w:rFonts w:cs="Times New Roman" w:ascii="Baskerville Old Face" w:hAnsi="Baskerville Old Face"/>
          <w:lang w:val="en-GB"/>
        </w:rPr>
        <w:t xml:space="preserve"> The topic </w:t>
      </w:r>
      <w:r>
        <w:rPr>
          <w:rFonts w:cs="Times New Roman" w:ascii="Baskerville Old Face" w:hAnsi="Baskerville Old Face"/>
          <w:i/>
          <w:lang w:val="en-GB"/>
        </w:rPr>
        <w:t>from division</w:t>
      </w:r>
      <w:r>
        <w:rPr>
          <w:rFonts w:cs="Times New Roman" w:ascii="Baskerville Old Face" w:hAnsi="Baskerville Old Face"/>
          <w:lang w:val="en-GB"/>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lang w:val="en-GB"/>
        </w:rPr>
      </w:pPr>
      <w:r>
        <w:rPr>
          <w:rFonts w:cs="Times New Roman" w:ascii="Baskerville Old Face" w:hAnsi="Baskerville Old Face"/>
          <w:lang w:val="en-GB"/>
        </w:rPr>
        <w:t>That than which nothing greater can be thought is F or G</w:t>
      </w:r>
    </w:p>
    <w:p>
      <w:pPr>
        <w:pStyle w:val="Standard"/>
        <w:spacing w:lineRule="auto" w:line="480" w:before="0" w:after="160"/>
        <w:jc w:val="both"/>
        <w:rPr>
          <w:lang w:val="en-GB"/>
        </w:rPr>
      </w:pPr>
      <w:r>
        <w:rPr>
          <w:rFonts w:cs="Times New Roman" w:ascii="Baskerville Old Face" w:hAnsi="Baskerville Old Face"/>
          <w:lang w:val="en-GB"/>
        </w:rPr>
        <w:t>Assume it’s F</w:t>
      </w:r>
    </w:p>
    <w:p>
      <w:pPr>
        <w:pStyle w:val="Standard"/>
        <w:spacing w:lineRule="auto" w:line="480" w:before="0" w:after="160"/>
        <w:jc w:val="both"/>
        <w:rPr>
          <w:lang w:val="en-GB"/>
        </w:rPr>
      </w:pPr>
      <w:r>
        <w:rPr>
          <w:rFonts w:cs="Times New Roman" w:ascii="Baskerville Old Face" w:hAnsi="Baskerville Old Face"/>
          <w:lang w:val="en-GB"/>
        </w:rPr>
        <w:t>...</w:t>
      </w:r>
    </w:p>
    <w:p>
      <w:pPr>
        <w:pStyle w:val="Standard"/>
        <w:spacing w:lineRule="auto" w:line="480" w:before="0" w:after="160"/>
        <w:jc w:val="both"/>
        <w:rPr>
          <w:lang w:val="en-GB"/>
        </w:rPr>
      </w:pPr>
      <w:r>
        <w:rPr>
          <w:rFonts w:cs="Times New Roman" w:ascii="Baskerville Old Face" w:hAnsi="Baskerville Old Face"/>
          <w:u w:val="single"/>
          <w:lang w:val="en-GB"/>
        </w:rPr>
        <w:t>It’s not F</w:t>
      </w:r>
    </w:p>
    <w:p>
      <w:pPr>
        <w:pStyle w:val="Standard"/>
        <w:spacing w:lineRule="auto" w:line="480" w:before="0" w:after="160"/>
        <w:jc w:val="both"/>
        <w:rPr>
          <w:lang w:val="en-GB"/>
        </w:rPr>
      </w:pPr>
      <w:r>
        <w:rPr>
          <w:rFonts w:cs="Times New Roman" w:ascii="Baskerville Old Face" w:hAnsi="Baskerville Old Face"/>
          <w:lang w:val="en-GB"/>
        </w:rPr>
        <w:t>Therefore, it’s G.</w:t>
      </w:r>
      <w:r>
        <w:rPr>
          <w:rStyle w:val="FootnoteAnchor"/>
          <w:rFonts w:cs="Times New Roman" w:ascii="Baskerville Old Face" w:hAnsi="Baskerville Old Face"/>
          <w:lang w:val="en-GB"/>
        </w:rPr>
        <w:footnoteReference w:id="48"/>
      </w:r>
    </w:p>
    <w:p>
      <w:pPr>
        <w:pStyle w:val="Standard"/>
        <w:spacing w:lineRule="auto" w:line="480" w:before="0" w:after="160"/>
        <w:jc w:val="both"/>
        <w:rPr>
          <w:lang w:val="en-GB"/>
        </w:rPr>
      </w:pPr>
      <w:r>
        <w:rPr>
          <w:rFonts w:cs="Times New Roman" w:ascii="Baskerville Old Face" w:hAnsi="Baskerville Old Face"/>
          <w:lang w:val="en-GB"/>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lang w:val="en-GB"/>
        </w:rPr>
      </w:pPr>
      <w:r>
        <w:rPr>
          <w:rFonts w:cs="Times New Roman" w:ascii="Baskerville Old Face" w:hAnsi="Baskerville Old Face"/>
          <w:lang w:val="en-GB"/>
        </w:rPr>
        <w:t xml:space="preserve">Though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forms a unity relying on a single </w:t>
      </w:r>
      <w:r>
        <w:rPr>
          <w:rFonts w:cs="Times New Roman" w:ascii="Baskerville Old Face" w:hAnsi="Baskerville Old Face"/>
          <w:i/>
          <w:lang w:val="en-GB"/>
        </w:rPr>
        <w:t>argumentum</w:t>
      </w:r>
      <w:r>
        <w:rPr>
          <w:rFonts w:cs="Times New Roman" w:ascii="Baskerville Old Face" w:hAnsi="Baskerville Old Face"/>
          <w:lang w:val="en-GB"/>
        </w:rPr>
        <w:t xml:space="preserve">, it does not provide one argument in the modern sense, but several, identical in all but the major term. Since this is so, Gaunilo’s </w:t>
      </w:r>
      <w:r>
        <w:rPr>
          <w:rFonts w:cs="Times New Roman" w:ascii="Baskerville Old Face" w:hAnsi="Baskerville Old Face"/>
          <w:i/>
          <w:lang w:val="en-GB"/>
        </w:rPr>
        <w:t>Pro insipiente</w:t>
      </w:r>
      <w:r>
        <w:rPr>
          <w:rFonts w:cs="Times New Roman" w:ascii="Baskerville Old Face" w:hAnsi="Baskerville Old Face"/>
          <w:lang w:val="en-GB"/>
        </w:rPr>
        <w:t xml:space="preserve"> is no longer merely a criticism of the argument of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2-3: it is a criticism of the entire work, since if it prevents linking the predicate ‘exists’ to that than which nothing greater can be thought, it will </w:t>
      </w:r>
      <w:r>
        <w:rPr>
          <w:rFonts w:cs="Times New Roman" w:ascii="Baskerville Old Face" w:hAnsi="Baskerville Old Face"/>
          <w:i/>
          <w:lang w:val="en-GB"/>
        </w:rPr>
        <w:t>a fortiori</w:t>
      </w:r>
      <w:r>
        <w:rPr>
          <w:rFonts w:cs="Times New Roman" w:ascii="Baskerville Old Face" w:hAnsi="Baskerville Old Face"/>
          <w:lang w:val="en-GB"/>
        </w:rPr>
        <w:t xml:space="preserve"> prevent any of the other things Anselm attempts to establish of God from being established.</w:t>
      </w:r>
      <w:r>
        <w:rPr>
          <w:rStyle w:val="FootnoteAnchor"/>
          <w:rFonts w:cs="Times New Roman" w:ascii="Baskerville Old Face" w:hAnsi="Baskerville Old Face"/>
          <w:lang w:val="en-GB"/>
        </w:rPr>
        <w:footnoteReference w:id="49"/>
      </w:r>
    </w:p>
    <w:p>
      <w:pPr>
        <w:pStyle w:val="Standard"/>
        <w:spacing w:lineRule="auto" w:line="480" w:before="0" w:after="160"/>
        <w:jc w:val="both"/>
        <w:rPr>
          <w:lang w:val="en-GB"/>
        </w:rPr>
      </w:pPr>
      <w:r>
        <w:rPr>
          <w:rFonts w:cs="Times New Roman" w:ascii="Baskerville Old Face" w:hAnsi="Baskerville Old Face"/>
          <w:lang w:val="en-GB"/>
        </w:rPr>
        <w:tab/>
        <w:t xml:space="preserve">In each argument of the </w:t>
      </w:r>
      <w:r>
        <w:rPr>
          <w:rFonts w:cs="Times New Roman" w:ascii="Baskerville Old Face" w:hAnsi="Baskerville Old Face"/>
          <w:i/>
          <w:lang w:val="en-GB"/>
        </w:rPr>
        <w:t>Proslogion</w:t>
      </w:r>
      <w:r>
        <w:rPr>
          <w:rFonts w:cs="Times New Roman" w:ascii="Baskerville Old Face" w:hAnsi="Baskerville Old Face"/>
          <w:lang w:val="en-GB"/>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lang w:val="en-GB"/>
        </w:rPr>
        <w:t>Proslogion</w:t>
      </w:r>
      <w:r>
        <w:rPr>
          <w:rFonts w:cs="Times New Roman" w:ascii="Baskerville Old Face" w:hAnsi="Baskerville Old Face"/>
          <w:lang w:val="en-GB"/>
        </w:rPr>
        <w:t xml:space="preserve"> or in the response to Gaunilo: that the premise is to be assumed is simply part of the rules of the monastic disputation Anselm and Gaunilo are engaging in.</w:t>
      </w:r>
      <w:r>
        <w:rPr>
          <w:rStyle w:val="FootnoteAnchor"/>
          <w:rFonts w:cs="Times New Roman" w:ascii="Baskerville Old Face" w:hAnsi="Baskerville Old Face"/>
          <w:lang w:val="en-GB"/>
        </w:rPr>
        <w:footnoteReference w:id="50"/>
      </w:r>
      <w:r>
        <w:rPr>
          <w:rFonts w:cs="Times New Roman" w:ascii="Baskerville Old Face" w:hAnsi="Baskerville Old Face"/>
          <w:lang w:val="en-GB"/>
        </w:rPr>
        <w:t xml:space="preserve"> Thus, when in section 4 of the </w:t>
      </w:r>
      <w:r>
        <w:rPr>
          <w:rFonts w:cs="Times New Roman" w:ascii="Baskerville Old Face" w:hAnsi="Baskerville Old Face"/>
          <w:i/>
          <w:lang w:val="en-GB"/>
        </w:rPr>
        <w:t xml:space="preserve">Liber Pro Insipiente </w:t>
      </w:r>
      <w:r>
        <w:rPr>
          <w:rFonts w:cs="Times New Roman" w:ascii="Baskerville Old Face" w:hAnsi="Baskerville Old Face"/>
          <w:lang w:val="en-GB"/>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lang w:val="en-GB"/>
        </w:rPr>
        <w:footnoteReference w:id="51"/>
      </w:r>
    </w:p>
    <w:p>
      <w:pPr>
        <w:pStyle w:val="Standard"/>
        <w:spacing w:lineRule="auto" w:line="480" w:before="0" w:after="160"/>
        <w:jc w:val="both"/>
        <w:rPr>
          <w:lang w:val="en-GB"/>
        </w:rPr>
      </w:pPr>
      <w:r>
        <w:rPr>
          <w:rFonts w:cs="Times New Roman" w:ascii="Baskerville Old Face" w:hAnsi="Baskerville Old Face"/>
          <w:lang w:val="en-GB"/>
        </w:rPr>
        <w:tab/>
        <w:t>This reading further reveals something about Anselm’s use of the term ‘fool’ (</w:t>
      </w:r>
      <w:r>
        <w:rPr>
          <w:rFonts w:cs="Times New Roman" w:ascii="Baskerville Old Face" w:hAnsi="Baskerville Old Face"/>
          <w:i/>
          <w:lang w:val="en-GB"/>
        </w:rPr>
        <w:t>insipiens</w:t>
      </w:r>
      <w:r>
        <w:rPr>
          <w:rFonts w:cs="Times New Roman" w:ascii="Baskerville Old Face" w:hAnsi="Baskerville Old Face"/>
          <w:lang w:val="en-GB"/>
        </w:rPr>
        <w:t xml:space="preserve">) as an appellative for the atheist. The minor premise of a topical argument must be </w:t>
      </w:r>
      <w:r>
        <w:rPr>
          <w:rFonts w:cs="Times New Roman" w:ascii="Baskerville Old Face" w:hAnsi="Baskerville Old Face"/>
          <w:i/>
          <w:lang w:val="en-GB"/>
        </w:rPr>
        <w:t>probabilis</w:t>
      </w:r>
      <w:r>
        <w:rPr>
          <w:rFonts w:cs="Times New Roman" w:ascii="Baskerville Old Face" w:hAnsi="Baskerville Old Face"/>
          <w:lang w:val="en-GB"/>
        </w:rPr>
        <w:t>, or reliable.</w:t>
      </w:r>
      <w:r>
        <w:rPr>
          <w:rStyle w:val="FootnoteAnchor"/>
          <w:rFonts w:cs="Times New Roman" w:ascii="Baskerville Old Face" w:hAnsi="Baskerville Old Face"/>
          <w:lang w:val="en-GB"/>
        </w:rPr>
        <w:footnoteReference w:id="52"/>
      </w:r>
      <w:r>
        <w:rPr>
          <w:rFonts w:cs="Times New Roman" w:ascii="Baskerville Old Face" w:hAnsi="Baskerville Old Face"/>
          <w:lang w:val="en-GB"/>
        </w:rPr>
        <w:t xml:space="preserve"> 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lang w:val="en-GB"/>
        </w:rPr>
        <w:footnoteReference w:id="53"/>
      </w:r>
      <w:r>
        <w:rPr>
          <w:rFonts w:cs="Times New Roman" w:ascii="Baskerville Old Face" w:hAnsi="Baskerville Old Face"/>
          <w:lang w:val="en-GB"/>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lang w:val="en-GB"/>
        </w:rPr>
        <w:t>Response</w:t>
      </w:r>
      <w:r>
        <w:rPr>
          <w:rFonts w:cs="Times New Roman" w:ascii="Baskerville Old Face" w:hAnsi="Baskerville Old Face"/>
          <w:lang w:val="en-GB"/>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lang w:val="en-GB"/>
        </w:rPr>
        <w:footnoteReference w:id="54"/>
      </w:r>
      <w:r>
        <w:rPr>
          <w:rFonts w:cs="Times New Roman" w:ascii="Baskerville Old Face" w:hAnsi="Baskerville Old Face"/>
          <w:lang w:val="en-GB"/>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lang w:val="en-GB"/>
        </w:rPr>
        <w:footnoteReference w:id="55"/>
      </w:r>
      <w:r>
        <w:rPr>
          <w:rFonts w:cs="Times New Roman" w:ascii="Baskerville Old Face" w:hAnsi="Baskerville Old Face"/>
          <w:lang w:val="en-GB"/>
        </w:rPr>
        <w:t xml:space="preserve"> </w:t>
      </w:r>
    </w:p>
    <w:p>
      <w:pPr>
        <w:pStyle w:val="Standard"/>
        <w:spacing w:lineRule="auto" w:line="480" w:before="0" w:after="160"/>
        <w:ind w:firstLine="720"/>
        <w:jc w:val="both"/>
        <w:rPr>
          <w:lang w:val="en-GB"/>
        </w:rPr>
      </w:pPr>
      <w:r>
        <w:rPr>
          <w:rFonts w:cs="Times New Roman" w:ascii="Baskerville Old Face" w:hAnsi="Baskerville Old Face"/>
          <w:lang w:val="en-GB"/>
        </w:rPr>
        <w:t>Given the importance Anselm ascribes to the notion ‘that than which a greater cannot be thought’</w:t>
      </w:r>
      <w:r>
        <w:rPr>
          <w:rFonts w:cs="Times New Roman" w:ascii="Baskerville Old Face" w:hAnsi="Baskerville Old Face"/>
          <w:i/>
          <w:lang w:val="en-GB"/>
        </w:rPr>
        <w:t xml:space="preserve"> </w:t>
      </w:r>
      <w:r>
        <w:rPr>
          <w:rFonts w:cs="Times New Roman" w:ascii="Baskerville Old Face" w:hAnsi="Baskerville Old Face"/>
          <w:lang w:val="en-GB"/>
        </w:rPr>
        <w:t xml:space="preserve">as the </w:t>
      </w:r>
      <w:r>
        <w:rPr>
          <w:rFonts w:cs="Times New Roman" w:ascii="Baskerville Old Face" w:hAnsi="Baskerville Old Face"/>
          <w:i/>
          <w:lang w:val="en-GB"/>
        </w:rPr>
        <w:t xml:space="preserve">unum argumentum </w:t>
      </w:r>
      <w:r>
        <w:rPr>
          <w:rFonts w:cs="Times New Roman" w:ascii="Baskerville Old Face" w:hAnsi="Baskerville Old Face"/>
          <w:lang w:val="en-GB"/>
        </w:rPr>
        <w:t xml:space="preserve">binding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together, it should not be surprising that Gaunilo’s first and principal objection to Anselm’s argument attacks precisely the fittingness of taking up this </w:t>
      </w:r>
      <w:r>
        <w:rPr>
          <w:rFonts w:cs="Times New Roman" w:ascii="Baskerville Old Face" w:hAnsi="Baskerville Old Face"/>
          <w:i/>
          <w:lang w:val="en-GB"/>
        </w:rPr>
        <w:t>ratio</w:t>
      </w:r>
      <w:r>
        <w:rPr>
          <w:rFonts w:cs="Times New Roman" w:ascii="Baskerville Old Face" w:hAnsi="Baskerville Old Face"/>
          <w:lang w:val="en-GB"/>
        </w:rPr>
        <w:t xml:space="preserve"> as an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56"/>
      </w:r>
      <w:r>
        <w:rPr>
          <w:rFonts w:cs="Times New Roman" w:ascii="Baskerville Old Face" w:hAnsi="Baskerville Old Face"/>
          <w:lang w:val="en-GB"/>
        </w:rPr>
        <w:t xml:space="preserve"> </w:t>
      </w:r>
    </w:p>
    <w:p>
      <w:pPr>
        <w:pStyle w:val="Standard"/>
        <w:spacing w:lineRule="auto" w:line="480" w:before="0" w:after="160"/>
        <w:ind w:left="900" w:hanging="0"/>
        <w:jc w:val="both"/>
        <w:rPr>
          <w:lang w:val="en-GB"/>
        </w:rPr>
      </w:pPr>
      <w:r>
        <w:rPr>
          <w:rFonts w:cs="Times New Roman" w:ascii="Baskerville Old Face" w:hAnsi="Baskerville Old Face"/>
          <w:lang w:val="en-GB"/>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lang w:val="en-GB"/>
        </w:rPr>
        <w:footnoteReference w:id="57"/>
      </w:r>
      <w:r>
        <w:rPr>
          <w:rFonts w:cs="Times New Roman" w:ascii="Baskerville Old Face" w:hAnsi="Baskerville Old Face"/>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lang w:val="en-GB"/>
        </w:rPr>
        <w:t xml:space="preserve">is understood in </w:t>
      </w:r>
      <w:r>
        <w:rPr>
          <w:rFonts w:ascii="Baskerville Old Face" w:hAnsi="Baskerville Old Face"/>
          <w:i/>
          <w:lang w:val="en-GB"/>
        </w:rPr>
        <w:t>this</w:t>
      </w:r>
      <w:r>
        <w:rPr>
          <w:rFonts w:ascii="Baskerville Old Face" w:hAnsi="Baskerville Old Face"/>
          <w:lang w:val="en-GB"/>
        </w:rPr>
        <w:t xml:space="preserve"> way, then ‘that than which a greater cannot be thought’ does not serve as an </w:t>
      </w:r>
      <w:r>
        <w:rPr>
          <w:rFonts w:ascii="Baskerville Old Face" w:hAnsi="Baskerville Old Face"/>
          <w:i/>
          <w:lang w:val="en-GB"/>
        </w:rPr>
        <w:t>argumentum</w:t>
      </w:r>
      <w:r>
        <w:rPr>
          <w:rFonts w:ascii="Baskerville Old Face" w:hAnsi="Baskerville Old Face"/>
          <w:lang w:val="en-GB"/>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lang w:val="en-GB"/>
        </w:rPr>
        <w:t xml:space="preserve">id quo maius cogitari non potest </w:t>
      </w:r>
      <w:r>
        <w:rPr>
          <w:rFonts w:ascii="Baskerville Old Face" w:hAnsi="Baskerville Old Face"/>
          <w:lang w:val="en-GB"/>
        </w:rPr>
        <w:t>at a preceding time to understanding him to exist at a later time.</w:t>
      </w:r>
      <w:r>
        <w:rPr>
          <w:rStyle w:val="FootnoteAnchor"/>
          <w:rFonts w:ascii="Baskerville Old Face" w:hAnsi="Baskerville Old Face"/>
          <w:lang w:val="en-GB"/>
        </w:rPr>
        <w:footnoteReference w:id="58"/>
      </w:r>
    </w:p>
    <w:p>
      <w:pPr>
        <w:pStyle w:val="Standard"/>
        <w:spacing w:lineRule="auto" w:line="480" w:before="0" w:after="160"/>
        <w:jc w:val="both"/>
        <w:rPr>
          <w:lang w:val="en-GB"/>
        </w:rPr>
      </w:pPr>
      <w:r>
        <w:rPr>
          <w:rFonts w:cs="Times New Roman" w:ascii="Baskerville Old Face" w:hAnsi="Baskerville Old Face"/>
          <w:lang w:val="en-GB"/>
        </w:rPr>
        <w:tab/>
        <w:t xml:space="preserve">But where Gaunilo insists the mode of being of the </w:t>
      </w:r>
      <w:r>
        <w:rPr>
          <w:rFonts w:cs="Times New Roman" w:ascii="Baskerville Old Face" w:hAnsi="Baskerville Old Face"/>
          <w:i/>
          <w:lang w:val="en-GB"/>
        </w:rPr>
        <w:t xml:space="preserve">cogitatum </w:t>
      </w:r>
      <w:r>
        <w:rPr>
          <w:rFonts w:cs="Times New Roman" w:ascii="Baskerville Old Face" w:hAnsi="Baskerville Old Face"/>
          <w:lang w:val="en-GB"/>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lang w:val="en-GB"/>
        </w:rPr>
        <w:t>Proslogion</w:t>
      </w:r>
      <w:r>
        <w:rPr>
          <w:rFonts w:cs="Times New Roman" w:ascii="Baskerville Old Face" w:hAnsi="Baskerville Old Face"/>
          <w:lang w:val="en-GB"/>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lang w:val="en-GB"/>
        </w:rPr>
      </w:pPr>
      <w:r>
        <w:rPr>
          <w:rFonts w:cs="Times New Roman" w:ascii="Baskerville Old Face" w:hAnsi="Baskerville Old Face"/>
          <w:lang w:val="en-GB"/>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lang w:val="en-GB"/>
        </w:rPr>
        <w:footnoteReference w:id="59"/>
      </w:r>
    </w:p>
    <w:p>
      <w:pPr>
        <w:pStyle w:val="Standard"/>
        <w:spacing w:lineRule="auto" w:line="480" w:before="0" w:after="160"/>
        <w:jc w:val="both"/>
        <w:rPr>
          <w:lang w:val="en-GB"/>
        </w:rPr>
      </w:pPr>
      <w:r>
        <w:rPr>
          <w:rFonts w:cs="Times New Roman" w:ascii="Baskerville Old Face" w:hAnsi="Baskerville Old Face"/>
          <w:lang w:val="en-GB"/>
        </w:rPr>
        <w:t>For Anselm, the meditator certainly has this concept ‘that than which a greater cannot be thought’ in mind, even though neither the attributes nor the mode of being of what it signifies need be specified antecedently to or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lang w:val="en-GB"/>
        </w:rPr>
      </w:pPr>
      <w:r>
        <w:rPr>
          <w:rFonts w:cs="Times New Roman" w:ascii="Baskerville Old Face" w:hAnsi="Baskerville Old Face"/>
          <w:b/>
          <w:color w:val="auto"/>
          <w:sz w:val="24"/>
          <w:szCs w:val="24"/>
          <w:lang w:val="en-GB"/>
        </w:rPr>
        <w:t>6 Conclusion</w:t>
      </w:r>
    </w:p>
    <w:p>
      <w:pPr>
        <w:pStyle w:val="Standard"/>
        <w:spacing w:lineRule="auto" w:line="480" w:before="0" w:after="160"/>
        <w:jc w:val="both"/>
        <w:rPr>
          <w:lang w:val="en-GB"/>
        </w:rPr>
      </w:pPr>
      <w:r>
        <w:rPr>
          <w:rFonts w:cs="Times New Roman" w:ascii="Baskerville Old Face" w:hAnsi="Baskerville Old Face"/>
          <w:lang w:val="en-GB"/>
        </w:rPr>
        <w:tab/>
        <w:t>Anselm, then, tells us that he is searching for</w:t>
      </w:r>
      <w:r>
        <w:rPr>
          <w:rFonts w:cs="Times New Roman" w:ascii="Baskerville Old Face" w:hAnsi="Baskerville Old Face"/>
          <w:i/>
          <w:iCs/>
          <w:lang w:val="en-GB"/>
        </w:rPr>
        <w:t xml:space="preserve"> </w:t>
      </w:r>
      <w:r>
        <w:rPr>
          <w:rFonts w:cs="Times New Roman" w:ascii="Baskerville Old Face" w:hAnsi="Baskerville Old Face"/>
          <w:lang w:val="en-GB"/>
        </w:rPr>
        <w:t xml:space="preserve">one notion, in contrast to the many of the </w:t>
      </w:r>
      <w:r>
        <w:rPr>
          <w:rFonts w:cs="Times New Roman" w:ascii="Baskerville Old Face" w:hAnsi="Baskerville Old Face"/>
          <w:i/>
          <w:iCs/>
          <w:lang w:val="en-GB"/>
        </w:rPr>
        <w:t>Monologion</w:t>
      </w:r>
      <w:r>
        <w:rPr>
          <w:rFonts w:cs="Times New Roman" w:ascii="Baskerville Old Face" w:hAnsi="Baskerville Old Face"/>
          <w:lang w:val="en-GB"/>
        </w:rPr>
        <w:t xml:space="preserve">, from which the many things believed of God could be derived. Thus, when Anselm prays ‘Therefore, Lord, who grants </w:t>
      </w:r>
      <w:r>
        <w:rPr>
          <w:rFonts w:cs="Times New Roman" w:ascii="Baskerville Old Face" w:hAnsi="Baskerville Old Face"/>
          <w:i/>
          <w:lang w:val="en-GB"/>
        </w:rPr>
        <w:t xml:space="preserve">intellectus </w:t>
      </w:r>
      <w:r>
        <w:rPr>
          <w:rFonts w:cs="Times New Roman" w:ascii="Baskerville Old Face" w:hAnsi="Baskerville Old Face"/>
          <w:lang w:val="en-GB"/>
        </w:rPr>
        <w:t xml:space="preserve">to </w:t>
      </w:r>
      <w:r>
        <w:rPr>
          <w:rFonts w:cs="Times New Roman" w:ascii="Baskerville Old Face" w:hAnsi="Baskerville Old Face"/>
          <w:i/>
          <w:lang w:val="en-GB"/>
        </w:rPr>
        <w:t xml:space="preserve">fides, </w:t>
      </w:r>
      <w:r>
        <w:rPr>
          <w:rFonts w:cs="Times New Roman" w:ascii="Baskerville Old Face" w:hAnsi="Baskerville Old Face"/>
          <w:lang w:val="en-GB"/>
        </w:rPr>
        <w:t>grant that I may understand that you are, as we believe, and that you are what we believe,’</w:t>
      </w:r>
      <w:r>
        <w:rPr>
          <w:rStyle w:val="FootnoteAnchor"/>
          <w:rFonts w:cs="Times New Roman" w:ascii="Baskerville Old Face" w:hAnsi="Baskerville Old Face"/>
          <w:lang w:val="en-GB"/>
        </w:rPr>
        <w:footnoteReference w:id="60"/>
      </w:r>
      <w:r>
        <w:rPr>
          <w:rFonts w:cs="Times New Roman" w:ascii="Baskerville Old Face" w:hAnsi="Baskerville Old Face"/>
          <w:lang w:val="en-GB"/>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lang w:val="en-GB"/>
        </w:rPr>
        <w:t>intellectus</w:t>
      </w:r>
      <w:r>
        <w:rPr>
          <w:rFonts w:cs="Times New Roman" w:ascii="Baskerville Old Face" w:hAnsi="Baskerville Old Face"/>
          <w:lang w:val="en-GB"/>
        </w:rPr>
        <w:t>) of something making secure (</w:t>
      </w:r>
      <w:r>
        <w:rPr>
          <w:rFonts w:cs="Times New Roman" w:ascii="Baskerville Old Face" w:hAnsi="Baskerville Old Face"/>
          <w:i/>
          <w:lang w:val="en-GB"/>
        </w:rPr>
        <w:t>faciens fidem</w:t>
      </w:r>
      <w:r>
        <w:rPr>
          <w:rFonts w:cs="Times New Roman" w:ascii="Baskerville Old Face" w:hAnsi="Baskerville Old Face"/>
          <w:lang w:val="en-GB"/>
        </w:rPr>
        <w:t xml:space="preserve">), i.e. the notion ‘that than which a greater cannot be thought.’ For this reason, the </w:t>
      </w:r>
      <w:r>
        <w:rPr>
          <w:rFonts w:cs="Times New Roman" w:ascii="Baskerville Old Face" w:hAnsi="Baskerville Old Face"/>
          <w:i/>
          <w:iCs/>
          <w:lang w:val="en-GB"/>
        </w:rPr>
        <w:t xml:space="preserve">Proslogion </w:t>
      </w:r>
      <w:r>
        <w:rPr>
          <w:rFonts w:cs="Times New Roman" w:ascii="Baskerville Old Face" w:hAnsi="Baskerville Old Face"/>
          <w:lang w:val="en-GB"/>
        </w:rPr>
        <w:t>as a whole is a meditation on the substance of something worthy of belief (</w:t>
      </w:r>
      <w:r>
        <w:rPr>
          <w:rFonts w:cs="Times New Roman" w:ascii="Baskerville Old Face" w:hAnsi="Baskerville Old Face"/>
          <w:i/>
          <w:iCs/>
          <w:lang w:val="en-GB"/>
        </w:rPr>
        <w:t>ratio fidei</w:t>
      </w:r>
      <w:r>
        <w:rPr>
          <w:rFonts w:cs="Times New Roman" w:ascii="Baskerville Old Face" w:hAnsi="Baskerville Old Face"/>
          <w:lang w:val="en-GB"/>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lang w:val="en-GB"/>
        </w:rPr>
        <w:t>ratio</w:t>
      </w:r>
      <w:r>
        <w:rPr>
          <w:rFonts w:cs="Times New Roman" w:ascii="Baskerville Old Face" w:hAnsi="Baskerville Old Face"/>
          <w:lang w:val="en-GB"/>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lang w:val="en-GB"/>
        </w:rPr>
        <w:t>id quo maius cogitari non potest</w:t>
      </w:r>
      <w:r>
        <w:rPr>
          <w:rFonts w:cs="Times New Roman" w:ascii="Baskerville Old Face" w:hAnsi="Baskerville Old Face"/>
          <w:lang w:val="en-GB"/>
        </w:rPr>
        <w:t>.</w:t>
      </w:r>
    </w:p>
    <w:p>
      <w:pPr>
        <w:pStyle w:val="Standard"/>
        <w:spacing w:lineRule="auto" w:line="480" w:before="0" w:after="160"/>
        <w:jc w:val="both"/>
        <w:rPr>
          <w:lang w:val="en-GB"/>
        </w:rPr>
      </w:pPr>
      <w:r>
        <w:rPr>
          <w:rFonts w:cs="Times New Roman" w:ascii="Baskerville Old Face" w:hAnsi="Baskerville Old Face"/>
          <w:b/>
          <w:lang w:val="en-GB"/>
        </w:rPr>
        <w:t>Bibliography and Abbreviations</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Abelson, Paul. </w:t>
      </w:r>
      <w:r>
        <w:rPr>
          <w:rFonts w:cs="Times New Roman" w:ascii="Baskerville Old Face" w:hAnsi="Baskerville Old Face"/>
          <w:i/>
          <w:lang w:val="en-GB"/>
        </w:rPr>
        <w:t>The Seven Liberal Arts: A Study in Mediaeval Culture.</w:t>
      </w:r>
      <w:r>
        <w:rPr>
          <w:rFonts w:cs="Times New Roman" w:ascii="Baskerville Old Face" w:hAnsi="Baskerville Old Face"/>
          <w:lang w:val="en-GB"/>
        </w:rPr>
        <w:t xml:space="preserve"> New York: Teachers College, Columbia University Press, 1906.</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Anselm of Canterbury, Saint. </w:t>
      </w:r>
      <w:r>
        <w:rPr>
          <w:rFonts w:cs="Times New Roman" w:ascii="Baskerville Old Face" w:hAnsi="Baskerville Old Face"/>
          <w:i/>
          <w:lang w:val="en-GB"/>
        </w:rPr>
        <w:t>De Grammatico</w:t>
      </w:r>
      <w:r>
        <w:rPr>
          <w:rFonts w:cs="Times New Roman" w:ascii="Baskerville Old Face" w:hAnsi="Baskerville Old Face"/>
          <w:lang w:val="en-GB"/>
        </w:rPr>
        <w:t>. In Henry 1974: 48-80 [</w:t>
      </w:r>
      <w:r>
        <w:rPr>
          <w:rFonts w:cs="Times New Roman" w:ascii="Baskerville Old Face" w:hAnsi="Baskerville Old Face"/>
          <w:i/>
          <w:lang w:val="en-GB"/>
        </w:rPr>
        <w:t>DG</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xml:space="preserve">. Liber apologeticus contra Gaunilonem respondentem pro insipiente. </w:t>
      </w:r>
      <w:r>
        <w:rPr>
          <w:rFonts w:cs="Times New Roman" w:ascii="Baskerville Old Face" w:hAnsi="Baskerville Old Face"/>
          <w:lang w:val="en-GB"/>
        </w:rPr>
        <w:t>[</w:t>
      </w:r>
      <w:r>
        <w:rPr>
          <w:rFonts w:cs="Times New Roman" w:ascii="Baskerville Old Face" w:hAnsi="Baskerville Old Face"/>
          <w:i/>
          <w:iCs/>
          <w:lang w:val="en-GB"/>
        </w:rPr>
        <w:t>Resp.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Proslogion</w:t>
      </w:r>
      <w:r>
        <w:rPr>
          <w:rFonts w:cs="Times New Roman" w:ascii="Baskerville Old Face" w:hAnsi="Baskerville Old Face"/>
          <w:lang w:val="en-GB"/>
        </w:rPr>
        <w:t>. [</w:t>
      </w:r>
      <w:r>
        <w:rPr>
          <w:rFonts w:cs="Times New Roman" w:ascii="Baskerville Old Face" w:hAnsi="Baskerville Old Face"/>
          <w:i/>
          <w:iCs/>
          <w:lang w:val="en-GB"/>
        </w:rPr>
        <w:t>Pros.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Cs/>
          <w:lang w:val="en-GB"/>
        </w:rPr>
        <w:t xml:space="preserve">Archambault, Jacob. ‘Aquinas, the </w:t>
      </w:r>
      <w:r>
        <w:rPr>
          <w:rFonts w:cs="Times New Roman" w:ascii="Baskerville Old Face" w:hAnsi="Baskerville Old Face"/>
          <w:i/>
          <w:iCs/>
          <w:lang w:val="en-GB"/>
        </w:rPr>
        <w:t>A Priori/A Posteriori</w:t>
      </w:r>
      <w:r>
        <w:rPr>
          <w:rFonts w:cs="Times New Roman" w:ascii="Baskerville Old Face" w:hAnsi="Baskerville Old Face"/>
          <w:iCs/>
          <w:lang w:val="en-GB"/>
        </w:rPr>
        <w:t xml:space="preserve"> Distinction, and the Kantian Dependency Thesis.’ </w:t>
      </w:r>
      <w:r>
        <w:rPr>
          <w:rFonts w:cs="Times New Roman" w:ascii="Baskerville Old Face" w:hAnsi="Baskerville Old Face"/>
          <w:i/>
          <w:iCs/>
          <w:lang w:val="en-GB"/>
        </w:rPr>
        <w:t xml:space="preserve">Religious Studies </w:t>
      </w:r>
      <w:r>
        <w:rPr>
          <w:rFonts w:cs="Times New Roman" w:ascii="Baskerville Old Face" w:hAnsi="Baskerville Old Face"/>
          <w:iCs/>
          <w:lang w:val="en-GB"/>
        </w:rPr>
        <w:t>50 (2014): 175-192.</w:t>
      </w:r>
    </w:p>
    <w:p>
      <w:pPr>
        <w:pStyle w:val="ListParagraph"/>
        <w:spacing w:lineRule="auto" w:line="480"/>
        <w:ind w:left="720" w:hanging="720"/>
        <w:jc w:val="both"/>
        <w:rPr>
          <w:lang w:val="en-GB"/>
        </w:rPr>
      </w:pPr>
      <w:r>
        <w:rPr>
          <w:rFonts w:cs="Times New Roman" w:ascii="Baskerville Old Face" w:hAnsi="Baskerville Old Face"/>
          <w:sz w:val="24"/>
          <w:szCs w:val="24"/>
          <w:lang w:val="en-GB"/>
        </w:rPr>
        <w:t xml:space="preserve">G. Lacombe </w:t>
      </w:r>
      <w:r>
        <w:rPr>
          <w:rFonts w:cs="Times New Roman" w:ascii="Baskerville Old Face" w:hAnsi="Baskerville Old Face"/>
          <w:i/>
          <w:sz w:val="24"/>
          <w:szCs w:val="24"/>
          <w:lang w:val="en-GB"/>
        </w:rPr>
        <w:t xml:space="preserve">et al., </w:t>
      </w:r>
      <w:r>
        <w:rPr>
          <w:rFonts w:cs="Times New Roman" w:ascii="Baskerville Old Face" w:hAnsi="Baskerville Old Face"/>
          <w:sz w:val="24"/>
          <w:szCs w:val="24"/>
          <w:lang w:val="en-GB"/>
        </w:rPr>
        <w:t xml:space="preserve">eds. </w:t>
      </w:r>
      <w:r>
        <w:rPr>
          <w:rFonts w:cs="Times New Roman" w:ascii="Baskerville Old Face" w:hAnsi="Baskerville Old Face"/>
          <w:i/>
          <w:sz w:val="24"/>
          <w:szCs w:val="24"/>
          <w:lang w:val="en-GB"/>
        </w:rPr>
        <w:t>Codices: Pars Prior</w:t>
      </w:r>
      <w:r>
        <w:rPr>
          <w:rFonts w:cs="Times New Roman" w:ascii="Baskerville Old Face" w:hAnsi="Baskerville Old Face"/>
          <w:sz w:val="24"/>
          <w:szCs w:val="24"/>
          <w:lang w:val="en-GB"/>
        </w:rPr>
        <w:t>, ed. Rome: La Libreria dello Stato, 1939. [</w:t>
      </w:r>
      <w:r>
        <w:rPr>
          <w:rFonts w:cs="Times New Roman" w:ascii="Baskerville Old Face" w:hAnsi="Baskerville Old Face"/>
          <w:i/>
          <w:sz w:val="24"/>
          <w:szCs w:val="24"/>
          <w:lang w:val="en-GB"/>
        </w:rPr>
        <w:t>Aristoteles Latinus</w:t>
      </w:r>
      <w:r>
        <w:rPr>
          <w:rFonts w:cs="Times New Roman" w:ascii="Baskerville Old Face" w:hAnsi="Baskerville Old Face"/>
          <w:sz w:val="24"/>
          <w:szCs w:val="24"/>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Barth, Karl. </w:t>
      </w:r>
      <w:r>
        <w:rPr>
          <w:rFonts w:cs="Times New Roman" w:ascii="Baskerville Old Face" w:hAnsi="Baskerville Old Face"/>
          <w:i/>
          <w:lang w:val="en-GB"/>
        </w:rPr>
        <w:t>Anselm: Fides Quaerens Intellectum</w:t>
      </w:r>
      <w:r>
        <w:rPr>
          <w:rFonts w:cs="Times New Roman" w:ascii="Baskerville Old Face" w:hAnsi="Baskerville Old Face"/>
          <w:lang w:val="en-GB"/>
        </w:rPr>
        <w:t>. Translated by Ian W. Robertson. London: SCM Press, 1960.</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 xml:space="preserve">Beach, Alison I., and Isabelle Cochelin, eds. </w:t>
      </w:r>
      <w:r>
        <w:rPr>
          <w:rFonts w:cs="Times New Roman" w:ascii="Baskerville Old Face" w:hAnsi="Baskerville Old Face"/>
          <w:i/>
          <w:iCs/>
          <w:strike w:val="false"/>
          <w:dstrike w:val="false"/>
          <w:lang w:val="en-GB"/>
        </w:rPr>
        <w:t>The Cambridge History of Medieval Monasticism in the Latin West</w:t>
      </w:r>
      <w:r>
        <w:rPr>
          <w:rFonts w:cs="Times New Roman" w:ascii="Baskerville Old Face" w:hAnsi="Baskerville Old Face"/>
          <w:i w:val="false"/>
          <w:iCs w:val="false"/>
          <w:strike w:val="false"/>
          <w:dstrike w:val="false"/>
          <w:lang w:val="en-GB"/>
        </w:rPr>
        <w:t>. Cambridge: Cambridge University Press, 2020. doi:10.1017/9781107323742.</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Becker</w:t>
      </w:r>
      <w:r>
        <w:rPr>
          <w:rFonts w:cs="Times New Roman" w:ascii="Baskerville Old Face" w:hAnsi="Baskerville Old Face"/>
          <w:lang w:val="en-GB"/>
        </w:rPr>
        <w:t xml:space="preserve">, Gustav Heinrich. </w:t>
      </w:r>
      <w:r>
        <w:rPr>
          <w:rFonts w:cs="Times New Roman" w:ascii="Baskerville Old Face" w:hAnsi="Baskerville Old Face"/>
          <w:i/>
          <w:lang w:val="en-GB"/>
        </w:rPr>
        <w:t>Catalogi Bibliothecarum Antiqui</w:t>
      </w:r>
      <w:r>
        <w:rPr>
          <w:rFonts w:cs="Times New Roman" w:ascii="Baskerville Old Face" w:hAnsi="Baskerville Old Face"/>
          <w:lang w:val="en-GB"/>
        </w:rPr>
        <w:t xml:space="preserve">. Bonn: M. Cohen et filium, 1885.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Bencivenga, Ermanno. </w:t>
      </w:r>
      <w:r>
        <w:rPr>
          <w:rFonts w:cs="Times New Roman" w:ascii="Baskerville Old Face" w:hAnsi="Baskerville Old Face"/>
          <w:i/>
          <w:lang w:val="en-GB"/>
        </w:rPr>
        <w:t>Logic and Other Nonsense: The Case of Anselm and His God.</w:t>
      </w:r>
      <w:r>
        <w:rPr>
          <w:rFonts w:cs="Times New Roman" w:ascii="Baskerville Old Face" w:hAnsi="Baskerville Old Face"/>
          <w:lang w:val="en-GB"/>
        </w:rPr>
        <w:t xml:space="preserve"> Princeton: Princeton University Press, 1993.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Boethius. </w:t>
      </w:r>
      <w:r>
        <w:rPr>
          <w:rFonts w:cs="Times New Roman" w:ascii="Baskerville Old Face" w:hAnsi="Baskerville Old Face"/>
          <w:i/>
          <w:lang w:val="en-GB"/>
        </w:rPr>
        <w:t>De Differentiis Topicis</w:t>
      </w:r>
      <w:r>
        <w:rPr>
          <w:rFonts w:cs="Times New Roman" w:ascii="Baskerville Old Face" w:hAnsi="Baskerville Old Face"/>
          <w:lang w:val="en-GB"/>
        </w:rPr>
        <w:t xml:space="preserve">. In </w:t>
      </w:r>
      <w:r>
        <w:rPr>
          <w:rFonts w:cs="Times New Roman" w:ascii="Baskerville Old Face" w:hAnsi="Baskerville Old Face"/>
          <w:i/>
          <w:lang w:val="en-GB"/>
        </w:rPr>
        <w:t>PL 64</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1173-1216. [</w:t>
      </w:r>
      <w:r>
        <w:rPr>
          <w:rFonts w:cs="Times New Roman" w:ascii="Baskerville Old Face" w:hAnsi="Baskerville Old Face"/>
          <w:i/>
          <w:lang w:val="en-GB"/>
        </w:rPr>
        <w:t>BDT</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w:t>
      </w:r>
      <w:r>
        <w:rPr>
          <w:rFonts w:cs="Times New Roman" w:ascii="Baskerville Old Face" w:hAnsi="Baskerville Old Face"/>
          <w:i/>
          <w:lang w:val="en-GB"/>
        </w:rPr>
        <w:t>In Categorias Aristotelis libri quatuor</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159-254. [</w:t>
      </w:r>
      <w:r>
        <w:rPr>
          <w:rFonts w:cs="Times New Roman" w:ascii="Baskerville Old Face" w:hAnsi="Baskerville Old Face"/>
          <w:i/>
          <w:lang w:val="en-GB"/>
        </w:rPr>
        <w:t>BC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Librum Aristotelis De Interpretatione Libri Duo</w:t>
      </w:r>
      <w:r>
        <w:rPr>
          <w:rFonts w:cs="Times New Roman" w:ascii="Baskerville Old Face" w:hAnsi="Baskerville Old Face"/>
          <w:lang w:val="en-GB"/>
        </w:rPr>
        <w:t xml:space="preserve">. </w:t>
      </w:r>
      <w:r>
        <w:rPr>
          <w:rFonts w:cs="Times New Roman" w:ascii="Baskerville Old Face" w:hAnsi="Baskerville Old Face"/>
          <w:i/>
          <w:lang w:val="en-GB"/>
        </w:rPr>
        <w:t xml:space="preserve">Editio Prima, Seu Minora Commentaria. </w:t>
      </w:r>
      <w:r>
        <w:rPr>
          <w:rFonts w:cs="Times New Roman" w:ascii="Baskerville Old Face" w:hAnsi="Baskerville Old Face"/>
          <w:lang w:val="en-GB"/>
        </w:rPr>
        <w:t xml:space="preserve">In </w:t>
      </w:r>
      <w:r>
        <w:rPr>
          <w:rFonts w:cs="Times New Roman" w:ascii="Baskerville Old Face" w:hAnsi="Baskerville Old Face"/>
          <w:i/>
          <w:lang w:val="en-GB"/>
        </w:rPr>
        <w:t xml:space="preserve">PL </w:t>
      </w:r>
      <w:r>
        <w:rPr>
          <w:rFonts w:cs="Times New Roman" w:ascii="Baskerville Old Face" w:hAnsi="Baskerville Old Face"/>
          <w:lang w:val="en-GB"/>
        </w:rPr>
        <w:t>64, 293-392. [</w:t>
      </w:r>
      <w:r>
        <w:rPr>
          <w:rFonts w:cs="Times New Roman" w:ascii="Baskerville Old Face" w:hAnsi="Baskerville Old Face"/>
          <w:i/>
          <w:lang w:val="en-GB"/>
        </w:rPr>
        <w:t>BDIL</w:t>
      </w:r>
      <w:r>
        <w:rPr>
          <w:rFonts w:cs="Times New Roman" w:ascii="Baskerville Old Face" w:hAnsi="Baskerville Old Face"/>
          <w:lang w:val="en-GB"/>
        </w:rPr>
        <w:t xml:space="preserve">] </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w:t>
      </w:r>
      <w:r>
        <w:rPr>
          <w:rFonts w:ascii="Baskerville Old Face" w:hAnsi="Baskerville Old Face"/>
          <w:i/>
          <w:iCs/>
          <w:u w:val="none"/>
          <w:lang w:val="en-GB"/>
        </w:rPr>
        <w:t>Commentarii in Librum Aristotelis Peri Hermeneias. Pars Posterior</w:t>
      </w:r>
      <w:r>
        <w:rPr>
          <w:rFonts w:ascii="Baskerville Old Face" w:hAnsi="Baskerville Old Face"/>
          <w:i w:val="false"/>
          <w:iCs w:val="false"/>
          <w:u w:val="none"/>
          <w:lang w:val="en-GB"/>
        </w:rPr>
        <w:t>. Edited by Karl Meiser. Leipzig: Teubner, 1880. [</w:t>
      </w:r>
      <w:r>
        <w:rPr>
          <w:rFonts w:ascii="Baskerville Old Face" w:hAnsi="Baskerville Old Face"/>
          <w:i/>
          <w:iCs/>
          <w:u w:val="none"/>
          <w:lang w:val="en-GB"/>
        </w:rPr>
        <w:t>BDIG</w:t>
      </w:r>
      <w:r>
        <w:rPr>
          <w:rFonts w:ascii="Baskerville Old Face" w:hAnsi="Baskerville Old Face"/>
          <w:i w:val="false"/>
          <w:iCs w:val="false"/>
          <w:u w:val="non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Topica Ciceronis Commentariorum Libri Sex</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64, 1039-1174. [</w:t>
      </w:r>
      <w:r>
        <w:rPr>
          <w:rFonts w:cs="Times New Roman" w:ascii="Baskerville Old Face" w:hAnsi="Baskerville Old Face"/>
          <w:i/>
          <w:lang w:val="en-GB"/>
        </w:rPr>
        <w:t>BTC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Commentaria In Porphyrium a se translatum</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71-158. [</w:t>
      </w:r>
      <w:r>
        <w:rPr>
          <w:rFonts w:cs="Times New Roman" w:ascii="Baskerville Old Face" w:hAnsi="Baskerville Old Face"/>
          <w:i/>
          <w:lang w:val="en-GB"/>
        </w:rPr>
        <w:t>BCP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val="false"/>
          <w:iCs w:val="false"/>
          <w:u w:val="none"/>
          <w:lang w:val="en-GB"/>
        </w:rPr>
        <w:t>Bonaventure.</w:t>
      </w:r>
      <w:r>
        <w:rPr>
          <w:rFonts w:cs="Times New Roman" w:ascii="Baskerville Old Face" w:hAnsi="Baskerville Old Face"/>
          <w:i/>
          <w:u w:val="none"/>
          <w:lang w:val="en-GB"/>
        </w:rPr>
        <w:t xml:space="preserve"> </w:t>
      </w:r>
      <w:r>
        <w:rPr>
          <w:rFonts w:cs="Times New Roman" w:ascii="Baskerville Old Face" w:hAnsi="Baskerville Old Face"/>
          <w:i/>
          <w:lang w:val="en-GB"/>
        </w:rPr>
        <w:t>Quaestiones Disputatae de Mysterio Trinitatis</w:t>
      </w:r>
      <w:r>
        <w:rPr>
          <w:rFonts w:cs="Times New Roman" w:ascii="Baskerville Old Face" w:hAnsi="Baskerville Old Face"/>
          <w:lang w:val="en-GB"/>
        </w:rPr>
        <w:t xml:space="preserve">. In </w:t>
      </w:r>
      <w:r>
        <w:rPr>
          <w:rFonts w:cs="Times New Roman" w:ascii="Baskerville Old Face" w:hAnsi="Baskerville Old Face"/>
          <w:i/>
          <w:lang w:val="en-GB"/>
        </w:rPr>
        <w:t>Opera Omnia</w:t>
      </w:r>
      <w:r>
        <w:rPr>
          <w:rFonts w:cs="Times New Roman" w:ascii="Baskerville Old Face" w:hAnsi="Baskerville Old Face"/>
          <w:lang w:val="en-GB"/>
        </w:rPr>
        <w:t>, tom. V.  Quaracchi, 1891.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Bosman, Bianca. ‘The Roots of the Notion of Containment in Theories of Consequence.’ </w:t>
      </w:r>
      <w:r>
        <w:rPr>
          <w:rFonts w:cs="Times New Roman" w:ascii="Baskerville Old Face" w:hAnsi="Baskerville Old Face"/>
          <w:i/>
          <w:iCs/>
          <w:lang w:val="en-GB"/>
        </w:rPr>
        <w:t xml:space="preserve">Vivarium </w:t>
      </w:r>
      <w:r>
        <w:rPr>
          <w:rFonts w:cs="Times New Roman" w:ascii="Baskerville Old Face" w:hAnsi="Baskerville Old Face"/>
          <w:i w:val="false"/>
          <w:iCs w:val="false"/>
          <w:lang w:val="en-GB"/>
        </w:rPr>
        <w:t>56 (2018): 63-72.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Cicero, Marcus Tullius. </w:t>
      </w:r>
      <w:r>
        <w:rPr>
          <w:rFonts w:cs="Times New Roman" w:ascii="Baskerville Old Face" w:hAnsi="Baskerville Old Face"/>
          <w:i/>
          <w:iCs/>
          <w:lang w:val="en-GB"/>
        </w:rPr>
        <w:t>Topica</w:t>
      </w:r>
      <w:r>
        <w:rPr>
          <w:rFonts w:cs="Times New Roman" w:ascii="Baskerville Old Face" w:hAnsi="Baskerville Old Face"/>
          <w:lang w:val="en-GB"/>
        </w:rPr>
        <w:t>. Edited and translated with an introduction and commentary by Tobias Reinhardt. Oxford: Oxford University Press, 2003. [</w:t>
      </w:r>
      <w:r>
        <w:rPr>
          <w:rFonts w:cs="Times New Roman" w:ascii="Baskerville Old Face" w:hAnsi="Baskerville Old Face"/>
          <w:i/>
          <w:iCs/>
          <w:lang w:val="en-GB"/>
        </w:rPr>
        <w:t>Topica</w:t>
      </w:r>
      <w:r>
        <w:rPr>
          <w:rFonts w:cs="Times New Roman" w:ascii="Baskerville Old Face" w:hAnsi="Baskerville Old Face"/>
          <w:lang w:val="en-GB"/>
        </w:rPr>
        <w:t>]</w:t>
      </w:r>
    </w:p>
    <w:p>
      <w:pPr>
        <w:pStyle w:val="Standard"/>
        <w:bidi w:val="0"/>
        <w:spacing w:lineRule="auto" w:line="480" w:before="0" w:after="160"/>
        <w:ind w:left="720" w:hanging="720"/>
        <w:jc w:val="both"/>
        <w:rPr>
          <w:lang w:val="en-GB"/>
        </w:rPr>
      </w:pPr>
      <w:r>
        <w:rPr>
          <w:rFonts w:cs="Times New Roman" w:ascii="Baskerville Old Face" w:hAnsi="Baskerville Old Face"/>
          <w:lang w:val="en-GB"/>
        </w:rPr>
        <w:t xml:space="preserve">Colish, Marcia L.. </w:t>
      </w:r>
      <w:r>
        <w:rPr>
          <w:rFonts w:cs="Times New Roman" w:ascii="Baskerville Old Face" w:hAnsi="Baskerville Old Face"/>
          <w:i/>
          <w:iCs/>
          <w:lang w:val="en-GB"/>
        </w:rPr>
        <w:t>The Stoic Tradition from Antiquity to the Early Middle Ages: Stoicism in classical Latin literature</w:t>
      </w:r>
      <w:r>
        <w:rPr>
          <w:rFonts w:cs="Times New Roman" w:ascii="Baskerville Old Face" w:hAnsi="Baskerville Old Face"/>
          <w:lang w:val="en-GB"/>
        </w:rPr>
        <w:t xml:space="preserve">. Leiden: E.J. Brill, 1990.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Eadmer. </w:t>
      </w:r>
      <w:r>
        <w:rPr>
          <w:rFonts w:cs="Times New Roman" w:ascii="Baskerville Old Face" w:hAnsi="Baskerville Old Face"/>
          <w:i/>
          <w:lang w:val="en-GB"/>
        </w:rPr>
        <w:t>Vita Anselmi</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158, 49-118. [</w:t>
      </w:r>
      <w:r>
        <w:rPr>
          <w:rFonts w:cs="Times New Roman" w:ascii="Baskerville Old Face" w:hAnsi="Baskerville Old Face"/>
          <w:i/>
          <w:lang w:val="en-GB"/>
        </w:rPr>
        <w:t>VA</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Gasper, Giles. </w:t>
      </w:r>
      <w:r>
        <w:rPr>
          <w:rFonts w:cs="Times New Roman" w:ascii="Baskerville Old Face" w:hAnsi="Baskerville Old Face"/>
          <w:i/>
          <w:lang w:val="en-GB"/>
        </w:rPr>
        <w:t>Anselm of Canterbury and his Theological Inheritance.</w:t>
      </w:r>
      <w:r>
        <w:rPr>
          <w:rFonts w:cs="Times New Roman" w:ascii="Baskerville Old Face" w:hAnsi="Baskerville Old Face"/>
          <w:lang w:val="en-GB"/>
        </w:rPr>
        <w:t xml:space="preserve"> Aldershot: Ashgate, 2004.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Gaunilo. </w:t>
      </w:r>
      <w:r>
        <w:rPr>
          <w:rFonts w:cs="Times New Roman" w:ascii="Baskerville Old Face" w:hAnsi="Baskerville Old Face"/>
          <w:i/>
          <w:iCs/>
          <w:lang w:val="en-GB"/>
        </w:rPr>
        <w:t xml:space="preserve">Liber pro insipiente adversus S. Anselmi in proslogio ratiocinationem. </w:t>
      </w:r>
      <w:r>
        <w:rPr>
          <w:rFonts w:cs="Times New Roman" w:ascii="Baskerville Old Face" w:hAnsi="Baskerville Old Face"/>
          <w:lang w:val="en-GB"/>
        </w:rPr>
        <w:t>[</w:t>
      </w:r>
      <w:r>
        <w:rPr>
          <w:rFonts w:cs="Times New Roman" w:ascii="Baskerville Old Face" w:hAnsi="Baskerville Old Face"/>
          <w:i/>
          <w:iCs/>
          <w:lang w:val="en-GB"/>
        </w:rPr>
        <w:t>Pro Ins.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Gilson, Etienne. </w:t>
      </w:r>
      <w:r>
        <w:rPr>
          <w:rFonts w:cs="Times New Roman" w:ascii="Baskerville Old Face" w:hAnsi="Baskerville Old Face"/>
          <w:i/>
          <w:lang w:val="en-GB"/>
        </w:rPr>
        <w:t>Reason and Revelation in the Middle Ages.</w:t>
      </w:r>
      <w:r>
        <w:rPr>
          <w:rFonts w:cs="Times New Roman" w:ascii="Baskerville Old Face" w:hAnsi="Baskerville Old Face"/>
          <w:lang w:val="en-GB"/>
        </w:rPr>
        <w:t xml:space="preserve"> New York: Scribner, 1951.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Green-Pedersen, Niels J. </w:t>
      </w:r>
      <w:r>
        <w:rPr>
          <w:rFonts w:cs="Times New Roman" w:ascii="Baskerville Old Face" w:hAnsi="Baskerville Old Face"/>
          <w:i/>
          <w:iCs/>
          <w:lang w:val="en-GB"/>
        </w:rPr>
        <w:t>The Tradition of the Topics in the Middle Ages: Commentaries on Aristotle's and Boethius' 'Topics'.</w:t>
      </w:r>
      <w:r>
        <w:rPr>
          <w:rFonts w:cs="Times New Roman" w:ascii="Baskerville Old Face" w:hAnsi="Baskerville Old Face"/>
          <w:lang w:val="en-GB"/>
        </w:rPr>
        <w:t xml:space="preserve"> Munich: Philosophia Verlag, 1984.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Henry, Desmond Paul. </w:t>
      </w:r>
      <w:r>
        <w:rPr>
          <w:rFonts w:cs="Times New Roman" w:ascii="Baskerville Old Face" w:hAnsi="Baskerville Old Face"/>
          <w:i/>
          <w:lang w:val="en-GB"/>
        </w:rPr>
        <w:t>Commentary on De Grammatico: The Historical-Logical Dimensions of a Dialogue of St. Anselm’s.</w:t>
      </w:r>
      <w:r>
        <w:rPr>
          <w:rFonts w:cs="Times New Roman" w:ascii="Baskerville Old Face" w:hAnsi="Baskerville Old Face"/>
          <w:lang w:val="en-GB"/>
        </w:rPr>
        <w:t xml:space="preserve"> Dordrecht: D. Reidel, 1974.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Hine, H. M. ‘The Manuscript Tradition of Seneca’s Natural Questions: Some Manuscripts Related to Z.’ </w:t>
      </w:r>
      <w:r>
        <w:rPr>
          <w:rFonts w:cs="Times New Roman" w:ascii="Baskerville Old Face" w:hAnsi="Baskerville Old Face"/>
          <w:i/>
          <w:iCs/>
          <w:lang w:val="en-GB"/>
        </w:rPr>
        <w:t xml:space="preserve">Promethius </w:t>
      </w:r>
      <w:r>
        <w:rPr>
          <w:rFonts w:cs="Times New Roman" w:ascii="Baskerville Old Face" w:hAnsi="Baskerville Old Face"/>
          <w:i w:val="false"/>
          <w:iCs w:val="false"/>
          <w:lang w:val="en-GB"/>
        </w:rPr>
        <w:t>5 (1979): 63-72.</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‘The Manuscript Tradition of Seneca’s Natural Questions: Addenda.’ </w:t>
      </w:r>
      <w:r>
        <w:rPr>
          <w:rFonts w:ascii="Baskerville Old Face" w:hAnsi="Baskerville Old Face"/>
          <w:i/>
          <w:iCs/>
          <w:u w:val="none"/>
          <w:lang w:val="en-GB"/>
        </w:rPr>
        <w:t xml:space="preserve">The Classical Quarterly </w:t>
      </w:r>
      <w:r>
        <w:rPr>
          <w:rFonts w:ascii="Baskerville Old Face" w:hAnsi="Baskerville Old Face"/>
          <w:i w:val="false"/>
          <w:iCs w:val="false"/>
          <w:u w:val="none"/>
          <w:lang w:val="en-GB"/>
        </w:rPr>
        <w:t>42, no. 2 (1992): 558-62. doi:10.1017/S0009838800016232.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Holopainen, Toivo. ‘Anselm’s </w:t>
      </w:r>
      <w:r>
        <w:rPr>
          <w:rFonts w:cs="Times New Roman" w:ascii="Baskerville Old Face" w:hAnsi="Baskerville Old Face"/>
          <w:i/>
          <w:lang w:val="en-GB"/>
        </w:rPr>
        <w:t>Argumentum</w:t>
      </w:r>
      <w:r>
        <w:rPr>
          <w:rFonts w:cs="Times New Roman" w:ascii="Baskerville Old Face" w:hAnsi="Baskerville Old Face"/>
          <w:lang w:val="en-GB"/>
        </w:rPr>
        <w:t xml:space="preserve"> and the Early Medieval Theory of Argument.’ </w:t>
      </w:r>
      <w:r>
        <w:rPr>
          <w:rFonts w:cs="Times New Roman" w:ascii="Baskerville Old Face" w:hAnsi="Baskerville Old Face"/>
          <w:i/>
          <w:lang w:val="en-GB"/>
        </w:rPr>
        <w:t xml:space="preserve">Vivarium </w:t>
      </w:r>
      <w:r>
        <w:rPr>
          <w:rFonts w:cs="Times New Roman" w:ascii="Baskerville Old Face" w:hAnsi="Baskerville Old Face"/>
          <w:lang w:val="en-GB"/>
        </w:rPr>
        <w:t>45 (2007): 1-29.</w:t>
      </w:r>
    </w:p>
    <w:p>
      <w:pPr>
        <w:pStyle w:val="Standard"/>
        <w:spacing w:lineRule="auto" w:line="480" w:before="0" w:after="160"/>
        <w:ind w:left="720" w:hanging="720"/>
        <w:jc w:val="both"/>
        <w:rPr>
          <w:lang w:val="en-GB"/>
        </w:rPr>
      </w:pPr>
      <w:r>
        <w:rPr>
          <w:rFonts w:eastAsia="Times New Roman" w:cs="Times New Roman" w:ascii="Baskerville Old Face" w:hAnsi="Baskerville Old Face"/>
          <w:lang w:val="en-GB"/>
        </w:rPr>
        <w:t>Klima, Gyula</w:t>
      </w:r>
      <w:r>
        <w:rPr>
          <w:rFonts w:cs="Times New Roman" w:ascii="Baskerville Old Face" w:hAnsi="Baskerville Old Face"/>
          <w:lang w:val="en-GB"/>
        </w:rPr>
        <w:t xml:space="preserve">. ‘The Medieval Problem of Universals,’ </w:t>
      </w:r>
      <w:r>
        <w:rPr>
          <w:rFonts w:cs="Times New Roman" w:ascii="Baskerville Old Face" w:hAnsi="Baskerville Old Face"/>
          <w:i/>
          <w:lang w:val="en-GB"/>
        </w:rPr>
        <w:t xml:space="preserve">The Stanford Encyclopedia of Philosophy </w:t>
      </w:r>
      <w:r>
        <w:rPr>
          <w:rFonts w:cs="Times New Roman" w:ascii="Baskerville Old Face" w:hAnsi="Baskerville Old Face"/>
          <w:lang w:val="en-GB"/>
        </w:rPr>
        <w:t>(Fall 2013 edition). Edited by Edward N. Zalta. URL = http://plato.stanford.edu/archives/fall2013/entries/universals-medieval/&gt;.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‘Two Summulae, Two Ways of Doing Logic: Peter of Spain’s ‘realism’ and John Buridan’s ‘nominalism’.’ in </w:t>
      </w:r>
      <w:r>
        <w:rPr>
          <w:rFonts w:cs="Times New Roman" w:ascii="Baskerville Old Face" w:hAnsi="Baskerville Old Face"/>
          <w:i/>
          <w:lang w:val="en-GB"/>
        </w:rPr>
        <w:t>Methods and Methodologies: Aristotelian logic East and West, 500-1500</w:t>
      </w:r>
      <w:r>
        <w:rPr>
          <w:rFonts w:cs="Times New Roman" w:ascii="Baskerville Old Face" w:hAnsi="Baskerville Old Face"/>
          <w:lang w:val="en-GB"/>
        </w:rPr>
        <w:t xml:space="preserve">, edited by Margaret Cameron and John Marenbon, 109-126. Leiden: Brill, 2011.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‘Saint Anselm’s Proof: A Problem of Reference, Intentional Identity and Mutual Understanding,’ in </w:t>
      </w:r>
      <w:r>
        <w:rPr>
          <w:rFonts w:cs="Times New Roman" w:ascii="Baskerville Old Face" w:hAnsi="Baskerville Old Face"/>
          <w:i/>
          <w:lang w:val="en-GB"/>
        </w:rPr>
        <w:t>Medieval Philosophy and Modern Times</w:t>
      </w:r>
      <w:r>
        <w:rPr>
          <w:rFonts w:cs="Times New Roman" w:ascii="Baskerville Old Face" w:hAnsi="Baskerville Old Face"/>
          <w:lang w:val="en-GB"/>
        </w:rPr>
        <w:t>, edited by</w:t>
      </w:r>
      <w:r>
        <w:rPr>
          <w:rFonts w:cs="Times New Roman" w:ascii="Baskerville Old Face" w:hAnsi="Baskerville Old Face"/>
          <w:i/>
          <w:lang w:val="en-GB"/>
        </w:rPr>
        <w:t xml:space="preserve"> </w:t>
      </w:r>
      <w:r>
        <w:rPr>
          <w:rFonts w:cs="Times New Roman" w:ascii="Baskerville Old Face" w:hAnsi="Baskerville Old Face"/>
          <w:lang w:val="en-GB"/>
        </w:rPr>
        <w:t xml:space="preserve">G. Hintikka, 69-87. The Netherlands: Kluwer, 2000.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w:t>
      </w:r>
      <w:r>
        <w:rPr>
          <w:rFonts w:cs="Times New Roman" w:ascii="Baskerville Old Face" w:hAnsi="Baskerville Old Face"/>
          <w:i/>
          <w:lang w:val="en-GB"/>
        </w:rPr>
        <w:t>Ancilla Theologiae</w:t>
      </w:r>
      <w:r>
        <w:rPr>
          <w:rFonts w:cs="Times New Roman" w:ascii="Baskerville Old Face" w:hAnsi="Baskerville Old Face"/>
          <w:lang w:val="en-GB"/>
        </w:rPr>
        <w:t xml:space="preserve"> vs. </w:t>
      </w:r>
      <w:r>
        <w:rPr>
          <w:rFonts w:cs="Times New Roman" w:ascii="Baskerville Old Face" w:hAnsi="Baskerville Old Face"/>
          <w:i/>
          <w:lang w:val="en-GB"/>
        </w:rPr>
        <w:t>Domina Philosophorum</w:t>
      </w:r>
      <w:r>
        <w:rPr>
          <w:rFonts w:cs="Times New Roman" w:ascii="Baskerville Old Face" w:hAnsi="Baskerville Old Face"/>
          <w:lang w:val="en-GB"/>
        </w:rPr>
        <w:t xml:space="preserve">: Thomas Aquinas, Latin Averroism, and the Autonomy of Philosophy.’ In </w:t>
      </w:r>
      <w:r>
        <w:rPr>
          <w:rFonts w:cs="Times New Roman" w:ascii="Baskerville Old Face" w:hAnsi="Baskerville Old Face"/>
          <w:i/>
          <w:lang w:val="en-GB"/>
        </w:rPr>
        <w:t>What is Philosophy in the Middle Ages? Proceedings of the Tenth International Congress of Medieval Philosophy</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edited</w:t>
      </w:r>
      <w:r>
        <w:rPr>
          <w:rFonts w:cs="Times New Roman" w:ascii="Baskerville Old Face" w:hAnsi="Baskerville Old Face"/>
          <w:i/>
          <w:lang w:val="en-GB"/>
        </w:rPr>
        <w:t xml:space="preserve"> </w:t>
      </w:r>
      <w:r>
        <w:rPr>
          <w:rFonts w:cs="Times New Roman" w:ascii="Baskerville Old Face" w:hAnsi="Baskerville Old Face"/>
          <w:lang w:val="en-GB"/>
        </w:rPr>
        <w:t>by J. Aertsen and A. Speer, 393-402. Berlin: Walter de Gruyter, 1998.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Leff, Michael C. ‘Boethius and the History of Medieval Rhetoric.’ </w:t>
      </w:r>
      <w:r>
        <w:rPr>
          <w:rFonts w:cs="Times New Roman" w:ascii="Baskerville Old Face" w:hAnsi="Baskerville Old Face"/>
          <w:i/>
          <w:lang w:val="en-GB"/>
        </w:rPr>
        <w:t>Central States Speech Journal</w:t>
      </w:r>
      <w:r>
        <w:rPr>
          <w:rFonts w:cs="Times New Roman" w:ascii="Baskerville Old Face" w:hAnsi="Baskerville Old Face"/>
          <w:lang w:val="en-GB"/>
        </w:rPr>
        <w:t xml:space="preserve"> 25 (1974): 135-141.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Migne, J. P. (1841-55). </w:t>
      </w:r>
      <w:r>
        <w:rPr>
          <w:rFonts w:cs="Times New Roman" w:ascii="Baskerville Old Face" w:hAnsi="Baskerville Old Face"/>
          <w:i/>
          <w:lang w:val="en-GB"/>
        </w:rPr>
        <w:t>Patrologia Latina [PL]</w:t>
      </w:r>
      <w:r>
        <w:rPr>
          <w:rFonts w:cs="Times New Roman" w:ascii="Baskerville Old Face" w:hAnsi="Baskerville Old Face"/>
          <w:lang w:val="en-GB"/>
        </w:rPr>
        <w:t xml:space="preserve">.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Nelis, Suzanne J. ‘What Lanfranc Taught, What Anselm Learned.’ </w:t>
      </w:r>
      <w:r>
        <w:rPr>
          <w:rFonts w:cs="Times New Roman" w:ascii="Baskerville Old Face" w:hAnsi="Baskerville Old Face"/>
          <w:i/>
          <w:iCs/>
          <w:lang w:val="en-GB"/>
        </w:rPr>
        <w:t xml:space="preserve">Haskins Society Journal </w:t>
      </w:r>
      <w:r>
        <w:rPr>
          <w:rFonts w:cs="Times New Roman" w:ascii="Baskerville Old Face" w:hAnsi="Baskerville Old Face"/>
          <w:i w:val="false"/>
          <w:iCs w:val="false"/>
          <w:lang w:val="en-GB"/>
        </w:rPr>
        <w:t>2 (1990): 75-82.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Priscian of Caesarea. </w:t>
      </w:r>
      <w:r>
        <w:rPr>
          <w:rFonts w:cs="Times New Roman" w:ascii="Baskerville Old Face" w:hAnsi="Baskerville Old Face"/>
          <w:i/>
          <w:lang w:val="en-GB"/>
        </w:rPr>
        <w:t xml:space="preserve">Opera. </w:t>
      </w:r>
      <w:r>
        <w:rPr>
          <w:rFonts w:cs="Times New Roman" w:ascii="Baskerville Old Face" w:hAnsi="Baskerville Old Face"/>
          <w:lang w:val="en-GB"/>
        </w:rPr>
        <w:t xml:space="preserve">Edited by August Krehl. Leipzig: Weidmann, 1819-20.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Remigius of Auxerre. </w:t>
      </w:r>
      <w:r>
        <w:rPr>
          <w:rFonts w:cs="Times New Roman" w:ascii="Baskerville Old Face" w:hAnsi="Baskerville Old Face"/>
          <w:i/>
          <w:lang w:val="en-GB"/>
        </w:rPr>
        <w:t>Commentum in Martianum Capellam, Libri I-II</w:t>
      </w:r>
      <w:r>
        <w:rPr>
          <w:rFonts w:cs="Times New Roman" w:ascii="Baskerville Old Face" w:hAnsi="Baskerville Old Face"/>
          <w:lang w:val="en-GB"/>
        </w:rPr>
        <w:t>. Edited by Cora E. Lutz. Leiden: Brill, 1962.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Scotus, John Duns. </w:t>
      </w:r>
      <w:r>
        <w:rPr>
          <w:rFonts w:cs="Times New Roman" w:ascii="Baskerville Old Face" w:hAnsi="Baskerville Old Face"/>
          <w:i/>
          <w:lang w:val="en-GB"/>
        </w:rPr>
        <w:t>A Treatise on God as First Principle</w:t>
      </w:r>
      <w:r>
        <w:rPr>
          <w:rFonts w:cs="Times New Roman" w:ascii="Baskerville Old Face" w:hAnsi="Baskerville Old Face"/>
          <w:lang w:val="en-GB"/>
        </w:rPr>
        <w:t xml:space="preserve">. Translated by A. B. Wolter. Chicago: Franciscan Herald Press, 1966. </w:t>
      </w:r>
    </w:p>
    <w:p>
      <w:pPr>
        <w:pStyle w:val="Standard"/>
        <w:bidi w:val="0"/>
        <w:spacing w:lineRule="auto" w:line="480" w:before="0" w:after="160"/>
        <w:ind w:left="720" w:hanging="720"/>
        <w:jc w:val="both"/>
        <w:rPr>
          <w:lang w:val="en-GB"/>
        </w:rPr>
      </w:pPr>
      <w:r>
        <w:rPr>
          <w:rFonts w:cs="Times New Roman" w:ascii="Baskerville Old Face" w:hAnsi="Baskerville Old Face"/>
          <w:i w:val="false"/>
          <w:iCs w:val="false"/>
          <w:u w:val="none"/>
          <w:lang w:val="en-GB"/>
        </w:rPr>
        <w:t xml:space="preserve">Smith, Andrew (trans.). </w:t>
      </w:r>
      <w:r>
        <w:rPr>
          <w:rFonts w:cs="Times New Roman" w:ascii="Baskerville Old Face" w:hAnsi="Baskerville Old Face"/>
          <w:i/>
          <w:iCs/>
          <w:u w:val="none"/>
          <w:lang w:val="en-GB"/>
        </w:rPr>
        <w:t xml:space="preserve">Boethius: </w:t>
      </w:r>
      <w:r>
        <w:rPr>
          <w:rFonts w:cs="Times New Roman" w:ascii="Baskerville Old Face" w:hAnsi="Baskerville Old Face"/>
          <w:i/>
          <w:iCs/>
          <w:lang w:val="en-GB"/>
        </w:rPr>
        <w:t>On Aristotle On Interpretation 1-3</w:t>
      </w:r>
      <w:r>
        <w:rPr>
          <w:rFonts w:cs="Times New Roman" w:ascii="Baskerville Old Face" w:hAnsi="Baskerville Old Face"/>
          <w:lang w:val="en-GB"/>
        </w:rPr>
        <w:t xml:space="preserve">. London: Bloomsbury Academic, 2010. </w:t>
      </w:r>
    </w:p>
    <w:p>
      <w:pPr>
        <w:pStyle w:val="Standard"/>
        <w:spacing w:lineRule="auto" w:line="480" w:before="0" w:after="160"/>
        <w:ind w:left="720" w:hanging="720"/>
        <w:jc w:val="both"/>
        <w:rPr>
          <w:lang w:val="en-GB"/>
        </w:rPr>
      </w:pPr>
      <w:r>
        <w:rPr>
          <w:rFonts w:cs="Times New Roman" w:ascii="Baskerville Old Face" w:hAnsi="Baskerville Old Face"/>
          <w:lang w:val="en-GB"/>
        </w:rPr>
        <w:t>Southern, R. W. ‘</w:t>
      </w:r>
      <w:r>
        <w:rPr>
          <w:rFonts w:cs="Times New Roman" w:ascii="Baskerville Old Face" w:hAnsi="Baskerville Old Face"/>
          <w:i w:val="false"/>
          <w:iCs w:val="false"/>
          <w:lang w:val="en-GB"/>
        </w:rPr>
        <w:t xml:space="preserve">Lanfranc of Bec and Berengar of Tours.’ </w:t>
      </w:r>
      <w:r>
        <w:rPr>
          <w:rFonts w:cs="Times New Roman" w:ascii="Baskerville Old Face" w:hAnsi="Baskerville Old Face"/>
          <w:i/>
          <w:iCs/>
          <w:lang w:val="en-GB"/>
        </w:rPr>
        <w:t>Studies in medieval history presented to Frederick Maurice Powicke</w:t>
      </w:r>
      <w:r>
        <w:rPr>
          <w:rFonts w:cs="Times New Roman" w:ascii="Baskerville Old Face" w:hAnsi="Baskerville Old Face"/>
          <w:i w:val="false"/>
          <w:iCs w:val="false"/>
          <w:lang w:val="en-GB"/>
        </w:rPr>
        <w:t xml:space="preserve"> (1948): 27-48.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Southern, R. W. </w:t>
      </w:r>
      <w:r>
        <w:rPr>
          <w:rFonts w:cs="Times New Roman" w:ascii="Baskerville Old Face" w:hAnsi="Baskerville Old Face"/>
          <w:i/>
          <w:lang w:val="en-GB"/>
        </w:rPr>
        <w:t>Saint Anselm and His Biographer: A Study of Monastic Life and Thought.</w:t>
      </w:r>
      <w:r>
        <w:rPr>
          <w:rFonts w:cs="Times New Roman" w:ascii="Baskerville Old Face" w:hAnsi="Baskerville Old Face"/>
          <w:lang w:val="en-GB"/>
        </w:rPr>
        <w:t xml:space="preserve"> Cambridge: Cambridge University Press, 1963.</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Sweeney, Eileen C. </w:t>
      </w:r>
      <w:r>
        <w:rPr>
          <w:rFonts w:cs="Times New Roman" w:ascii="Baskerville Old Face" w:hAnsi="Baskerville Old Face"/>
          <w:bCs/>
          <w:i/>
          <w:lang w:val="en-GB"/>
        </w:rPr>
        <w:t xml:space="preserve">Anselm of Canterbury and the Desire for the Word. </w:t>
      </w:r>
      <w:r>
        <w:rPr>
          <w:rFonts w:cs="Times New Roman" w:ascii="Baskerville Old Face" w:hAnsi="Baskerville Old Face"/>
          <w:bCs/>
          <w:lang w:val="en-GB"/>
        </w:rPr>
        <w:t>Washington, DC: CUA Press, 2012.</w:t>
      </w:r>
    </w:p>
    <w:p>
      <w:pPr>
        <w:pStyle w:val="Standard"/>
        <w:spacing w:lineRule="auto" w:line="480" w:before="0" w:after="160"/>
        <w:ind w:left="720" w:hanging="720"/>
        <w:jc w:val="both"/>
        <w:rPr>
          <w:lang w:val="en-GB"/>
        </w:rPr>
      </w:pPr>
      <w:r>
        <w:rPr>
          <w:rFonts w:cs="Times New Roman" w:ascii="Baskerville Old Face" w:hAnsi="Baskerville Old Face"/>
          <w:bCs/>
          <w:u w:val="single"/>
          <w:lang w:val="en-GB"/>
        </w:rPr>
        <w:tab/>
      </w:r>
      <w:r>
        <w:rPr>
          <w:rFonts w:cs="Times New Roman" w:ascii="Baskerville Old Face" w:hAnsi="Baskerville Old Face"/>
          <w:bCs/>
          <w:lang w:val="en-GB"/>
        </w:rPr>
        <w:t xml:space="preserve">. ‘Anselm’s ‘Proslogion’: The Desire for the Word.’ </w:t>
      </w:r>
      <w:r>
        <w:rPr>
          <w:rFonts w:cs="Times New Roman" w:ascii="Baskerville Old Face" w:hAnsi="Baskerville Old Face"/>
          <w:bCs/>
          <w:i/>
          <w:lang w:val="en-GB"/>
        </w:rPr>
        <w:t xml:space="preserve">The Saint Anselm Journal </w:t>
      </w:r>
      <w:r>
        <w:rPr>
          <w:rFonts w:cs="Times New Roman" w:ascii="Baskerville Old Face" w:hAnsi="Baskerville Old Face"/>
          <w:bCs/>
          <w:lang w:val="en-GB"/>
        </w:rPr>
        <w:t>1 (2003): 17-31.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Thomas Aquinas. </w:t>
      </w:r>
      <w:r>
        <w:rPr>
          <w:rFonts w:cs="Times New Roman" w:ascii="Baskerville Old Face" w:hAnsi="Baskerville Old Face"/>
          <w:bCs/>
          <w:i/>
          <w:iCs/>
          <w:lang w:val="en-GB"/>
        </w:rPr>
        <w:t>Summa Theologiae</w:t>
      </w:r>
      <w:r>
        <w:rPr>
          <w:rFonts w:cs="Times New Roman" w:ascii="Baskerville Old Face" w:hAnsi="Baskerville Old Face"/>
          <w:bCs/>
          <w:lang w:val="en-GB"/>
        </w:rPr>
        <w:t xml:space="preserve">, </w:t>
      </w:r>
      <w:r>
        <w:rPr>
          <w:rFonts w:cs="Times New Roman" w:ascii="Baskerville Old Face" w:hAnsi="Baskerville Old Face"/>
          <w:bCs/>
          <w:i/>
          <w:iCs/>
          <w:lang w:val="en-GB"/>
        </w:rPr>
        <w:t xml:space="preserve">Prima Pars. </w:t>
      </w:r>
      <w:r>
        <w:rPr>
          <w:rFonts w:cs="Times New Roman" w:ascii="Baskerville Old Face" w:hAnsi="Baskerville Old Face"/>
          <w:bCs/>
          <w:lang w:val="en-GB"/>
        </w:rPr>
        <w:t>Ottawa: Studii Generalis O. Pr., 1941.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Wippel, John. F., and Allan B. Wolter, eds. </w:t>
      </w:r>
      <w:r>
        <w:rPr>
          <w:rFonts w:cs="Times New Roman" w:ascii="Baskerville Old Face" w:hAnsi="Baskerville Old Face"/>
          <w:bCs/>
          <w:i/>
          <w:lang w:val="en-GB"/>
        </w:rPr>
        <w:t>Medieval Philosophy: from St. Augustine to Nicholas of Cusa</w:t>
      </w:r>
      <w:r>
        <w:rPr>
          <w:rFonts w:cs="Times New Roman" w:ascii="Baskerville Old Face" w:hAnsi="Baskerville Old Face"/>
          <w:bCs/>
          <w:lang w:val="en-GB"/>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Sweeney 2012, 4-5. At ibid., 5-6, Sweeney cites Gilson and Barth as examples of ‘philosophizing’ and ‘spiritualizing’ interpretations of Anselm’s work. See Barth 1960, 55-59; Gilson 1951, 26.</w:t>
      </w:r>
    </w:p>
    <w:p>
      <w:pPr>
        <w:pStyle w:val="Footnote"/>
        <w:jc w:val="both"/>
        <w:rPr>
          <w:lang w:val="en-GB"/>
        </w:rPr>
      </w:pPr>
      <w:r>
        <w:rPr>
          <w:rFonts w:cs="Times New Roman" w:ascii="Baskerville Old Face" w:hAnsi="Baskerville Old Face"/>
          <w:lang w:val="en-GB"/>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lang w:val="en-GB"/>
        </w:rPr>
        <w:t>coincidentia oppositorum</w:t>
      </w:r>
      <w:r>
        <w:rPr>
          <w:rFonts w:cs="Times New Roman" w:ascii="Baskerville Old Face" w:hAnsi="Baskerville Old Face"/>
          <w:lang w:val="en-GB"/>
        </w:rPr>
        <w:t xml:space="preserve"> of logic and rhetoric, reason and desire. ‘Anselm’s project in the </w:t>
      </w:r>
      <w:r>
        <w:rPr>
          <w:rFonts w:cs="Times New Roman" w:ascii="Baskerville Old Face" w:hAnsi="Baskerville Old Face"/>
          <w:i/>
          <w:lang w:val="en-GB"/>
        </w:rPr>
        <w:t>Proslogion</w:t>
      </w:r>
      <w:r>
        <w:rPr>
          <w:rFonts w:cs="Times New Roman" w:ascii="Baskerville Old Face" w:hAnsi="Baskerville Old Face"/>
          <w:lang w:val="en-GB"/>
        </w:rPr>
        <w:t xml:space="preserve"> is one that Anselm himself views as both necessary and paradoxical’ (Sweeney 2003, 17). </w:t>
      </w:r>
      <w:r>
        <w:rPr>
          <w:rFonts w:cs="Times New Roman" w:ascii="Baskerville Old Face" w:hAnsi="Baskerville Old Face"/>
          <w:lang w:val="en-GB"/>
        </w:rPr>
        <w:t xml:space="preserve">But </w:t>
      </w:r>
      <w:r>
        <w:rPr>
          <w:rFonts w:cs="Times New Roman" w:ascii="Baskerville Old Face" w:hAnsi="Baskerville Old Face"/>
          <w:lang w:val="en-GB"/>
        </w:rPr>
        <w:t xml:space="preserve">such a reading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To paint the situation a bit more accurately, what is studied is </w:t>
      </w:r>
      <w:r>
        <w:rPr>
          <w:rFonts w:cs="Times New Roman" w:ascii="Baskerville Old Face" w:hAnsi="Baskerville Old Face"/>
          <w:i/>
          <w:lang w:val="en-GB"/>
        </w:rPr>
        <w:t xml:space="preserve">theories of </w:t>
      </w:r>
      <w:r>
        <w:rPr>
          <w:rFonts w:cs="Times New Roman" w:ascii="Baskerville Old Face" w:hAnsi="Baskerville Old Face"/>
          <w:lang w:val="en-GB"/>
        </w:rPr>
        <w:t xml:space="preserve">mental content, thereby effecting a redoubling of the primacy of the subject putting forth these theories. </w:t>
      </w:r>
    </w:p>
  </w:footnote>
  <w:footnote w:id="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At least, this is how the story is told. For reasons to think the story isn’t quite as simple as its retelling, see Klima 1998.</w:t>
      </w:r>
    </w:p>
  </w:footnote>
  <w:footnote w:id="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Becker</w:t>
      </w:r>
      <w:r>
        <w:rPr>
          <w:rFonts w:cs="Times New Roman" w:ascii="Baskerville Old Face" w:hAnsi="Baskerville Old Face"/>
          <w:color w:val="FF0000"/>
          <w:lang w:val="en-GB"/>
        </w:rPr>
        <w:t xml:space="preserve"> </w:t>
      </w:r>
      <w:r>
        <w:rPr>
          <w:rFonts w:cs="Times New Roman" w:ascii="Baskerville Old Face" w:hAnsi="Baskerville Old Face"/>
          <w:lang w:val="en-GB"/>
        </w:rPr>
        <w:t>1885, 266</w:t>
      </w:r>
      <w:r>
        <w:rPr>
          <w:rFonts w:cs="Times New Roman" w:ascii="Baskerville Old Face" w:hAnsi="Baskerville Old Face"/>
          <w:b/>
          <w:lang w:val="en-GB"/>
        </w:rPr>
        <w:t>.</w:t>
      </w:r>
    </w:p>
  </w:footnote>
  <w:footnote w:id="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division of the work has some justification, since it is only the first two books of the </w:t>
      </w:r>
      <w:r>
        <w:rPr>
          <w:rFonts w:cs="Times New Roman" w:ascii="Baskerville Old Face" w:hAnsi="Baskerville Old Face"/>
          <w:i/>
          <w:lang w:val="en-GB"/>
        </w:rPr>
        <w:t xml:space="preserve">de nuptiis </w:t>
      </w:r>
      <w:r>
        <w:rPr>
          <w:rFonts w:cs="Times New Roman" w:ascii="Baskerville Old Face" w:hAnsi="Baskerville Old Face"/>
          <w:lang w:val="en-GB"/>
        </w:rPr>
        <w:t xml:space="preserve">that tell the myth of the marriage of the god Mercury to philology; while 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lang w:val="en-GB"/>
        </w:rPr>
        <w:t xml:space="preserve"> </w:t>
      </w:r>
      <w:r>
        <w:rPr>
          <w:rFonts w:cs="Times New Roman" w:ascii="Baskerville Old Face" w:hAnsi="Baskerville Old Face"/>
          <w:lang w:val="en-GB"/>
        </w:rPr>
        <w:t>In Priscian, each of these parts (with the exception of the interjection) is introduced by the formulaic phrase ‘</w:t>
      </w:r>
      <w:r>
        <w:rPr>
          <w:rFonts w:cs="Times New Roman" w:ascii="Baskerville Old Face" w:hAnsi="Baskerville Old Face"/>
          <w:i/>
          <w:lang w:val="en-GB"/>
        </w:rPr>
        <w:t>n</w:t>
      </w:r>
      <w:r>
        <w:rPr>
          <w:rFonts w:cs="Times New Roman" w:ascii="Baskerville Old Face" w:hAnsi="Baskerville Old Face"/>
          <w:lang w:val="en-GB"/>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lang w:val="en-GB"/>
        </w:rPr>
        <w:t>De inventione</w:t>
      </w:r>
      <w:r>
        <w:rPr>
          <w:rFonts w:cs="Times New Roman" w:ascii="Baskerville Old Face" w:hAnsi="Baskerville Old Face"/>
          <w:i w:val="false"/>
          <w:iCs w:val="false"/>
          <w:lang w:val="en-GB"/>
        </w:rPr>
        <w:t xml:space="preserve">, which was in two books and also known as </w:t>
      </w:r>
      <w:r>
        <w:rPr>
          <w:rFonts w:cs="Times New Roman" w:ascii="Baskerville Old Face" w:hAnsi="Baskerville Old Face"/>
          <w:i/>
          <w:iCs/>
          <w:lang w:val="en-GB"/>
        </w:rPr>
        <w:t>Rhetorica libri</w:t>
      </w:r>
      <w:r>
        <w:rPr>
          <w:rFonts w:cs="Times New Roman" w:ascii="Baskerville Old Face" w:hAnsi="Baskerville Old Face"/>
          <w:i w:val="false"/>
          <w:iCs w:val="false"/>
          <w:lang w:val="en-GB"/>
        </w:rPr>
        <w:t>. I thank Ian Logan for this last point.</w:t>
      </w:r>
    </w:p>
  </w:footnote>
  <w:footnote w:id="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the middle ages, the first three books of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lang w:val="en-GB"/>
        </w:rPr>
        <w:t>Aristoteles Latinus</w:t>
      </w:r>
      <w:r>
        <w:rPr>
          <w:rFonts w:cs="Times New Roman" w:ascii="Baskerville Old Face" w:hAnsi="Baskerville Old Face"/>
          <w:lang w:val="en-GB"/>
        </w:rPr>
        <w:t xml:space="preserve"> 1939. Furthermore, no extant commentary on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from the 12</w:t>
      </w:r>
      <w:r>
        <w:rPr>
          <w:rFonts w:cs="Times New Roman" w:ascii="Baskerville Old Face" w:hAnsi="Baskerville Old Face"/>
          <w:vertAlign w:val="superscript"/>
          <w:lang w:val="en-GB"/>
        </w:rPr>
        <w:t>th</w:t>
      </w:r>
      <w:r>
        <w:rPr>
          <w:rFonts w:cs="Times New Roman" w:ascii="Baskerville Old Face" w:hAnsi="Baskerville Old Face"/>
          <w:lang w:val="en-GB"/>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lang w:val="en-GB"/>
        </w:rPr>
        <w:t xml:space="preserve">De Differentiis Topicis </w:t>
      </w:r>
      <w:r>
        <w:rPr>
          <w:rFonts w:cs="Times New Roman" w:ascii="Baskerville Old Face" w:hAnsi="Baskerville Old Face"/>
          <w:lang w:val="en-GB"/>
        </w:rPr>
        <w:t xml:space="preserve">during Anselm’s </w:t>
      </w:r>
      <w:r>
        <w:rPr>
          <w:rFonts w:cs="Times New Roman" w:ascii="Baskerville" w:hAnsi="Baskerville"/>
          <w:lang w:val="en-GB"/>
        </w:rPr>
        <w:t xml:space="preserve">time and the absence of any other dialectic in three books with which the entry could be identified, thus makes it probable the work referenced at Bec under the simple title </w:t>
      </w:r>
      <w:r>
        <w:rPr>
          <w:rFonts w:cs="Times New Roman" w:ascii="Baskerville" w:hAnsi="Baskerville"/>
          <w:i/>
          <w:lang w:val="en-GB"/>
        </w:rPr>
        <w:t>de dialectica</w:t>
      </w:r>
      <w:r>
        <w:rPr>
          <w:rFonts w:cs="Times New Roman" w:ascii="Baskerville" w:hAnsi="Baskerville"/>
          <w:lang w:val="en-GB"/>
        </w:rPr>
        <w:t xml:space="preserve"> is the aforementioned one of Boethius.   The identification of the text with Boethius’ </w:t>
      </w:r>
      <w:r>
        <w:rPr>
          <w:rFonts w:cs="Times New Roman" w:ascii="Baskerville" w:hAnsi="Baskerville"/>
          <w:i/>
          <w:iCs/>
          <w:lang w:val="en-GB"/>
        </w:rPr>
        <w:t xml:space="preserve">De syllogismo hypothetico </w:t>
      </w:r>
      <w:r>
        <w:rPr>
          <w:rFonts w:cs="Times New Roman" w:ascii="Baskerville" w:hAnsi="Baskerville"/>
          <w:i w:val="false"/>
          <w:iCs w:val="false"/>
          <w:lang w:val="en-GB"/>
        </w:rPr>
        <w:t>is suggested by Nelis 1990, 78.</w:t>
      </w:r>
    </w:p>
  </w:footnote>
  <w:footnote w:id="1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Southern 1963, 14. The quotation is from anti-pope Clement III. See Southern 1948, 30. The works in the volume listed are standard for studying the </w:t>
      </w:r>
      <w:r>
        <w:rPr>
          <w:rFonts w:cs="Times New Roman" w:ascii="Baskerville Old Face" w:hAnsi="Baskerville Old Face"/>
          <w:i/>
          <w:lang w:val="en-GB"/>
        </w:rPr>
        <w:t xml:space="preserve">trivium </w:t>
      </w:r>
      <w:r>
        <w:rPr>
          <w:rFonts w:cs="Times New Roman" w:ascii="Baskerville Old Face" w:hAnsi="Baskerville Old Face"/>
          <w:lang w:val="en-GB"/>
        </w:rPr>
        <w:t xml:space="preserve">through much of the middle ages. See Abelson 1906, 74-75. Abelson, however, repeats the medieval misattribution of Victorinus’ </w:t>
      </w:r>
      <w:r>
        <w:rPr>
          <w:rFonts w:cs="Times New Roman" w:ascii="Baskerville Old Face" w:hAnsi="Baskerville Old Face"/>
          <w:i/>
          <w:iCs/>
          <w:lang w:val="en-GB"/>
        </w:rPr>
        <w:t xml:space="preserve">De definitione </w:t>
      </w:r>
      <w:r>
        <w:rPr>
          <w:rFonts w:cs="Times New Roman" w:ascii="Baskerville Old Face" w:hAnsi="Baskerville Old Face"/>
          <w:i w:val="false"/>
          <w:iCs w:val="false"/>
          <w:lang w:val="en-GB"/>
        </w:rPr>
        <w:t>to Boethius.</w:t>
      </w:r>
    </w:p>
  </w:footnote>
  <w:footnote w:id="1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DG </w:t>
      </w:r>
      <w:r>
        <w:rPr>
          <w:rFonts w:cs="Times New Roman" w:ascii="Baskerville Old Face" w:hAnsi="Baskerville Old Face"/>
          <w:lang w:val="en-GB"/>
        </w:rPr>
        <w:t>XVI and XVII.</w:t>
      </w:r>
    </w:p>
  </w:footnote>
  <w:footnote w:id="1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Henry 1974, 92, 100.</w:t>
      </w:r>
    </w:p>
  </w:footnote>
  <w:footnote w:id="1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val="false"/>
          <w:iCs w:val="false"/>
          <w:lang w:val="en-GB"/>
        </w:rPr>
        <w:t xml:space="preserve">Colish 1990 dates the rediscovery of the </w:t>
      </w:r>
      <w:r>
        <w:rPr>
          <w:rFonts w:cs="Times New Roman" w:ascii="Baskerville Old Face" w:hAnsi="Baskerville Old Face"/>
          <w:i/>
          <w:iCs/>
          <w:lang w:val="en-GB"/>
        </w:rPr>
        <w:t xml:space="preserve">Quaestiones Naturales </w:t>
      </w:r>
      <w:r>
        <w:rPr>
          <w:rFonts w:cs="Times New Roman" w:ascii="Baskerville Old Face" w:hAnsi="Baskerville Old Face"/>
          <w:i w:val="false"/>
          <w:iCs w:val="false"/>
          <w:lang w:val="en-GB"/>
        </w:rPr>
        <w:t>to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1979, 63), for instance, has since been revised to the second half of the 11</w:t>
      </w:r>
      <w:r>
        <w:rPr>
          <w:rFonts w:cs="Times New Roman" w:ascii="Baskerville Old Face" w:hAnsi="Baskerville Old Face"/>
          <w:i w:val="false"/>
          <w:iCs w:val="false"/>
          <w:vertAlign w:val="superscript"/>
          <w:lang w:val="en-GB"/>
        </w:rPr>
        <w:t xml:space="preserve">th </w:t>
      </w:r>
      <w:r>
        <w:rPr>
          <w:rFonts w:cs="Times New Roman" w:ascii="Baskerville Old Face" w:hAnsi="Baskerville Old Face"/>
          <w:i w:val="false"/>
          <w:iCs w:val="false"/>
          <w:lang w:val="en-GB"/>
        </w:rPr>
        <w:t>(</w:t>
      </w:r>
      <w:hyperlink r:id="rId1">
        <w:r>
          <w:rPr>
            <w:rStyle w:val="InternetLink"/>
            <w:rFonts w:cs="Times New Roman" w:ascii="Baskerville Old Face" w:hAnsi="Baskerville Old Face"/>
            <w:i w:val="false"/>
            <w:iCs w:val="false"/>
            <w:lang w:val="en-GB"/>
          </w:rPr>
          <w:t>https://primarysources.brillonline.com/browse/vossiani-latini/vlq-055-vita-liudgeri-cartularium-werthinense/manuscript;vossianivlq05501vlq055source</w:t>
        </w:r>
      </w:hyperlink>
      <w:r>
        <w:rPr>
          <w:rFonts w:cs="Times New Roman" w:ascii="Baskerville Old Face" w:hAnsi="Baskerville Old Face"/>
          <w:i w:val="false"/>
          <w:iCs w:val="false"/>
          <w:lang w:val="en-GB"/>
        </w:rPr>
        <w:t>), and Seneca’s work circulated in excerpts from at least the later 9</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1992). While the resemblance of Anselm’s phrase to that of Seneca makes direct influence plausible, it’s also not strictly necessary for the argument pursued here.</w:t>
      </w:r>
    </w:p>
    <w:p>
      <w:pPr>
        <w:pStyle w:val="Footnote"/>
        <w:jc w:val="both"/>
        <w:rPr>
          <w:lang w:val="en-GB"/>
        </w:rPr>
      </w:pPr>
      <w:r>
        <w:rPr>
          <w:rFonts w:cs="Times New Roman" w:ascii="Baskerville Old Face" w:hAnsi="Baskerville Old Face"/>
          <w:lang w:val="en-GB"/>
        </w:rPr>
        <w:t xml:space="preserve">Direct influence also need 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lang w:val="en-GB"/>
        </w:rPr>
        <w:t xml:space="preserve">VA </w:t>
      </w:r>
      <w:r>
        <w:rPr>
          <w:rFonts w:cs="Times New Roman" w:ascii="Baskerville Old Face" w:hAnsi="Baskerville Old Face"/>
          <w:lang w:val="en-GB"/>
        </w:rPr>
        <w:t>I, xix.</w:t>
      </w:r>
      <w:r>
        <w:rPr>
          <w:rFonts w:cs="Times New Roman" w:ascii="Baskerville Old Face" w:hAnsi="Baskerville Old Face"/>
          <w:i w:val="false"/>
          <w:iCs w:val="false"/>
          <w:lang w:val="en-GB"/>
        </w:rPr>
        <w:t xml:space="preserve"> </w:t>
      </w:r>
    </w:p>
  </w:footnote>
  <w:footnote w:id="1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Henry 1974, 88: ‘Hence it here appears that for Boethius one could speak of </w:t>
      </w:r>
      <w:r>
        <w:rPr>
          <w:rFonts w:cs="Times New Roman" w:ascii="Baskerville Old Face" w:hAnsi="Baskerville Old Face"/>
          <w:i/>
          <w:lang w:val="en-GB"/>
        </w:rPr>
        <w:t>things</w:t>
      </w:r>
      <w:r>
        <w:rPr>
          <w:rFonts w:cs="Times New Roman" w:ascii="Baskerville Old Face" w:hAnsi="Baskerville Old Face"/>
          <w:lang w:val="en-GB"/>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lang w:val="en-GB"/>
        </w:rPr>
        <w:t>grammatico</w:t>
      </w:r>
      <w:r>
        <w:rPr>
          <w:rFonts w:cs="Times New Roman" w:ascii="Baskerville Old Face" w:hAnsi="Baskerville Old Face"/>
          <w:lang w:val="en-GB"/>
        </w:rPr>
        <w:t xml:space="preserve">’/‘literate’ thereby removed.’ </w:t>
      </w:r>
    </w:p>
  </w:footnote>
  <w:footnote w:id="1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BC</w:t>
      </w:r>
      <w:r>
        <w:rPr>
          <w:rFonts w:cs="Times New Roman" w:ascii="Baskerville Old Face" w:hAnsi="Baskerville Old Face"/>
          <w:lang w:val="en-GB"/>
        </w:rPr>
        <w:t xml:space="preserve"> 167D-168A, alt.:</w:t>
      </w:r>
    </w:p>
    <w:p>
      <w:pPr>
        <w:pStyle w:val="Footnote"/>
        <w:ind w:left="900" w:hanging="0"/>
        <w:jc w:val="both"/>
        <w:rPr>
          <w:lang w:val="en-GB"/>
        </w:rPr>
      </w:pPr>
      <w:r>
        <w:rPr>
          <w:rFonts w:cs="Times New Roman" w:ascii="Baskerville Old Face" w:hAnsi="Baskerville Old Face"/>
          <w:lang w:val="en-GB"/>
        </w:rPr>
        <w:t>Atque ideo quotiescunque aliqua res alia participat, ipsa participatio sicut rem,</w:t>
      </w:r>
      <w:r>
        <w:rPr>
          <w:rFonts w:cs="Times New Roman" w:ascii="Baskerville Old Face" w:hAnsi="Baskerville Old Face"/>
          <w:color w:val="FF0000"/>
          <w:lang w:val="en-GB"/>
        </w:rPr>
        <w:t xml:space="preserve"> </w:t>
      </w:r>
      <w:r>
        <w:rPr>
          <w:rFonts w:cs="Times New Roman" w:ascii="Baskerville Old Face" w:hAnsi="Baskerville Old Face"/>
          <w:lang w:val="en-GB"/>
        </w:rPr>
        <w:t>ita quoque nomen adipiscitur, ut quidam homo, quia iustitia participat et rem quoque inde trahit et nomen, dicitur enim iustus.</w:t>
      </w:r>
    </w:p>
    <w:p>
      <w:pPr>
        <w:pStyle w:val="Footnote"/>
        <w:bidi w:val="0"/>
        <w:ind w:hanging="0"/>
        <w:jc w:val="both"/>
        <w:rPr>
          <w:lang w:val="en-GB"/>
        </w:rPr>
      </w:pPr>
      <w:r>
        <w:rPr>
          <w:rFonts w:cs="Times New Roman" w:ascii="Baskerville Old Face" w:hAnsi="Baskerville Old Face"/>
          <w:lang w:val="en-GB"/>
        </w:rPr>
        <w:t>The PL text has ‘participatione’, but ‘participatio’ is required to preserve Boethius’ intended parallel in the accusative: ‘sicut rem, ita quoque nomen’; reading ‘nomen’ as the subject deprives the transitive deponent ‘adipiscitur’ of an accusative.</w:t>
      </w:r>
    </w:p>
  </w:footnote>
  <w:footnote w:id="17">
    <w:p>
      <w:pPr>
        <w:pStyle w:val="Normal"/>
        <w:spacing w:lineRule="auto" w:line="240" w:before="0" w:after="0"/>
        <w:jc w:val="both"/>
        <w:rPr>
          <w:lang w:val="en-GB"/>
        </w:rPr>
      </w:pPr>
      <w:r>
        <w:rPr>
          <w:rStyle w:val="FootnoteCharacters"/>
        </w:rPr>
        <w:footnoteRef/>
      </w:r>
      <w:r>
        <w:rPr>
          <w:rFonts w:cs="Times New Roman" w:ascii="Baskerville Old Face" w:hAnsi="Baskerville Old Face"/>
          <w:sz w:val="20"/>
          <w:szCs w:val="20"/>
          <w:lang w:val="en-GB"/>
        </w:rPr>
        <w:t xml:space="preserve"> </w:t>
      </w:r>
      <w:r>
        <w:rPr>
          <w:rFonts w:cs="Times New Roman" w:ascii="Baskerville Old Face" w:hAnsi="Baskerville Old Face"/>
          <w:i/>
          <w:sz w:val="20"/>
          <w:szCs w:val="20"/>
          <w:lang w:val="en-GB"/>
        </w:rPr>
        <w:t xml:space="preserve">DG </w:t>
      </w:r>
      <w:r>
        <w:rPr>
          <w:rFonts w:cs="Times New Roman" w:ascii="Baskerville Old Face" w:hAnsi="Baskerville Old Face"/>
          <w:sz w:val="20"/>
          <w:szCs w:val="20"/>
          <w:lang w:val="en-GB"/>
        </w:rPr>
        <w:t>V = Henry 1974, 53</w:t>
      </w:r>
      <w:r>
        <w:rPr>
          <w:rFonts w:cs="Times New Roman" w:ascii="Baskerville Old Face" w:hAnsi="Baskerville Old Face"/>
          <w:color w:val="FF0000"/>
          <w:sz w:val="20"/>
          <w:szCs w:val="20"/>
          <w:lang w:val="en-GB"/>
        </w:rPr>
        <w:t xml:space="preserve"> </w:t>
      </w:r>
      <w:r>
        <w:rPr>
          <w:rFonts w:cs="Times New Roman" w:ascii="Baskerville Old Face" w:hAnsi="Baskerville Old Face"/>
          <w:sz w:val="20"/>
          <w:szCs w:val="20"/>
          <w:lang w:val="en-GB"/>
        </w:rPr>
        <w:t>(alt.):</w:t>
      </w:r>
    </w:p>
    <w:p>
      <w:pPr>
        <w:pStyle w:val="Normal"/>
        <w:spacing w:lineRule="auto" w:line="240" w:before="0" w:after="0"/>
        <w:ind w:left="900" w:hanging="0"/>
        <w:jc w:val="both"/>
        <w:rPr>
          <w:lang w:val="en-GB"/>
        </w:rPr>
      </w:pPr>
      <w:r>
        <w:rPr>
          <w:rFonts w:cs="Times New Roman" w:ascii="Baskerville Old Face" w:hAnsi="Baskerville Old Face"/>
          <w:sz w:val="20"/>
          <w:szCs w:val="20"/>
          <w:lang w:val="en-GB"/>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lang w:val="en-GB"/>
        </w:rPr>
        <w:t xml:space="preserve"> </w:t>
      </w:r>
    </w:p>
  </w:footnote>
  <w:footnote w:id="1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Hence, in no way can Anselm’s project be construed, a la Wittgenstein, as giving a linguistic analysis of the meaning of the term ‘God’. Cf. Gasper 2004, 107-143</w:t>
      </w:r>
      <w:r>
        <w:rPr>
          <w:rFonts w:cs="Times New Roman" w:ascii="Baskerville Old Face" w:hAnsi="Baskerville Old Face"/>
          <w:b/>
          <w:lang w:val="en-GB"/>
        </w:rPr>
        <w:t xml:space="preserve">. </w:t>
      </w:r>
    </w:p>
    <w:p>
      <w:pPr>
        <w:pStyle w:val="Footnote"/>
        <w:jc w:val="both"/>
        <w:rPr>
          <w:lang w:val="en-GB"/>
        </w:rPr>
      </w:pPr>
      <w:r>
        <w:rPr>
          <w:rFonts w:cs="Times New Roman" w:ascii="Baskerville Old Face" w:hAnsi="Baskerville Old Face"/>
          <w:lang w:val="en-GB"/>
        </w:rPr>
        <w:t>This attitude towards names remains standard even for Aquinas. cf. Archambault 2014, 185-90.</w:t>
      </w:r>
    </w:p>
  </w:footnote>
  <w:footnote w:id="1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Boethius makes the point forcefully in the case of the relation between arguing and argument at </w:t>
      </w:r>
      <w:r>
        <w:rPr>
          <w:rFonts w:cs="Times New Roman" w:ascii="Baskerville Old Face" w:hAnsi="Baskerville Old Face"/>
          <w:i/>
          <w:lang w:val="en-GB"/>
        </w:rPr>
        <w:t xml:space="preserve">BDT </w:t>
      </w:r>
      <w:r>
        <w:rPr>
          <w:rFonts w:cs="Times New Roman" w:ascii="Baskerville Old Face" w:hAnsi="Baskerville Old Face"/>
          <w:lang w:val="en-GB"/>
        </w:rPr>
        <w:t xml:space="preserve">1174C: </w:t>
      </w:r>
    </w:p>
    <w:p>
      <w:pPr>
        <w:pStyle w:val="Footnote"/>
        <w:ind w:left="900" w:hanging="0"/>
        <w:jc w:val="both"/>
        <w:rPr>
          <w:lang w:val="en-GB"/>
        </w:rPr>
      </w:pPr>
      <w:r>
        <w:rPr>
          <w:rFonts w:cs="Times New Roman" w:ascii="Baskerville Old Face" w:hAnsi="Baskerville Old Face"/>
          <w:lang w:val="en-GB"/>
        </w:rPr>
        <w:t>Non vero idem est argumentum et argumentatio: nam vis sententiae ratioque ea quae clauditur oratio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lang w:val="en-GB"/>
        </w:rPr>
      </w:pPr>
      <w:r>
        <w:rPr>
          <w:rFonts w:cs="Times New Roman" w:ascii="Baskerville Old Face" w:hAnsi="Baskerville Old Face"/>
          <w:lang w:val="en-GB"/>
        </w:rPr>
      </w:r>
    </w:p>
    <w:p>
      <w:pPr>
        <w:pStyle w:val="Footnote"/>
        <w:ind w:left="900" w:hanging="0"/>
        <w:jc w:val="both"/>
        <w:rPr>
          <w:lang w:val="en-GB"/>
        </w:rPr>
      </w:pPr>
      <w:r>
        <w:rPr>
          <w:rFonts w:cs="Times New Roman" w:ascii="Baskerville Old Face" w:hAnsi="Baskerville Old Face"/>
          <w:lang w:val="en-GB"/>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bidi w:val="0"/>
        <w:ind w:hanging="0"/>
        <w:jc w:val="both"/>
        <w:rPr>
          <w:lang w:val="en-GB"/>
        </w:rPr>
      </w:pPr>
      <w:r>
        <w:rPr>
          <w:rFonts w:ascii="Baskerville Old Face" w:hAnsi="Baskerville Old Face"/>
          <w:lang w:val="en-GB"/>
        </w:rPr>
        <w:t xml:space="preserve">Cf. </w:t>
      </w:r>
      <w:r>
        <w:rPr>
          <w:rFonts w:ascii="Baskerville Old Face" w:hAnsi="Baskerville Old Face"/>
          <w:i/>
          <w:iCs/>
          <w:lang w:val="en-GB"/>
        </w:rPr>
        <w:t xml:space="preserve">BTC </w:t>
      </w:r>
      <w:r>
        <w:rPr>
          <w:rFonts w:ascii="Baskerville Old Face" w:hAnsi="Baskerville Old Face"/>
          <w:i w:val="false"/>
          <w:iCs w:val="false"/>
          <w:lang w:val="en-GB"/>
        </w:rPr>
        <w:t xml:space="preserve">1053BC, where Boethius provides four different parsings of the difference between </w:t>
      </w:r>
      <w:r>
        <w:rPr>
          <w:rFonts w:ascii="Baskerville Old Face" w:hAnsi="Baskerville Old Face"/>
          <w:i/>
          <w:iCs/>
          <w:lang w:val="en-GB"/>
        </w:rPr>
        <w:t>argumentatio</w:t>
      </w:r>
      <w:r>
        <w:rPr>
          <w:rFonts w:ascii="Baskerville Old Face" w:hAnsi="Baskerville Old Face"/>
          <w:i w:val="false"/>
          <w:iCs w:val="false"/>
          <w:lang w:val="en-GB"/>
        </w:rPr>
        <w:t xml:space="preserve"> and </w:t>
      </w:r>
      <w:r>
        <w:rPr>
          <w:rFonts w:ascii="Baskerville Old Face" w:hAnsi="Baskerville Old Face"/>
          <w:i/>
          <w:iCs/>
          <w:lang w:val="en-GB"/>
        </w:rPr>
        <w:t xml:space="preserve">argumentum </w:t>
      </w:r>
      <w:r>
        <w:rPr>
          <w:rFonts w:ascii="Baskerville Old Face" w:hAnsi="Baskerville Old Face"/>
          <w:i w:val="false"/>
          <w:iCs w:val="false"/>
          <w:lang w:val="en-GB"/>
        </w:rPr>
        <w:t>beginning with the version provided above. Across all divisions, however, the meaning of the former term is that more broadly associated with the expression of the argument, the latter with its content.</w:t>
      </w:r>
    </w:p>
  </w:footnote>
  <w:footnote w:id="2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These examples are used by Anselm in </w:t>
      </w:r>
      <w:r>
        <w:rPr>
          <w:rFonts w:cs="Times New Roman" w:ascii="Baskerville Old Face" w:hAnsi="Baskerville Old Face"/>
          <w:i/>
          <w:lang w:val="en-GB"/>
        </w:rPr>
        <w:t xml:space="preserve">DG XIV. </w:t>
      </w:r>
      <w:r>
        <w:rPr>
          <w:rFonts w:cs="Times New Roman" w:ascii="Baskerville Old Face" w:hAnsi="Baskerville Old Face"/>
          <w:lang w:val="en-GB"/>
        </w:rPr>
        <w:t>Here, knowing is regarded as a way of having, the appropriate one for things like grammar.</w:t>
      </w:r>
    </w:p>
  </w:footnote>
  <w:footnote w:id="2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 the primary sense of </w:t>
      </w:r>
      <w:r>
        <w:rPr>
          <w:rFonts w:cs="Times New Roman" w:ascii="Baskerville Old Face" w:hAnsi="Baskerville Old Face"/>
          <w:i/>
          <w:lang w:val="en-GB"/>
        </w:rPr>
        <w:t xml:space="preserve">intellectum </w:t>
      </w:r>
      <w:r>
        <w:rPr>
          <w:rFonts w:cs="Times New Roman" w:ascii="Baskerville Old Face" w:hAnsi="Baskerville Old Face"/>
          <w:lang w:val="en-GB"/>
        </w:rPr>
        <w:t xml:space="preserve">in </w:t>
      </w:r>
      <w:r>
        <w:rPr>
          <w:rFonts w:cs="Times New Roman" w:ascii="Baskerville Old Face" w:hAnsi="Baskerville Old Face"/>
          <w:i/>
          <w:lang w:val="en-GB"/>
        </w:rPr>
        <w:t>fides quaerens intellectum</w:t>
      </w:r>
      <w:r>
        <w:rPr>
          <w:rFonts w:cs="Times New Roman" w:ascii="Baskerville Old Face" w:hAnsi="Baskerville Old Face"/>
          <w:lang w:val="en-GB"/>
        </w:rPr>
        <w:t xml:space="preserve"> cannot, </w:t>
      </w:r>
      <w:r>
        <w:rPr>
          <w:rFonts w:cs="Times New Roman" w:ascii="Baskerville Old Face" w:hAnsi="Baskerville Old Face"/>
          <w:i/>
          <w:lang w:val="en-GB"/>
        </w:rPr>
        <w:t xml:space="preserve">pace </w:t>
      </w:r>
      <w:r>
        <w:rPr>
          <w:rFonts w:cs="Times New Roman" w:ascii="Baskerville Old Face" w:hAnsi="Baskerville Old Face"/>
          <w:lang w:val="en-GB"/>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lang w:val="en-GB"/>
        </w:rPr>
        <w:t>VA</w:t>
      </w:r>
      <w:r>
        <w:rPr>
          <w:rFonts w:cs="Times New Roman" w:ascii="Baskerville Old Face" w:hAnsi="Baskerville Old Face"/>
          <w:lang w:val="en-GB"/>
        </w:rPr>
        <w:t xml:space="preserve"> I, xix), but rather is </w:t>
      </w:r>
      <w:r>
        <w:rPr>
          <w:rFonts w:cs="Times New Roman" w:ascii="Baskerville Old Face" w:hAnsi="Baskerville Old Face"/>
          <w:i/>
          <w:lang w:val="en-GB"/>
        </w:rPr>
        <w:t xml:space="preserve">what </w:t>
      </w:r>
      <w:r>
        <w:rPr>
          <w:rFonts w:cs="Times New Roman" w:ascii="Baskerville Old Face" w:hAnsi="Baskerville Old Face"/>
          <w:lang w:val="en-GB"/>
        </w:rPr>
        <w:t xml:space="preserve">the intellect has </w:t>
      </w:r>
      <w:r>
        <w:rPr>
          <w:rFonts w:cs="Times New Roman" w:ascii="Baskerville Old Face" w:hAnsi="Baskerville Old Face"/>
          <w:i/>
          <w:lang w:val="en-GB"/>
        </w:rPr>
        <w:t xml:space="preserve">when </w:t>
      </w:r>
      <w:r>
        <w:rPr>
          <w:rFonts w:cs="Times New Roman" w:ascii="Baskerville Old Face" w:hAnsi="Baskerville Old Face"/>
          <w:lang w:val="en-GB"/>
        </w:rPr>
        <w:t xml:space="preserve">it is in this state. See Bencivenga 1993, 33. </w:t>
      </w:r>
    </w:p>
  </w:footnote>
  <w:footnote w:id="2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 xml:space="preserve">82AB: </w:t>
      </w:r>
    </w:p>
    <w:p>
      <w:pPr>
        <w:pStyle w:val="Footnote"/>
        <w:ind w:left="900" w:hanging="0"/>
        <w:jc w:val="both"/>
        <w:rPr>
          <w:lang w:val="en-GB"/>
        </w:rPr>
      </w:pPr>
      <w:r>
        <w:rPr>
          <w:rFonts w:cs="Times New Roman" w:ascii="Baskerville Old Face" w:hAnsi="Baskerville Old Face"/>
          <w:lang w:val="en-GB"/>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lang w:val="en-GB"/>
        </w:rPr>
      </w:pPr>
      <w:r>
        <w:rPr>
          <w:rFonts w:cs="Times New Roman" w:ascii="Baskerville Old Face" w:hAnsi="Baskerville Old Face"/>
          <w:lang w:val="en-GB"/>
        </w:rPr>
        <w:t xml:space="preserve">I translate Porphyry’s passage as follows: </w:t>
      </w:r>
    </w:p>
    <w:p>
      <w:pPr>
        <w:pStyle w:val="Footnote"/>
        <w:ind w:left="810" w:hanging="0"/>
        <w:jc w:val="both"/>
        <w:rPr>
          <w:lang w:val="en-GB"/>
        </w:rPr>
      </w:pPr>
      <w:r>
        <w:rPr>
          <w:rFonts w:cs="Times New Roman" w:ascii="Baskerville Old Face" w:hAnsi="Baskerville Old Face"/>
          <w:lang w:val="en-GB"/>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lang w:val="en-GB"/>
        </w:rPr>
        <w:t xml:space="preserve">in </w:t>
      </w:r>
      <w:r>
        <w:rPr>
          <w:rFonts w:cs="Times New Roman" w:ascii="Baskerville Old Face" w:hAnsi="Baskerville Old Face"/>
          <w:lang w:val="en-GB"/>
        </w:rPr>
        <w:t xml:space="preserve">sensibilia or </w:t>
      </w:r>
      <w:r>
        <w:rPr>
          <w:rFonts w:cs="Times New Roman" w:ascii="Baskerville Old Face" w:hAnsi="Baskerville Old Face"/>
          <w:i/>
          <w:lang w:val="en-GB"/>
        </w:rPr>
        <w:t>from</w:t>
      </w:r>
      <w:r>
        <w:rPr>
          <w:rFonts w:cs="Times New Roman" w:ascii="Baskerville Old Face" w:hAnsi="Baskerville Old Face"/>
          <w:lang w:val="en-GB"/>
        </w:rPr>
        <w:t xml:space="preserve"> them; and [I won’t speak] about how such things belong together.</w:t>
      </w:r>
    </w:p>
    <w:p>
      <w:pPr>
        <w:pStyle w:val="Footnote"/>
        <w:jc w:val="both"/>
        <w:rPr>
          <w:lang w:val="en-GB"/>
        </w:rPr>
      </w:pPr>
      <w:r>
        <w:rPr>
          <w:rFonts w:cs="Times New Roman" w:ascii="Baskerville Old Face" w:hAnsi="Baskerville Old Face"/>
          <w:lang w:val="en-GB"/>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64, 82BC:</w:t>
      </w:r>
    </w:p>
    <w:p>
      <w:pPr>
        <w:pStyle w:val="Footnote"/>
        <w:ind w:left="900" w:hanging="0"/>
        <w:jc w:val="both"/>
        <w:rPr>
          <w:lang w:val="en-GB"/>
        </w:rPr>
      </w:pPr>
      <w:r>
        <w:rPr>
          <w:rFonts w:cs="Times New Roman" w:ascii="Baskerville Old Face" w:hAnsi="Baskerville Old Face"/>
          <w:lang w:val="en-GB"/>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translation is not entirely novel, even in Anselm scholarship. See Holopainen 2007, 18, where the translation is consistently used for a text of Abelard, and ibid., 21, where Holopainen uses the English ‘meaning’ to translate all of </w:t>
      </w:r>
      <w:r>
        <w:rPr>
          <w:rFonts w:cs="Times New Roman" w:ascii="Baskerville Old Face" w:hAnsi="Baskerville Old Face"/>
          <w:i/>
          <w:iCs/>
          <w:lang w:val="en-GB"/>
        </w:rPr>
        <w:t>sententia</w:t>
      </w:r>
      <w:r>
        <w:rPr>
          <w:rFonts w:cs="Times New Roman" w:ascii="Baskerville Old Face" w:hAnsi="Baskerville Old Face"/>
          <w:i w:val="false"/>
          <w:iCs w:val="false"/>
          <w:lang w:val="en-GB"/>
        </w:rPr>
        <w:t xml:space="preserve">, </w:t>
      </w:r>
      <w:r>
        <w:rPr>
          <w:rFonts w:cs="Times New Roman" w:ascii="Baskerville Old Face" w:hAnsi="Baskerville Old Face"/>
          <w:i/>
          <w:iCs/>
          <w:lang w:val="en-GB"/>
        </w:rPr>
        <w:t>sensus</w:t>
      </w:r>
      <w:r>
        <w:rPr>
          <w:rFonts w:cs="Times New Roman" w:ascii="Baskerville Old Face" w:hAnsi="Baskerville Old Face"/>
          <w:i w:val="false"/>
          <w:iCs w:val="false"/>
          <w:lang w:val="en-GB"/>
        </w:rPr>
        <w:t xml:space="preserve">, and </w:t>
      </w:r>
      <w:r>
        <w:rPr>
          <w:rFonts w:cs="Times New Roman" w:ascii="Baskerville Old Face" w:hAnsi="Baskerville Old Face"/>
          <w:i/>
          <w:iCs/>
          <w:lang w:val="en-GB"/>
        </w:rPr>
        <w:t xml:space="preserve">intellectus </w:t>
      </w:r>
      <w:r>
        <w:rPr>
          <w:rFonts w:cs="Times New Roman" w:ascii="Baskerville Old Face" w:hAnsi="Baskerville Old Face"/>
          <w:i w:val="false"/>
          <w:iCs w:val="false"/>
          <w:lang w:val="en-GB"/>
        </w:rPr>
        <w:t xml:space="preserve">in a passage from Anselm’s </w:t>
      </w:r>
      <w:r>
        <w:rPr>
          <w:rFonts w:cs="Times New Roman" w:ascii="Baskerville Old Face" w:hAnsi="Baskerville Old Face"/>
          <w:i/>
          <w:iCs/>
          <w:lang w:val="en-GB"/>
        </w:rPr>
        <w:t xml:space="preserve">De Grammatico </w:t>
      </w:r>
      <w:r>
        <w:rPr>
          <w:rFonts w:cs="Times New Roman" w:ascii="Baskerville Old Face" w:hAnsi="Baskerville Old Face"/>
          <w:i w:val="false"/>
          <w:iCs w:val="false"/>
          <w:lang w:val="en-GB"/>
        </w:rPr>
        <w:t>IV whose reasoning arguably requires the three terms be taken as synonyms</w:t>
      </w:r>
      <w:r>
        <w:rPr>
          <w:rFonts w:cs="Times New Roman" w:ascii="Baskerville Old Face" w:hAnsi="Baskerville Old Face"/>
          <w:lang w:val="en-GB"/>
        </w:rPr>
        <w:t>.</w:t>
      </w:r>
    </w:p>
  </w:footnote>
  <w:footnote w:id="2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BDIL </w:t>
      </w:r>
      <w:r>
        <w:rPr>
          <w:rFonts w:cs="Times New Roman" w:ascii="Baskerville Old Face" w:hAnsi="Baskerville Old Face"/>
          <w:lang w:val="en-GB"/>
        </w:rPr>
        <w:t xml:space="preserve">297B: </w:t>
      </w:r>
    </w:p>
    <w:p>
      <w:pPr>
        <w:pStyle w:val="Footnote"/>
        <w:ind w:left="900" w:hanging="0"/>
        <w:jc w:val="both"/>
        <w:rPr>
          <w:lang w:val="en-GB"/>
        </w:rPr>
      </w:pPr>
      <w:r>
        <w:rPr>
          <w:rFonts w:cs="Times New Roman" w:ascii="Baskerville Old Face" w:hAnsi="Baskerville Old Face"/>
          <w:lang w:val="en-GB"/>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Representational realism is typically regarded as a position in the philosophy of mind. What I call the </w:t>
      </w:r>
      <w:r>
        <w:rPr>
          <w:rFonts w:cs="Times New Roman" w:ascii="Baskerville Old Face" w:hAnsi="Baskerville Old Face"/>
          <w:i/>
          <w:lang w:val="en-GB"/>
        </w:rPr>
        <w:t>metaphysics</w:t>
      </w:r>
      <w:r>
        <w:rPr>
          <w:rFonts w:cs="Times New Roman" w:ascii="Baskerville Old Face" w:hAnsi="Baskerville Old Face"/>
          <w:lang w:val="en-GB"/>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lang w:val="en-GB"/>
        </w:rPr>
        <w:t>ad placitum</w:t>
      </w:r>
      <w:r>
        <w:rPr>
          <w:rFonts w:cs="Times New Roman" w:ascii="Baskerville Old Face" w:hAnsi="Baskerville Old Face"/>
          <w:lang w:val="en-GB"/>
        </w:rPr>
        <w:t xml:space="preserve">), and 2) the corresponding search for a medium by which this chasm is to be traversed, typically found in the </w:t>
      </w:r>
      <w:r>
        <w:rPr>
          <w:rFonts w:cs="Times New Roman" w:ascii="Baskerville Old Face" w:hAnsi="Baskerville Old Face"/>
          <w:i/>
          <w:lang w:val="en-GB"/>
        </w:rPr>
        <w:t>idea</w:t>
      </w:r>
      <w:r>
        <w:rPr>
          <w:rFonts w:cs="Times New Roman" w:ascii="Baskerville Old Face" w:hAnsi="Baskerville Old Face"/>
          <w:lang w:val="en-GB"/>
        </w:rPr>
        <w:t xml:space="preserve">. </w:t>
      </w:r>
    </w:p>
  </w:footnote>
  <w:footnote w:id="27">
    <w:p>
      <w:pPr>
        <w:pStyle w:val="Footnote"/>
        <w:rPr>
          <w:lang w:val="en-GB"/>
        </w:rPr>
      </w:pPr>
      <w:r>
        <w:rPr>
          <w:rStyle w:val="FootnoteCharacters"/>
        </w:rPr>
        <w:footnoteRef/>
      </w:r>
      <w:r>
        <w:rPr>
          <w:lang w:val="en-GB"/>
        </w:rPr>
        <w:t xml:space="preserve"> </w:t>
      </w:r>
      <w:r>
        <w:rPr>
          <w:rFonts w:cs="Times New Roman" w:ascii="Baskerville" w:hAnsi="Baskerville"/>
          <w:lang w:val="en-GB"/>
        </w:rPr>
        <w:t xml:space="preserve">See </w:t>
      </w:r>
      <w:r>
        <w:rPr>
          <w:rFonts w:cs="Times New Roman" w:ascii="Baskerville" w:hAnsi="Baskerville"/>
          <w:i/>
          <w:lang w:val="en-GB"/>
        </w:rPr>
        <w:t xml:space="preserve">BDIG </w:t>
      </w:r>
      <w:r>
        <w:rPr>
          <w:rFonts w:cs="Times New Roman" w:ascii="Baskerville" w:hAnsi="Baskerville"/>
          <w:i w:val="false"/>
          <w:iCs w:val="false"/>
          <w:lang w:val="en-GB"/>
        </w:rPr>
        <w:t>71.3-74.31</w:t>
      </w:r>
      <w:r>
        <w:rPr>
          <w:rFonts w:cs="Times New Roman" w:ascii="Baskerville" w:hAnsi="Baskerville"/>
          <w:lang w:val="en-GB"/>
        </w:rPr>
        <w:t xml:space="preserve">, where the phrase is used throughout. Anselm uses it at </w:t>
      </w:r>
      <w:r>
        <w:rPr>
          <w:rFonts w:cs="Times New Roman" w:ascii="Baskerville" w:hAnsi="Baskerville"/>
          <w:i/>
          <w:lang w:val="en-GB"/>
        </w:rPr>
        <w:t xml:space="preserve">DG </w:t>
      </w:r>
      <w:r>
        <w:rPr>
          <w:rFonts w:cs="Times New Roman" w:ascii="Baskerville" w:hAnsi="Baskerville"/>
          <w:lang w:val="en-GB"/>
        </w:rPr>
        <w:t>XIV.</w:t>
      </w:r>
    </w:p>
  </w:footnote>
  <w:footnote w:id="28">
    <w:p>
      <w:pPr>
        <w:pStyle w:val="Footnote"/>
        <w:rPr>
          <w:lang w:val="en-GB"/>
        </w:rPr>
      </w:pPr>
      <w:r>
        <w:rPr>
          <w:rStyle w:val="FootnoteCharacters"/>
        </w:rPr>
        <w:footnoteRef/>
      </w:r>
      <w:r>
        <w:rPr>
          <w:lang w:val="en-GB"/>
        </w:rPr>
        <w:t xml:space="preserve"> </w:t>
      </w:r>
      <w:r>
        <w:rPr>
          <w:rFonts w:ascii="Baskerville Old Face" w:hAnsi="Baskerville Old Face"/>
          <w:i/>
          <w:iCs/>
          <w:lang w:val="en-GB"/>
        </w:rPr>
        <w:t>BDIG</w:t>
      </w:r>
      <w:r>
        <w:rPr>
          <w:rFonts w:ascii="Baskerville Old Face" w:hAnsi="Baskerville Old Face"/>
          <w:lang w:val="en-GB"/>
        </w:rPr>
        <w:t xml:space="preserve"> 34.21-26.</w:t>
      </w:r>
    </w:p>
  </w:footnote>
  <w:footnote w:id="2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Smith 2010, 33. Enumeration mine.</w:t>
      </w:r>
    </w:p>
  </w:footnote>
  <w:footnote w:id="30">
    <w:p>
      <w:pPr>
        <w:pStyle w:val="Footnote"/>
        <w:rPr>
          <w:lang w:val="en-GB"/>
        </w:rPr>
      </w:pPr>
      <w:r>
        <w:rPr>
          <w:rStyle w:val="FootnoteCharacters"/>
        </w:rPr>
        <w:footnoteRef/>
      </w:r>
      <w:r>
        <w:rPr>
          <w:lang w:val="en-GB"/>
        </w:rPr>
        <w:t xml:space="preserve"> </w:t>
      </w:r>
      <w:r>
        <w:rPr>
          <w:lang w:val="en-GB"/>
        </w:rPr>
        <w:t xml:space="preserve">See also </w:t>
      </w:r>
      <w:r>
        <w:rPr>
          <w:i/>
          <w:iCs/>
          <w:lang w:val="en-GB"/>
        </w:rPr>
        <w:t xml:space="preserve">BDIG </w:t>
      </w:r>
      <w:r>
        <w:rPr>
          <w:i w:val="false"/>
          <w:iCs w:val="false"/>
          <w:lang w:val="en-GB"/>
        </w:rPr>
        <w:t>35.15-16: ‘quare quoniam passiones animae quas intellectus vocavit...”</w:t>
      </w:r>
    </w:p>
  </w:footnote>
  <w:footnote w:id="3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32">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Cs/>
          <w:lang w:val="en-GB"/>
        </w:rPr>
        <w:t>Itaque licet definire locum esse argumenti sedem, argumentum autem rationem quae rei dubiae faciat fidem’</w:t>
      </w:r>
      <w:r>
        <w:rPr>
          <w:rFonts w:cs="Times New Roman" w:ascii="Baskerville Old Face" w:hAnsi="Baskerville Old Face"/>
          <w:i/>
          <w:iCs/>
          <w:lang w:val="en-GB"/>
        </w:rPr>
        <w:t xml:space="preserve"> Topica</w:t>
      </w:r>
      <w:r>
        <w:rPr>
          <w:rFonts w:cs="Times New Roman" w:ascii="Baskerville Old Face" w:hAnsi="Baskerville Old Face"/>
          <w:lang w:val="en-GB"/>
        </w:rPr>
        <w:t xml:space="preserve"> Chapter, 8, lines 27-28. </w:t>
      </w:r>
    </w:p>
  </w:footnote>
  <w:footnote w:id="3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BTC </w:t>
      </w:r>
      <w:r>
        <w:rPr>
          <w:rFonts w:cs="Times New Roman" w:ascii="Baskerville Old Face" w:hAnsi="Baskerville Old Face"/>
          <w:lang w:val="en-GB"/>
        </w:rPr>
        <w:t xml:space="preserve">1048BC: </w:t>
      </w:r>
    </w:p>
    <w:p>
      <w:pPr>
        <w:pStyle w:val="Footnote"/>
        <w:ind w:left="900" w:hanging="0"/>
        <w:jc w:val="both"/>
        <w:rPr>
          <w:lang w:val="en-GB"/>
        </w:rPr>
      </w:pPr>
      <w:r>
        <w:rPr>
          <w:rFonts w:cs="Times New Roman" w:ascii="Baskerville Old Face" w:hAnsi="Baskerville Old Face"/>
          <w:lang w:val="en-GB"/>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1174C, given in a prior footnote.</w:t>
      </w:r>
    </w:p>
  </w:footnote>
  <w:footnote w:id="3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See Holopainen 2007.</w:t>
      </w:r>
    </w:p>
  </w:footnote>
  <w:footnote w:id="3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Cf. Klima 2013, sec. 7: </w:t>
      </w:r>
    </w:p>
    <w:p>
      <w:pPr>
        <w:pStyle w:val="Footnote"/>
        <w:ind w:left="900" w:hanging="0"/>
        <w:jc w:val="both"/>
        <w:rPr/>
      </w:pPr>
      <w:r>
        <w:rPr>
          <w:rFonts w:cs="Times New Roman" w:ascii="Baskerville Old Face" w:hAnsi="Baskerville Old Face"/>
          <w:lang w:val="en-GB"/>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lang w:val="en-GB"/>
        </w:rPr>
        <w:t xml:space="preserve">the same </w:t>
      </w:r>
      <w:r>
        <w:rPr>
          <w:rFonts w:cs="Times New Roman" w:ascii="Baskerville Old Face" w:hAnsi="Baskerville Old Face"/>
          <w:lang w:val="en-GB"/>
        </w:rPr>
        <w:t>nature that informs both the singulars that have this nature and the minds conceiving of them in terms of this nature.</w:t>
      </w:r>
    </w:p>
  </w:footnote>
  <w:footnote w:id="3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Aristotelian syllogistic, the major term of a syllogism is the term that also serves as the predicate in the conclusion, while the minor term is the term that serves as the subject of the conclusion. </w:t>
      </w:r>
    </w:p>
  </w:footnote>
  <w:footnote w:id="3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However,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hold in this way of the </w:t>
      </w:r>
      <w:r>
        <w:rPr>
          <w:rFonts w:cs="Times New Roman" w:ascii="Baskerville Old Face" w:hAnsi="Baskerville Old Face"/>
          <w:i/>
          <w:lang w:val="en-GB"/>
        </w:rPr>
        <w:t xml:space="preserve">minor </w:t>
      </w:r>
      <w:r>
        <w:rPr>
          <w:rFonts w:cs="Times New Roman" w:ascii="Baskerville Old Face" w:hAnsi="Baskerville Old Face"/>
          <w:lang w:val="en-GB"/>
        </w:rPr>
        <w:t xml:space="preserve">term: the sentence joining these two need only be </w:t>
      </w:r>
      <w:r>
        <w:rPr>
          <w:rFonts w:cs="Times New Roman" w:ascii="Baskerville Old Face" w:hAnsi="Baskerville Old Face"/>
          <w:i/>
          <w:lang w:val="en-GB"/>
        </w:rPr>
        <w:t>probabilis</w:t>
      </w:r>
      <w:r>
        <w:rPr>
          <w:rFonts w:cs="Times New Roman" w:ascii="Baskerville Old Face" w:hAnsi="Baskerville Old Face"/>
          <w:lang w:val="en-GB"/>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lang w:val="en-GB"/>
        </w:rPr>
        <w:t>sentence</w:t>
      </w:r>
      <w:r>
        <w:rPr>
          <w:rFonts w:cs="Times New Roman" w:ascii="Baskerville Old Face" w:hAnsi="Baskerville Old Face"/>
          <w:lang w:val="en-GB"/>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lang w:val="en-GB"/>
        </w:rPr>
        <w:t>statement</w:t>
      </w:r>
      <w:r>
        <w:rPr>
          <w:rFonts w:cs="Times New Roman" w:ascii="Baskerville Old Face" w:hAnsi="Baskerville Old Face"/>
          <w:lang w:val="en-GB"/>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w:t>
      </w:r>
      <w:r>
        <w:rPr>
          <w:rFonts w:cs="Times New Roman" w:ascii="Baskerville Old Face" w:hAnsi="Baskerville Old Face"/>
          <w:lang w:val="en-GB"/>
        </w:rPr>
        <w:t xml:space="preserve">See Bosman 2018. </w:t>
      </w:r>
      <w:r>
        <w:rPr>
          <w:rFonts w:cs="Times New Roman" w:ascii="Baskerville Old Face" w:hAnsi="Baskerville Old Face"/>
          <w:lang w:val="en-GB"/>
        </w:rPr>
        <w:t xml:space="preserve">On the meaning of </w:t>
      </w:r>
      <w:r>
        <w:rPr>
          <w:rFonts w:cs="Times New Roman" w:ascii="Baskerville Old Face" w:hAnsi="Baskerville Old Face"/>
          <w:i/>
          <w:lang w:val="en-GB"/>
        </w:rPr>
        <w:t>probabilis</w:t>
      </w:r>
      <w:r>
        <w:rPr>
          <w:rFonts w:cs="Times New Roman" w:ascii="Baskerville Old Face" w:hAnsi="Baskerville Old Face"/>
          <w:lang w:val="en-GB"/>
        </w:rPr>
        <w:t xml:space="preserve"> in Boethius’ theory of the topics, 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1180C-1182C. </w:t>
      </w:r>
    </w:p>
  </w:footnote>
  <w:footnote w:id="39">
    <w:p>
      <w:pPr>
        <w:pStyle w:val="Footnote"/>
        <w:bidi w:val="0"/>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 latter case follows directly from the need for the second </w:t>
      </w:r>
      <w:r>
        <w:rPr>
          <w:rFonts w:cs="Times New Roman" w:ascii="Baskerville Old Face" w:hAnsi="Baskerville Old Face"/>
          <w:i/>
          <w:iCs/>
          <w:lang w:val="en-GB"/>
        </w:rPr>
        <w:t>differentia</w:t>
      </w:r>
      <w:r>
        <w:rPr>
          <w:rFonts w:cs="Times New Roman" w:ascii="Baskerville Old Face" w:hAnsi="Baskerville Old Face"/>
          <w:i w:val="false"/>
          <w:iCs w:val="false"/>
          <w:lang w:val="en-GB"/>
        </w:rPr>
        <w:t xml:space="preserve"> on pain of redundancy. </w:t>
      </w:r>
    </w:p>
  </w:footnote>
  <w:footnote w:id="40">
    <w:p>
      <w:pPr>
        <w:pStyle w:val="Endnote"/>
        <w:jc w:val="both"/>
        <w:rPr>
          <w:lang w:val="en-GB"/>
        </w:rPr>
      </w:pPr>
      <w:r>
        <w:rPr>
          <w:rStyle w:val="FootnoteCharacters"/>
        </w:rPr>
        <w:footnoteRef/>
      </w:r>
      <w:r>
        <w:rPr>
          <w:rFonts w:cs="Times New Roman" w:ascii="Baskerville Old Face" w:hAnsi="Baskerville Old Face"/>
          <w:i/>
          <w:iCs/>
          <w:lang w:val="en-GB"/>
        </w:rPr>
        <w:t>Pros. proemium</w:t>
      </w:r>
      <w:r>
        <w:rPr>
          <w:rFonts w:cs="Times New Roman" w:ascii="Baskerville Old Face" w:hAnsi="Baskerville Old Face"/>
          <w:lang w:val="en-GB"/>
        </w:rPr>
        <w:t>.</w:t>
      </w:r>
    </w:p>
  </w:footnote>
  <w:footnote w:id="41">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Pros. proemium</w:t>
      </w:r>
      <w:r>
        <w:rPr>
          <w:rFonts w:cs="Times New Roman" w:ascii="Baskerville Old Face" w:hAnsi="Baskerville Old Face"/>
          <w:lang w:val="en-GB"/>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42">
    <w:p>
      <w:pPr>
        <w:pStyle w:val="Endnote"/>
        <w:jc w:val="both"/>
        <w:rPr>
          <w:lang w:val="en-GB"/>
        </w:rPr>
      </w:pPr>
      <w:r>
        <w:rPr>
          <w:rStyle w:val="FootnoteCharacters"/>
        </w:rPr>
        <w:footnoteRef/>
      </w:r>
      <w:r>
        <w:rPr>
          <w:rFonts w:cs="Times New Roman" w:ascii="Baskerville Old Face" w:hAnsi="Baskerville Old Face"/>
          <w:lang w:val="en-GB"/>
        </w:rPr>
        <w:t>Ibid.</w:t>
      </w:r>
    </w:p>
  </w:footnote>
  <w:footnote w:id="4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1187B-1187D. </w:t>
      </w:r>
    </w:p>
  </w:footnote>
  <w:footnote w:id="4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needn’t imply the existence of real distinct accidents inhering in God. But this point has to wait until </w:t>
      </w:r>
      <w:r>
        <w:rPr>
          <w:rFonts w:cs="Times New Roman" w:ascii="Baskerville Old Face" w:hAnsi="Baskerville Old Face"/>
          <w:i/>
          <w:lang w:val="en-GB"/>
        </w:rPr>
        <w:t xml:space="preserve">Proslogion </w:t>
      </w:r>
      <w:r>
        <w:rPr>
          <w:rFonts w:cs="Times New Roman" w:ascii="Baskerville Old Face" w:hAnsi="Baskerville Old Face"/>
          <w:lang w:val="en-GB"/>
        </w:rPr>
        <w:t>12, and so isn’t yet present at the beginning of Anselm’s treatise.</w:t>
      </w:r>
    </w:p>
  </w:footnote>
  <w:footnote w:id="4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On extrinsic topics, see </w:t>
      </w:r>
      <w:r>
        <w:rPr>
          <w:rFonts w:cs="Times New Roman" w:ascii="Baskerville Old Face" w:hAnsi="Baskerville Old Face"/>
          <w:i/>
          <w:lang w:val="en-GB"/>
        </w:rPr>
        <w:t xml:space="preserve">BDT </w:t>
      </w:r>
      <w:r>
        <w:rPr>
          <w:rFonts w:cs="Times New Roman" w:ascii="Baskerville Old Face" w:hAnsi="Baskerville Old Face"/>
          <w:lang w:val="en-GB"/>
        </w:rPr>
        <w:t>1190B-1192B.</w:t>
      </w:r>
    </w:p>
  </w:footnote>
  <w:footnote w:id="46">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Pros. </w:t>
      </w:r>
      <w:r>
        <w:rPr>
          <w:rFonts w:ascii="Baskerville Old Face" w:hAnsi="Baskerville Old Face"/>
          <w:lang w:val="en-GB"/>
        </w:rPr>
        <w:t>5.</w:t>
      </w:r>
    </w:p>
  </w:footnote>
  <w:footnote w:id="4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1192C-1193D.</w:t>
      </w:r>
    </w:p>
  </w:footnote>
  <w:footnote w:id="4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This format is especially prominent in Scotus’ reformulation of the proof. See Scotus 1966.</w:t>
      </w:r>
    </w:p>
  </w:footnote>
  <w:footnote w:id="4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This may help explain Anselm’s sometimes acerbic tone in the </w:t>
      </w:r>
      <w:r>
        <w:rPr>
          <w:rFonts w:ascii="Baskerville Old Face" w:hAnsi="Baskerville Old Face"/>
          <w:i/>
          <w:lang w:val="en-GB"/>
        </w:rPr>
        <w:t>Responsio</w:t>
      </w:r>
      <w:r>
        <w:rPr>
          <w:rFonts w:ascii="Baskerville Old Face" w:hAnsi="Baskerville Old Face"/>
          <w:lang w:val="en-GB"/>
        </w:rPr>
        <w:t xml:space="preserve">: he rightly read Gaunilo’s praise at the end of the </w:t>
      </w:r>
      <w:r>
        <w:rPr>
          <w:rFonts w:ascii="Baskerville Old Face" w:hAnsi="Baskerville Old Face"/>
          <w:i/>
          <w:lang w:val="en-GB"/>
        </w:rPr>
        <w:t>Pro Insipiente</w:t>
      </w:r>
      <w:r>
        <w:rPr>
          <w:rFonts w:ascii="Baskerville Old Face" w:hAnsi="Baskerville Old Face"/>
          <w:lang w:val="en-GB"/>
        </w:rPr>
        <w:t xml:space="preserve"> as tongue-in-cheek.</w:t>
      </w:r>
    </w:p>
  </w:footnote>
  <w:footnote w:id="5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51">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quam falsum sit, fide et conscientia tua pro firmissimo utor argumento’</w:t>
      </w:r>
    </w:p>
  </w:footnote>
  <w:footnote w:id="52">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The sense is not that of something being probable in the mathematical sense, which only arose with the work of Pascal and others many centuries later. Rather, the root of the term is the Latin </w:t>
      </w:r>
      <w:r>
        <w:rPr>
          <w:rFonts w:ascii="Baskerville Old Face" w:hAnsi="Baskerville Old Face"/>
          <w:i/>
          <w:iCs/>
          <w:lang w:val="en-GB"/>
        </w:rPr>
        <w:t>probo</w:t>
      </w:r>
      <w:r>
        <w:rPr>
          <w:rFonts w:ascii="Baskerville Old Face" w:hAnsi="Baskerville Old Face"/>
          <w:i w:val="false"/>
          <w:iCs w:val="false"/>
          <w:lang w:val="en-GB"/>
        </w:rPr>
        <w:t>, to prove or test – hence the sense of something’s having been tested, and consequently trustworthy or reliable, albeit not necessarily infallibly so.</w:t>
      </w:r>
    </w:p>
  </w:footnote>
  <w:footnote w:id="5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BDT </w:t>
      </w:r>
      <w:r>
        <w:rPr>
          <w:rFonts w:cs="Times New Roman" w:ascii="Baskerville Old Face" w:hAnsi="Baskerville Old Face"/>
          <w:lang w:val="en-GB"/>
        </w:rPr>
        <w:t>1180CD: ‘Probabile vero est quod videtur vel omnibus, vel pluribus, vel sapientibus, et his vel omnibus, vel pluribus, vel maxime notis atque praecipuis; vel quod unicuique artific</w:t>
      </w:r>
      <w:r>
        <w:rPr>
          <w:rFonts w:cs="Times New Roman" w:ascii="Baskerville Old Face" w:hAnsi="Baskerville Old Face"/>
          <w:lang w:val="en-GB"/>
        </w:rPr>
        <w:t>i</w:t>
      </w:r>
      <w:r>
        <w:rPr>
          <w:rFonts w:cs="Times New Roman" w:ascii="Baskerville Old Face" w:hAnsi="Baskerville Old Face"/>
          <w:lang w:val="en-GB"/>
        </w:rPr>
        <w:t xml:space="preserve"> secundum propriam facultatem.’</w:t>
      </w:r>
    </w:p>
  </w:footnote>
  <w:footnote w:id="5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Resp. proemium</w:t>
      </w:r>
      <w:r>
        <w:rPr>
          <w:rFonts w:cs="Times New Roman" w:ascii="Baskerville Old Face" w:hAnsi="Baskerville Old Face"/>
          <w:lang w:val="en-GB"/>
        </w:rPr>
        <w:t>.</w:t>
      </w:r>
    </w:p>
  </w:footnote>
  <w:footnote w:id="5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45-51, from Wippel and Wolter 1969, 310.</w:t>
      </w:r>
    </w:p>
  </w:footnote>
  <w:footnote w:id="56">
    <w:p>
      <w:pPr>
        <w:pStyle w:val="Footnote"/>
        <w:jc w:val="both"/>
        <w:rPr>
          <w:lang w:val="en-GB"/>
        </w:rPr>
      </w:pPr>
      <w:r>
        <w:rPr>
          <w:rStyle w:val="FootnoteCharacters"/>
        </w:rPr>
        <w:footnoteRef/>
      </w:r>
      <w:r>
        <w:rPr>
          <w:rFonts w:ascii="Baskerville Old Face" w:hAnsi="Baskerville Old Face"/>
          <w:lang w:val="en-GB"/>
        </w:rPr>
        <w:t xml:space="preserve"> </w:t>
      </w:r>
      <w:r>
        <w:rPr>
          <w:rFonts w:cs="Times New Roman" w:ascii="Baskerville Old Face" w:hAnsi="Baskerville Old Face"/>
          <w:lang w:val="en-GB"/>
        </w:rPr>
        <w:t>However, I know of no secondary literature on the topic that has so much as mentioned this.</w:t>
      </w:r>
    </w:p>
  </w:footnote>
  <w:footnote w:id="57">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8">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‘Sed si hoc est: primo quidem non hic erit aliud, idemque tempore praecedens, habere rem in intellectu; et aliud, idemque tempore sequens, intelligere rem esse.’</w:t>
      </w:r>
    </w:p>
  </w:footnote>
  <w:footnote w:id="59">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si dicis non intelligi et non esse in intellectu, quod non penitus intelligitur; dic quia qui non potest intueri purissimam lucem solis, non videt lucem diei, quae non est nisi lux solis.’</w:t>
      </w:r>
    </w:p>
  </w:footnote>
  <w:footnote w:id="6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Pros. </w:t>
      </w:r>
      <w:r>
        <w:rPr>
          <w:rFonts w:cs="Times New Roman" w:ascii="Baskerville Old Face" w:hAnsi="Baskerville Old Face"/>
          <w:lang w:val="en-GB"/>
        </w:rPr>
        <w:t xml:space="preserve">2: ‘Ergo, Domine, qui das fidei intellectum, da mihi, ut … intelligam quia es, sicut credimus, et hoc es, quod credimus.’ </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GB"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27577</TotalTime>
  <Application>LibreOffice/7.4.2.3$Linux_X86_64 LibreOffice_project/382eef1f22670f7f4118c8c2dd222ec7ad009daf</Application>
  <AppVersion>15.0000</AppVersion>
  <Pages>35</Pages>
  <Words>9759</Words>
  <Characters>50878</Characters>
  <CharactersWithSpaces>60613</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2022-11-21T20:39:39Z</dcterms:modified>
  <cp:revision>633</cp:revision>
  <dc:subject/>
  <dc:title/>
</cp:coreProperties>
</file>

<file path=docProps/custom.xml><?xml version="1.0" encoding="utf-8"?>
<Properties xmlns="http://schemas.openxmlformats.org/officeDocument/2006/custom-properties" xmlns:vt="http://schemas.openxmlformats.org/officeDocument/2006/docPropsVTypes"/>
</file>