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480"/>
        <w:jc w:val="both"/>
        <w:rPr>
          <w:lang w:val="en-GB"/>
        </w:rPr>
      </w:pPr>
      <w:r>
        <w:rPr>
          <w:rFonts w:cs="Times New Roman" w:ascii="Baskerville Old Face" w:hAnsi="Baskerville Old Face"/>
          <w:b/>
          <w:sz w:val="24"/>
          <w:szCs w:val="24"/>
          <w:lang w:val="en-GB"/>
        </w:rPr>
        <w:t xml:space="preserve">The Teaching of the </w:t>
      </w:r>
      <w:r>
        <w:rPr>
          <w:rFonts w:cs="Times New Roman" w:ascii="Baskerville Old Face" w:hAnsi="Baskerville Old Face"/>
          <w:b/>
          <w:i/>
          <w:sz w:val="24"/>
          <w:szCs w:val="24"/>
          <w:lang w:val="en-GB"/>
        </w:rPr>
        <w:t>Trivium</w:t>
      </w:r>
      <w:r>
        <w:rPr>
          <w:rFonts w:cs="Times New Roman" w:ascii="Baskerville Old Face" w:hAnsi="Baskerville Old Face"/>
          <w:b/>
          <w:sz w:val="24"/>
          <w:szCs w:val="24"/>
          <w:lang w:val="en-GB"/>
        </w:rPr>
        <w:t xml:space="preserve"> at Bec and its Bearing on Anselm’s Programme of </w:t>
      </w:r>
      <w:r>
        <w:rPr>
          <w:rFonts w:cs="Times New Roman" w:ascii="Baskerville Old Face" w:hAnsi="Baskerville Old Face"/>
          <w:b/>
          <w:i/>
          <w:sz w:val="24"/>
          <w:szCs w:val="24"/>
          <w:lang w:val="en-GB"/>
        </w:rPr>
        <w:t>Fides Quaerens Intellectum</w:t>
      </w:r>
    </w:p>
    <w:p>
      <w:pPr>
        <w:pStyle w:val="Normal"/>
        <w:spacing w:lineRule="auto" w:line="480"/>
        <w:jc w:val="both"/>
        <w:rPr>
          <w:lang w:val="en-GB"/>
        </w:rPr>
      </w:pPr>
      <w:r>
        <w:rPr>
          <w:rFonts w:ascii="Baskerville Old Face" w:hAnsi="Baskerville Old Face"/>
          <w:sz w:val="24"/>
          <w:szCs w:val="24"/>
          <w:lang w:val="en-GB"/>
        </w:rPr>
        <w:t>Jacob Archambault</w:t>
      </w:r>
    </w:p>
    <w:p>
      <w:pPr>
        <w:pStyle w:val="Normal"/>
        <w:spacing w:lineRule="auto" w:line="480"/>
        <w:ind w:left="900" w:hanging="0"/>
        <w:jc w:val="both"/>
        <w:rPr>
          <w:lang w:val="en-GB"/>
        </w:rPr>
      </w:pPr>
      <w:r>
        <w:rPr>
          <w:rFonts w:cs="Times New Roman" w:ascii="Baskerville Old Face" w:hAnsi="Baskerville Old Face"/>
          <w:b/>
          <w:sz w:val="24"/>
          <w:szCs w:val="24"/>
          <w:lang w:val="en-GB"/>
        </w:rPr>
        <w:t xml:space="preserve">Abstract. </w:t>
      </w:r>
      <w:r>
        <w:rPr>
          <w:rFonts w:cs="Times New Roman" w:ascii="Baskerville Old Face" w:hAnsi="Baskerville Old Face"/>
          <w:sz w:val="24"/>
          <w:szCs w:val="24"/>
          <w:lang w:val="en-GB"/>
        </w:rPr>
        <w:t>How should the phrase ‘</w:t>
      </w:r>
      <w:r>
        <w:rPr>
          <w:rFonts w:cs="Times New Roman" w:ascii="Baskerville Old Face" w:hAnsi="Baskerville Old Face"/>
          <w:i/>
          <w:sz w:val="24"/>
          <w:szCs w:val="24"/>
          <w:lang w:val="en-GB"/>
        </w:rPr>
        <w:t>fides quaerens intellectum</w:t>
      </w:r>
      <w:r>
        <w:rPr>
          <w:rFonts w:cs="Times New Roman" w:ascii="Baskerville Old Face" w:hAnsi="Baskerville Old Face"/>
          <w:sz w:val="24"/>
          <w:szCs w:val="24"/>
          <w:lang w:val="en-GB"/>
        </w:rPr>
        <w:t xml:space="preserve">’ be understood as a characterization of Anselm’s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I argue that ‘</w:t>
      </w:r>
      <w:r>
        <w:rPr>
          <w:rFonts w:cs="Times New Roman" w:ascii="Baskerville Old Face" w:hAnsi="Baskerville Old Face"/>
          <w:i/>
          <w:sz w:val="24"/>
          <w:szCs w:val="24"/>
          <w:lang w:val="en-GB"/>
        </w:rPr>
        <w:t>fides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and ‘</w:t>
      </w:r>
      <w:r>
        <w:rPr>
          <w:rFonts w:cs="Times New Roman" w:ascii="Baskerville Old Face" w:hAnsi="Baskerville Old Face"/>
          <w:i/>
          <w:sz w:val="24"/>
          <w:szCs w:val="24"/>
          <w:lang w:val="en-GB"/>
        </w:rPr>
        <w:t>intellectum</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should be understood not in accordance with the standard meanings we assign to ‘faith’ and ‘understanding’ today, but in accordance with their meaning in works used to teach grammar and dialectic at Bec in and around Anselm’s lifetime.</w:t>
      </w:r>
    </w:p>
    <w:p>
      <w:pPr>
        <w:pStyle w:val="Normal"/>
        <w:spacing w:lineRule="auto" w:line="480"/>
        <w:ind w:left="900" w:hanging="0"/>
        <w:jc w:val="both"/>
        <w:rPr>
          <w:lang w:val="en-GB"/>
        </w:rPr>
      </w:pPr>
      <w:r>
        <w:rPr>
          <w:rFonts w:cs="Times New Roman" w:ascii="Baskerville Old Face" w:hAnsi="Baskerville Old Face"/>
          <w:sz w:val="24"/>
          <w:szCs w:val="24"/>
          <w:lang w:val="en-GB"/>
        </w:rPr>
        <w:t xml:space="preserve">I begin by making the structures behind the usual understanding of ‘faith’ and ‘understanding’ explicit. From here, I detail the works of the </w:t>
      </w:r>
      <w:r>
        <w:rPr>
          <w:rFonts w:cs="Times New Roman" w:ascii="Baskerville Old Face" w:hAnsi="Baskerville Old Face"/>
          <w:i/>
          <w:sz w:val="24"/>
          <w:szCs w:val="24"/>
          <w:lang w:val="en-GB"/>
        </w:rPr>
        <w:t xml:space="preserve">Trivium </w:t>
      </w:r>
      <w:r>
        <w:rPr>
          <w:rFonts w:cs="Times New Roman" w:ascii="Baskerville Old Face" w:hAnsi="Baskerville Old Face"/>
          <w:sz w:val="24"/>
          <w:szCs w:val="24"/>
          <w:lang w:val="en-GB"/>
        </w:rPr>
        <w:t>used at Bec according to a 12</w:t>
      </w:r>
      <w:r>
        <w:rPr>
          <w:rFonts w:cs="Times New Roman" w:ascii="Baskerville Old Face" w:hAnsi="Baskerville Old Face"/>
          <w:sz w:val="24"/>
          <w:szCs w:val="24"/>
          <w:vertAlign w:val="superscript"/>
          <w:lang w:val="en-GB"/>
        </w:rPr>
        <w:t>th</w:t>
      </w:r>
      <w:r>
        <w:rPr>
          <w:rFonts w:cs="Times New Roman" w:ascii="Baskerville Old Face" w:hAnsi="Baskerville Old Face"/>
          <w:sz w:val="24"/>
          <w:szCs w:val="24"/>
          <w:lang w:val="en-GB"/>
        </w:rPr>
        <w:t xml:space="preserve"> century library list, and provide justification for thinking these same works were used slightly earlier, in Anselm’s time. Next, I show how the terms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functioned in these works. Finally, I show how these considerations illuminate Anselm’s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and the exchange with Gaunilo.</w:t>
      </w:r>
    </w:p>
    <w:p>
      <w:pPr>
        <w:pStyle w:val="Normal"/>
        <w:spacing w:lineRule="auto" w:line="480"/>
        <w:jc w:val="both"/>
        <w:rPr>
          <w:lang w:val="en-GB"/>
        </w:rPr>
      </w:pPr>
      <w:r>
        <w:rPr>
          <w:rFonts w:cs="Times New Roman" w:ascii="Baskerville Old Face" w:hAnsi="Baskerville Old Face"/>
          <w:sz w:val="24"/>
          <w:szCs w:val="24"/>
          <w:lang w:val="en-GB"/>
        </w:rPr>
        <w:t>Keywords: Anselm of Canterbury; Boethius; topics, medieval interpretations of; faith and reason.</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1 The Current State of Anselm Scholarship and the Usual Understanding of </w:t>
      </w:r>
      <w:r>
        <w:rPr>
          <w:rFonts w:cs="Times New Roman" w:ascii="Baskerville Old Face" w:hAnsi="Baskerville Old Face"/>
          <w:b/>
          <w:i/>
          <w:color w:val="auto"/>
          <w:sz w:val="24"/>
          <w:szCs w:val="24"/>
          <w:lang w:val="en-GB"/>
        </w:rPr>
        <w:t>Fides</w:t>
      </w:r>
      <w:r>
        <w:rPr>
          <w:rFonts w:cs="Times New Roman" w:ascii="Baskerville Old Face" w:hAnsi="Baskerville Old Face"/>
          <w:b/>
          <w:color w:val="auto"/>
          <w:sz w:val="24"/>
          <w:szCs w:val="24"/>
          <w:lang w:val="en-GB"/>
        </w:rPr>
        <w:t xml:space="preserve"> and </w:t>
      </w:r>
      <w:r>
        <w:rPr>
          <w:rFonts w:cs="Times New Roman" w:ascii="Baskerville Old Face" w:hAnsi="Baskerville Old Face"/>
          <w:b/>
          <w:i/>
          <w:color w:val="auto"/>
          <w:sz w:val="24"/>
          <w:szCs w:val="24"/>
          <w:lang w:val="en-GB"/>
        </w:rPr>
        <w:t>Intellectus</w:t>
      </w:r>
    </w:p>
    <w:p>
      <w:pPr>
        <w:pStyle w:val="Normal"/>
        <w:spacing w:lineRule="auto" w:line="480"/>
        <w:jc w:val="both"/>
        <w:rPr>
          <w:lang w:val="en-GB"/>
        </w:rPr>
      </w:pPr>
      <w:r>
        <w:rPr>
          <w:rFonts w:cs="Times New Roman" w:ascii="Baskerville Old Face" w:hAnsi="Baskerville Old Face"/>
          <w:i/>
          <w:sz w:val="24"/>
          <w:szCs w:val="24"/>
          <w:lang w:val="en-GB"/>
        </w:rPr>
        <w:tab/>
      </w:r>
      <w:r>
        <w:rPr>
          <w:rFonts w:cs="Times New Roman" w:ascii="Baskerville Old Face" w:hAnsi="Baskerville Old Face"/>
          <w:sz w:val="24"/>
          <w:szCs w:val="24"/>
          <w:lang w:val="en-GB"/>
        </w:rPr>
        <w:t xml:space="preserve">In </w:t>
      </w:r>
      <w:r>
        <w:rPr>
          <w:rFonts w:cs="Times New Roman" w:ascii="Baskerville Old Face" w:hAnsi="Baskerville Old Face"/>
          <w:i/>
          <w:sz w:val="24"/>
          <w:szCs w:val="24"/>
          <w:lang w:val="en-GB"/>
        </w:rPr>
        <w:t>Anselm of Canterbury and the Desire for the Word</w:t>
      </w:r>
      <w:r>
        <w:rPr>
          <w:rFonts w:cs="Times New Roman" w:ascii="Baskerville Old Face" w:hAnsi="Baskerville Old Face"/>
          <w:sz w:val="24"/>
          <w:szCs w:val="24"/>
          <w:lang w:val="en-GB"/>
        </w:rPr>
        <w:t xml:space="preserve">, Eileen Sweeney describes the current state of Anselm scholarship thus:  </w:t>
      </w:r>
    </w:p>
    <w:p>
      <w:pPr>
        <w:pStyle w:val="Normal"/>
        <w:spacing w:lineRule="auto" w:line="480"/>
        <w:ind w:left="900" w:hanging="0"/>
        <w:jc w:val="both"/>
        <w:rPr>
          <w:lang w:val="en-GB"/>
        </w:rPr>
      </w:pPr>
      <w:r>
        <w:rPr>
          <w:rFonts w:cs="Times New Roman" w:ascii="Baskerville Old Face" w:hAnsi="Baskerville Old Face"/>
          <w:sz w:val="24"/>
          <w:szCs w:val="24"/>
          <w:lang w:val="en-GB"/>
        </w:rPr>
        <w:t>There are real divisions in the interpretation of Anselm. […] Philosophers and systematic theologians carry off parts of his corpus, while those interested in spirituality take others. [...] One of the most vexed questions in Anselm scholarship is its disciplinary location. Though the question of whether Anselm’s work is philosophy or theology is ultimately anachronistic, the extreme positions that have been taken on this question reveal something about how incompatible the elements of Anselm’s corpus seem to modern sensibilities.</w:t>
      </w:r>
      <w:r>
        <w:rPr>
          <w:rStyle w:val="FootnoteAnchor"/>
          <w:rFonts w:cs="Times New Roman" w:ascii="Baskerville Old Face" w:hAnsi="Baskerville Old Face"/>
          <w:sz w:val="24"/>
          <w:szCs w:val="24"/>
          <w:lang w:val="en-GB"/>
        </w:rPr>
        <w:footnoteReference w:id="2"/>
      </w:r>
    </w:p>
    <w:p>
      <w:pPr>
        <w:pStyle w:val="Normal"/>
        <w:spacing w:lineRule="auto" w:line="480"/>
        <w:jc w:val="both"/>
        <w:rPr>
          <w:lang w:val="en-GB"/>
        </w:rPr>
      </w:pPr>
      <w:r>
        <w:rPr>
          <w:rFonts w:cs="Times New Roman" w:ascii="Baskerville Old Face" w:hAnsi="Baskerville Old Face"/>
          <w:sz w:val="24"/>
          <w:szCs w:val="24"/>
          <w:lang w:val="en-GB"/>
        </w:rPr>
        <w:t xml:space="preserve">According to the operative conception behind the aforementioned divide, to study religion, theology, or spirituality is to take </w:t>
      </w:r>
      <w:r>
        <w:rPr>
          <w:rFonts w:cs="Times New Roman" w:ascii="Baskerville Old Face" w:hAnsi="Baskerville Old Face"/>
          <w:i/>
          <w:sz w:val="24"/>
          <w:szCs w:val="24"/>
          <w:lang w:val="en-GB"/>
        </w:rPr>
        <w:t>faith</w:t>
      </w:r>
      <w:r>
        <w:rPr>
          <w:rFonts w:cs="Times New Roman" w:ascii="Baskerville Old Face" w:hAnsi="Baskerville Old Face"/>
          <w:sz w:val="24"/>
          <w:szCs w:val="24"/>
          <w:lang w:val="en-GB"/>
        </w:rPr>
        <w:t xml:space="preserve"> as the object of one’s inquiry; while philosophy is that academic discipline most characterized by its connection with reason – and if reason and understanding, </w:t>
      </w:r>
      <w:r>
        <w:rPr>
          <w:rFonts w:cs="Times New Roman" w:ascii="Baskerville Old Face" w:hAnsi="Baskerville Old Face"/>
          <w:i/>
          <w:sz w:val="24"/>
          <w:szCs w:val="24"/>
          <w:lang w:val="en-GB"/>
        </w:rPr>
        <w:t>ratio</w:t>
      </w:r>
      <w:r>
        <w:rPr>
          <w:rFonts w:cs="Times New Roman" w:ascii="Baskerville Old Face" w:hAnsi="Baskerville Old Face"/>
          <w:sz w:val="24"/>
          <w:szCs w:val="24"/>
          <w:lang w:val="en-GB"/>
        </w:rPr>
        <w:t xml:space="preserve"> and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are not identical, then the former at least provides the paradigmatic case of the latter.</w:t>
      </w:r>
    </w:p>
    <w:p>
      <w:pPr>
        <w:pStyle w:val="Normal"/>
        <w:spacing w:lineRule="auto" w:line="480"/>
        <w:jc w:val="both"/>
        <w:rPr>
          <w:lang w:val="en-GB"/>
        </w:rPr>
      </w:pPr>
      <w:r>
        <w:rPr>
          <w:rFonts w:cs="Times New Roman" w:ascii="Baskerville Old Face" w:hAnsi="Baskerville Old Face"/>
          <w:i/>
          <w:sz w:val="24"/>
          <w:szCs w:val="24"/>
          <w:lang w:val="en-GB"/>
        </w:rPr>
        <w:tab/>
        <w:t>Fides</w:t>
      </w:r>
      <w:r>
        <w:rPr>
          <w:rFonts w:cs="Times New Roman" w:ascii="Baskerville Old Face" w:hAnsi="Baskerville Old Face"/>
          <w:sz w:val="24"/>
          <w:szCs w:val="24"/>
          <w:lang w:val="en-GB"/>
        </w:rPr>
        <w:t>, or ‘faith’,</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is understood in two ways: primarily, as a subjective state, that of believing a matter not objectively verified; secondarily, as the matter assented to. In the first way, the study of faith is part of the study of human subjectivity, and thus subordinated to psychology. In the second, to study faiths is to study the structures of propositional content assented to by those having faith in the first sense. If one structure is privileged as correct, then one is doing theology; if one remains agnostic about the correctness of any one religious system and instead studies properties of these structures for their own sake, then one is engaging in comparative religion.</w:t>
      </w:r>
    </w:p>
    <w:p>
      <w:pPr>
        <w:pStyle w:val="Normal"/>
        <w:spacing w:lineRule="auto" w:line="480"/>
        <w:jc w:val="both"/>
        <w:rPr>
          <w:lang w:val="en-GB"/>
        </w:rPr>
      </w:pPr>
      <w:r>
        <w:rPr>
          <w:rFonts w:cs="Times New Roman" w:ascii="Baskerville Old Face" w:hAnsi="Baskerville Old Face"/>
          <w:sz w:val="24"/>
          <w:szCs w:val="24"/>
          <w:lang w:val="en-GB"/>
        </w:rPr>
        <w:tab/>
        <w:t xml:space="preserve">A divide between subjective and objective senses similarly governs the meanings of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typically translated as ‘understanding’. This term can refer to: 1) the faculty of knowing; 2) the state of knowledge attained by the proper exercise of that faculty; or 3) the knowledge attained by that exercise. The </w:t>
      </w:r>
      <w:r>
        <w:rPr>
          <w:rFonts w:cs="Times New Roman" w:ascii="Baskerville Old Face" w:hAnsi="Baskerville Old Face"/>
          <w:i/>
          <w:sz w:val="24"/>
          <w:szCs w:val="24"/>
          <w:lang w:val="en-GB"/>
        </w:rPr>
        <w:t>faculty</w:t>
      </w:r>
      <w:r>
        <w:rPr>
          <w:rFonts w:cs="Times New Roman" w:ascii="Baskerville Old Face" w:hAnsi="Baskerville Old Face"/>
          <w:sz w:val="24"/>
          <w:szCs w:val="24"/>
          <w:lang w:val="en-GB"/>
        </w:rPr>
        <w:t xml:space="preserve"> of understanding is often taken to be identical to the faculty of reason, while the </w:t>
      </w:r>
      <w:r>
        <w:rPr>
          <w:rFonts w:cs="Times New Roman" w:ascii="Baskerville Old Face" w:hAnsi="Baskerville Old Face"/>
          <w:i/>
          <w:sz w:val="24"/>
          <w:szCs w:val="24"/>
          <w:lang w:val="en-GB"/>
        </w:rPr>
        <w:t>state</w:t>
      </w:r>
      <w:r>
        <w:rPr>
          <w:rFonts w:cs="Times New Roman" w:ascii="Baskerville Old Face" w:hAnsi="Baskerville Old Face"/>
          <w:sz w:val="24"/>
          <w:szCs w:val="24"/>
          <w:lang w:val="en-GB"/>
        </w:rPr>
        <w:t xml:space="preserve"> of understanding occurs when one can give sufficient reasons (i.e. known true propositions taken as premises) for what is understood. As in the previous case, the faculty retains priority over both the state and the object attained, and is usually identified with the human mind. Understanding understanding is, then, the province of psychology. Correlatively, understanding in the second sense is taken to be a psychological state; understanding in the third sense is dubbed ‘mental content’, and is studied, most often in philosophy of mind, under that heading.</w:t>
      </w:r>
      <w:r>
        <w:rPr>
          <w:rStyle w:val="FootnoteAnchor"/>
          <w:rFonts w:cs="Times New Roman" w:ascii="Baskerville Old Face" w:hAnsi="Baskerville Old Face"/>
          <w:sz w:val="24"/>
          <w:szCs w:val="24"/>
          <w:lang w:val="en-GB"/>
        </w:rPr>
        <w:footnoteReference w:id="3"/>
      </w:r>
    </w:p>
    <w:p>
      <w:pPr>
        <w:pStyle w:val="Normal"/>
        <w:spacing w:lineRule="auto" w:line="480"/>
        <w:jc w:val="both"/>
        <w:rPr>
          <w:lang w:val="en-GB"/>
        </w:rPr>
      </w:pPr>
      <w:r>
        <w:rPr>
          <w:rFonts w:cs="Times New Roman" w:ascii="Baskerville Old Face" w:hAnsi="Baskerville Old Face"/>
          <w:sz w:val="24"/>
          <w:szCs w:val="24"/>
          <w:lang w:val="en-GB"/>
        </w:rPr>
        <w:tab/>
        <w:t xml:space="preserve">The relation between these states is taken as follows. Faith </w:t>
      </w:r>
      <w:r>
        <w:rPr>
          <w:rFonts w:cs="Times New Roman" w:ascii="Baskerville Old Face" w:hAnsi="Baskerville Old Face"/>
          <w:i/>
          <w:sz w:val="24"/>
          <w:szCs w:val="24"/>
          <w:lang w:val="en-GB"/>
        </w:rPr>
        <w:t xml:space="preserve">qua </w:t>
      </w:r>
      <w:r>
        <w:rPr>
          <w:rFonts w:cs="Times New Roman" w:ascii="Baskerville Old Face" w:hAnsi="Baskerville Old Face"/>
          <w:sz w:val="24"/>
          <w:szCs w:val="24"/>
          <w:lang w:val="en-GB"/>
        </w:rPr>
        <w:t xml:space="preserve">act of belief is an act of the will, marked by the subjective indeterminacy of the truth value of propositional contents taken as its object. The </w:t>
      </w:r>
      <w:r>
        <w:rPr>
          <w:rFonts w:cs="Times New Roman" w:ascii="Baskerville Old Face" w:hAnsi="Baskerville Old Face"/>
          <w:i/>
          <w:sz w:val="24"/>
          <w:szCs w:val="24"/>
          <w:lang w:val="en-GB"/>
        </w:rPr>
        <w:t>state</w:t>
      </w:r>
      <w:r>
        <w:rPr>
          <w:rFonts w:cs="Times New Roman" w:ascii="Baskerville Old Face" w:hAnsi="Baskerville Old Face"/>
          <w:sz w:val="24"/>
          <w:szCs w:val="24"/>
          <w:lang w:val="en-GB"/>
        </w:rPr>
        <w:t xml:space="preserve"> of faith is, compared with that of understanding, incomplete. And the </w:t>
      </w:r>
      <w:r>
        <w:rPr>
          <w:rFonts w:cs="Times New Roman" w:ascii="Baskerville Old Face" w:hAnsi="Baskerville Old Face"/>
          <w:i/>
          <w:sz w:val="24"/>
          <w:szCs w:val="24"/>
          <w:lang w:val="en-GB"/>
        </w:rPr>
        <w:t>content</w:t>
      </w:r>
      <w:r>
        <w:rPr>
          <w:rFonts w:cs="Times New Roman" w:ascii="Baskerville Old Face" w:hAnsi="Baskerville Old Face"/>
          <w:sz w:val="24"/>
          <w:szCs w:val="24"/>
          <w:lang w:val="en-GB"/>
        </w:rPr>
        <w:t xml:space="preserve"> of religious belief relates to that of understanding according to one of two models: on the first, stemming from Aquinas, truths of faith are </w:t>
      </w:r>
      <w:r>
        <w:rPr>
          <w:rFonts w:cs="Times New Roman" w:ascii="Baskerville Old Face" w:hAnsi="Baskerville Old Face"/>
          <w:i/>
          <w:sz w:val="24"/>
          <w:szCs w:val="24"/>
          <w:lang w:val="en-GB"/>
        </w:rPr>
        <w:t xml:space="preserve">above </w:t>
      </w:r>
      <w:r>
        <w:rPr>
          <w:rFonts w:cs="Times New Roman" w:ascii="Baskerville Old Face" w:hAnsi="Baskerville Old Face"/>
          <w:sz w:val="24"/>
          <w:szCs w:val="24"/>
          <w:lang w:val="en-GB"/>
        </w:rPr>
        <w:t>reason; on the second, stemming from Latin Avërroism,</w:t>
      </w:r>
      <w:r>
        <w:rPr>
          <w:rStyle w:val="FootnoteAnchor"/>
          <w:rFonts w:cs="Times New Roman" w:ascii="Baskerville Old Face" w:hAnsi="Baskerville Old Face"/>
          <w:sz w:val="24"/>
          <w:szCs w:val="24"/>
          <w:lang w:val="en-GB"/>
        </w:rPr>
        <w:footnoteReference w:id="4"/>
      </w:r>
      <w:r>
        <w:rPr>
          <w:rFonts w:cs="Times New Roman" w:ascii="Baskerville Old Face" w:hAnsi="Baskerville Old Face"/>
          <w:sz w:val="24"/>
          <w:szCs w:val="24"/>
          <w:lang w:val="en-GB"/>
        </w:rPr>
        <w:t xml:space="preserve"> truths of faith may contradict reason. In the first, faith acts as a supervaluation function filling in truth values undecidable by the machinery of reason alone. In the second, the data given to faith and reason conflict, and one must choose between the two.</w:t>
      </w:r>
    </w:p>
    <w:p>
      <w:pPr>
        <w:pStyle w:val="Normal"/>
        <w:spacing w:lineRule="auto" w:line="480"/>
        <w:jc w:val="both"/>
        <w:rPr>
          <w:lang w:val="en-GB"/>
        </w:rPr>
      </w:pPr>
      <w:r>
        <w:rPr>
          <w:rFonts w:cs="Times New Roman" w:ascii="Baskerville Old Face" w:hAnsi="Baskerville Old Face"/>
          <w:i/>
          <w:sz w:val="24"/>
          <w:szCs w:val="24"/>
          <w:lang w:val="en-GB"/>
        </w:rPr>
        <w:tab/>
        <w:t>Fides quaerens intellectum</w:t>
      </w:r>
      <w:r>
        <w:rPr>
          <w:rFonts w:cs="Times New Roman" w:ascii="Baskerville Old Face" w:hAnsi="Baskerville Old Face"/>
          <w:sz w:val="24"/>
          <w:szCs w:val="24"/>
          <w:lang w:val="en-GB"/>
        </w:rPr>
        <w:t xml:space="preserve">, then, is most often taken to mean ‘subjective, willed believing-without-evidence seeking definitive proof that what it believes unknowingly is in fact the case’. If one takes the content of reason and faith to conflict, then ‘without’ can be strengthened to ‘against’. This sense is not terribly flattering. This does not mean it is an incorrect reading of the phenomena, but we should hesitate to think this was what Anselm endorsed when he gave </w:t>
      </w:r>
      <w:r>
        <w:rPr>
          <w:rFonts w:cs="Times New Roman" w:ascii="Baskerville Old Face" w:hAnsi="Baskerville Old Face"/>
          <w:i/>
          <w:sz w:val="24"/>
          <w:szCs w:val="24"/>
          <w:lang w:val="en-GB"/>
        </w:rPr>
        <w:t xml:space="preserve">fides quaerens intellectum </w:t>
      </w:r>
      <w:r>
        <w:rPr>
          <w:rFonts w:cs="Times New Roman" w:ascii="Baskerville Old Face" w:hAnsi="Baskerville Old Face"/>
          <w:sz w:val="24"/>
          <w:szCs w:val="24"/>
          <w:lang w:val="en-GB"/>
        </w:rPr>
        <w:t xml:space="preserve">as the working title to his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w:t>
      </w:r>
    </w:p>
    <w:p>
      <w:pPr>
        <w:pStyle w:val="Normal"/>
        <w:spacing w:lineRule="auto" w:line="480"/>
        <w:jc w:val="both"/>
        <w:rPr>
          <w:lang w:val="en-GB"/>
        </w:rPr>
      </w:pPr>
      <w:r>
        <w:rPr>
          <w:rFonts w:cs="Times New Roman" w:ascii="Baskerville Old Face" w:hAnsi="Baskerville Old Face"/>
          <w:sz w:val="24"/>
          <w:szCs w:val="24"/>
          <w:lang w:val="en-GB"/>
        </w:rPr>
        <w:tab/>
        <w:t xml:space="preserve">This essay aims not so much to </w:t>
      </w:r>
      <w:r>
        <w:rPr>
          <w:rFonts w:cs="Times New Roman" w:ascii="Baskerville Old Face" w:hAnsi="Baskerville Old Face"/>
          <w:i/>
          <w:sz w:val="24"/>
          <w:szCs w:val="24"/>
          <w:lang w:val="en-GB"/>
        </w:rPr>
        <w:t xml:space="preserve">refute </w:t>
      </w:r>
      <w:r>
        <w:rPr>
          <w:rFonts w:cs="Times New Roman" w:ascii="Baskerville Old Face" w:hAnsi="Baskerville Old Face"/>
          <w:sz w:val="24"/>
          <w:szCs w:val="24"/>
          <w:lang w:val="en-GB"/>
        </w:rPr>
        <w:t xml:space="preserve">standard interpretations as to deepen them: the meanings we assign primarily to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 xml:space="preserve">intellectus </w:t>
      </w:r>
      <w:r>
        <w:rPr>
          <w:rFonts w:cs="Times New Roman" w:ascii="Baskerville Old Face" w:hAnsi="Baskerville Old Face"/>
          <w:sz w:val="24"/>
          <w:szCs w:val="24"/>
          <w:lang w:val="en-GB"/>
        </w:rPr>
        <w:t>are, on Anselm’s analysis, derivative. If reading Anselm differently on this point proves fruitful, it may also provide a way into seeing the matters themselves differently.</w:t>
      </w:r>
    </w:p>
    <w:p>
      <w:pPr>
        <w:pStyle w:val="Heading1"/>
        <w:spacing w:lineRule="auto" w:line="480"/>
        <w:jc w:val="both"/>
        <w:rPr>
          <w:lang w:val="en-GB"/>
        </w:rPr>
      </w:pPr>
      <w:r>
        <w:rPr>
          <w:rFonts w:cs="Times New Roman" w:ascii="Baskerville Old Face" w:hAnsi="Baskerville Old Face"/>
          <w:b/>
          <w:color w:val="auto"/>
          <w:sz w:val="24"/>
          <w:szCs w:val="24"/>
          <w:lang w:val="en-GB"/>
        </w:rPr>
        <w:t>2 The Trivium at Bec in the Early 12</w:t>
      </w:r>
      <w:r>
        <w:rPr>
          <w:rFonts w:cs="Times New Roman" w:ascii="Baskerville Old Face" w:hAnsi="Baskerville Old Face"/>
          <w:b/>
          <w:color w:val="auto"/>
          <w:sz w:val="24"/>
          <w:szCs w:val="24"/>
          <w:vertAlign w:val="superscript"/>
          <w:lang w:val="en-GB"/>
        </w:rPr>
        <w:t>th</w:t>
      </w:r>
      <w:r>
        <w:rPr>
          <w:rFonts w:cs="Times New Roman" w:ascii="Baskerville Old Face" w:hAnsi="Baskerville Old Face"/>
          <w:b/>
          <w:color w:val="auto"/>
          <w:sz w:val="24"/>
          <w:szCs w:val="24"/>
          <w:lang w:val="en-GB"/>
        </w:rPr>
        <w:t xml:space="preserve"> c.</w:t>
      </w:r>
    </w:p>
    <w:p>
      <w:pPr>
        <w:pStyle w:val="Normal"/>
        <w:spacing w:lineRule="auto" w:line="480"/>
        <w:jc w:val="both"/>
        <w:rPr>
          <w:lang w:val="en-GB"/>
        </w:rPr>
      </w:pPr>
      <w:r>
        <w:rPr>
          <w:rFonts w:cs="Times New Roman" w:ascii="Baskerville Old Face" w:hAnsi="Baskerville Old Face"/>
          <w:sz w:val="24"/>
          <w:szCs w:val="24"/>
          <w:lang w:val="en-GB"/>
        </w:rPr>
        <w:tab/>
        <w:t xml:space="preserve">The following entry is found toward the end of a library list from Bec abbey that Becker dates to the twelfth century: </w:t>
      </w:r>
    </w:p>
    <w:p>
      <w:pPr>
        <w:pStyle w:val="Normal"/>
        <w:spacing w:lineRule="auto" w:line="480"/>
        <w:ind w:left="900" w:hanging="0"/>
        <w:jc w:val="both"/>
        <w:rPr>
          <w:lang w:val="en-GB"/>
        </w:rPr>
      </w:pPr>
      <w:r>
        <w:rPr>
          <w:rFonts w:cs="Times New Roman" w:ascii="Baskerville Old Face" w:hAnsi="Baskerville Old Face"/>
          <w:sz w:val="24"/>
          <w:szCs w:val="24"/>
          <w:lang w:val="en-GB"/>
        </w:rPr>
        <w:t>157. In alio Martianus Capella de nuptiis Mercurii et philologie lib. II et de VII artibus editis ab eo lib. VII et commentum Remigii super eumdem IX lib. Priscianus de VIII partibus et de constructionibus II. Utraque rethorica II. Dialectice III. Utrumque commentum super Porphirium. Primum super catheg. Primum, secundum super periermeneias. Commentum super topica Ciceronis.</w:t>
      </w:r>
      <w:r>
        <w:rPr>
          <w:rStyle w:val="FootnoteAnchor"/>
          <w:rFonts w:cs="Times New Roman" w:ascii="Baskerville Old Face" w:hAnsi="Baskerville Old Face"/>
          <w:sz w:val="24"/>
          <w:szCs w:val="24"/>
          <w:lang w:val="en-GB"/>
        </w:rPr>
        <w:footnoteReference w:id="5"/>
      </w:r>
    </w:p>
    <w:p>
      <w:pPr>
        <w:pStyle w:val="Normal"/>
        <w:bidi w:val="0"/>
        <w:spacing w:lineRule="auto" w:line="480"/>
        <w:jc w:val="both"/>
        <w:rPr/>
      </w:pPr>
      <w:r>
        <w:rPr>
          <w:rFonts w:cs="Times New Roman" w:ascii="Baskerville Old Face" w:hAnsi="Baskerville Old Face"/>
          <w:sz w:val="24"/>
          <w:szCs w:val="24"/>
          <w:lang w:val="en-GB"/>
        </w:rPr>
        <w:t xml:space="preserve">Both the wording and content suggest these works, given as follows, were bound in a single volume. The first is the </w:t>
      </w:r>
      <w:r>
        <w:rPr>
          <w:rFonts w:cs="Times New Roman" w:ascii="Baskerville Old Face" w:hAnsi="Baskerville Old Face"/>
          <w:i/>
          <w:sz w:val="24"/>
          <w:szCs w:val="24"/>
          <w:lang w:val="en-GB"/>
        </w:rPr>
        <w:t>de nuptiis Mercurii et philologiae</w:t>
      </w:r>
      <w:r>
        <w:rPr>
          <w:rFonts w:cs="Times New Roman" w:ascii="Baskerville Old Face" w:hAnsi="Baskerville Old Face"/>
          <w:sz w:val="24"/>
          <w:szCs w:val="24"/>
          <w:lang w:val="en-GB"/>
        </w:rPr>
        <w:t>, here listed as two separate entries—the first two books by the title of the whole and the remaining seven by their content, ‘on the seven liberal arts,’</w:t>
      </w:r>
      <w:r>
        <w:rPr>
          <w:rStyle w:val="FootnoteAnchor"/>
          <w:rFonts w:cs="Times New Roman" w:ascii="Baskerville Old Face" w:hAnsi="Baskerville Old Face"/>
          <w:sz w:val="24"/>
          <w:szCs w:val="24"/>
          <w:lang w:val="en-GB"/>
        </w:rPr>
        <w:footnoteReference w:id="6"/>
      </w:r>
      <w:r>
        <w:rPr>
          <w:rFonts w:cs="Times New Roman" w:ascii="Baskerville Old Face" w:hAnsi="Baskerville Old Face"/>
          <w:sz w:val="24"/>
          <w:szCs w:val="24"/>
          <w:lang w:val="en-GB"/>
        </w:rPr>
        <w:t xml:space="preserve"> accompanied by a commentary of Remigius of Auxerre on the entire work. The work attributed to Priscian listed as </w:t>
      </w:r>
      <w:r>
        <w:rPr>
          <w:rFonts w:cs="Times New Roman" w:ascii="Baskerville Old Face" w:hAnsi="Baskerville Old Face"/>
          <w:i/>
          <w:sz w:val="24"/>
          <w:szCs w:val="24"/>
          <w:lang w:val="en-GB"/>
        </w:rPr>
        <w:t>de viii partibus et de constructionibus ii</w:t>
      </w:r>
      <w:r>
        <w:rPr>
          <w:rFonts w:cs="Times New Roman" w:ascii="Baskerville Old Face" w:hAnsi="Baskerville Old Face"/>
          <w:sz w:val="24"/>
          <w:szCs w:val="24"/>
          <w:lang w:val="en-GB"/>
        </w:rPr>
        <w:t xml:space="preserve"> is the </w:t>
      </w:r>
      <w:r>
        <w:rPr>
          <w:rFonts w:cs="Times New Roman" w:ascii="Baskerville Old Face" w:hAnsi="Baskerville Old Face"/>
          <w:i/>
          <w:sz w:val="24"/>
          <w:szCs w:val="24"/>
          <w:lang w:val="en-GB"/>
        </w:rPr>
        <w:t>Institutiones Grammaticae</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7"/>
      </w:r>
      <w:r>
        <w:rPr>
          <w:rFonts w:cs="Times New Roman" w:ascii="Baskerville Old Face" w:hAnsi="Baskerville Old Face"/>
          <w:sz w:val="24"/>
          <w:szCs w:val="24"/>
          <w:lang w:val="en-GB"/>
        </w:rPr>
        <w:t xml:space="preserve"> One of the rhetorics listed may also be his. The other may be the fourth book of Boethius’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8"/>
      </w:r>
      <w:r>
        <w:rPr>
          <w:rFonts w:cs="Times New Roman" w:ascii="Baskerville Old Face" w:hAnsi="Baskerville Old Face"/>
          <w:color w:val="FF0000"/>
          <w:sz w:val="24"/>
          <w:szCs w:val="24"/>
          <w:lang w:val="en-GB"/>
        </w:rPr>
        <w:t xml:space="preserve"> </w:t>
      </w:r>
      <w:r>
        <w:rPr>
          <w:rFonts w:cs="Times New Roman" w:ascii="Baskerville Old Face" w:hAnsi="Baskerville Old Face"/>
          <w:sz w:val="24"/>
          <w:szCs w:val="24"/>
          <w:lang w:val="en-GB"/>
        </w:rPr>
        <w:t xml:space="preserve">The ‘dialectic in three books’ is likely the first three books of the </w:t>
      </w:r>
      <w:r>
        <w:rPr>
          <w:rFonts w:cs="Times New Roman" w:ascii="Baskerville Old Face" w:hAnsi="Baskerville Old Face"/>
          <w:i/>
          <w:sz w:val="24"/>
          <w:szCs w:val="24"/>
          <w:lang w:val="en-GB"/>
        </w:rPr>
        <w:t>De Differentiis Topicis</w:t>
      </w:r>
      <w:r>
        <w:rPr>
          <w:rFonts w:cs="Times New Roman" w:ascii="Baskerville Old Face" w:hAnsi="Baskerville Old Face"/>
          <w:i w:val="false"/>
          <w:iCs w:val="false"/>
          <w:sz w:val="24"/>
          <w:szCs w:val="24"/>
          <w:lang w:val="en-GB"/>
        </w:rPr>
        <w:t>.</w:t>
      </w:r>
      <w:r>
        <w:rPr>
          <w:rStyle w:val="FootnoteAnchor"/>
          <w:rFonts w:cs="Times New Roman" w:ascii="Baskerville Old Face" w:hAnsi="Baskerville Old Face"/>
          <w:i w:val="false"/>
          <w:iCs w:val="false"/>
          <w:sz w:val="24"/>
          <w:szCs w:val="24"/>
          <w:lang w:val="en-GB"/>
        </w:rPr>
        <w:footnoteReference w:id="9"/>
      </w:r>
      <w:r>
        <w:rPr>
          <w:rFonts w:cs="Times New Roman" w:ascii="Baskerville Old Face" w:hAnsi="Baskerville Old Face"/>
          <w:i/>
          <w:iCs/>
          <w:sz w:val="24"/>
          <w:szCs w:val="24"/>
          <w:lang w:val="en-GB"/>
        </w:rPr>
        <w:t xml:space="preserve"> </w:t>
      </w:r>
      <w:r>
        <w:rPr>
          <w:rFonts w:cs="Times New Roman" w:ascii="Baskerville Old Face" w:hAnsi="Baskerville Old Face"/>
          <w:sz w:val="24"/>
          <w:szCs w:val="24"/>
          <w:lang w:val="en-GB"/>
        </w:rPr>
        <w:t xml:space="preserve">The remaining works of the list are also by Boethius: his commentaries on Porphyry’s </w:t>
      </w:r>
      <w:r>
        <w:rPr>
          <w:rFonts w:cs="Times New Roman" w:ascii="Baskerville Old Face" w:hAnsi="Baskerville Old Face"/>
          <w:i/>
          <w:sz w:val="24"/>
          <w:szCs w:val="24"/>
          <w:lang w:val="en-GB"/>
        </w:rPr>
        <w:t>Isagoge</w:t>
      </w:r>
      <w:r>
        <w:rPr>
          <w:rFonts w:cs="Times New Roman" w:ascii="Baskerville Old Face" w:hAnsi="Baskerville Old Face"/>
          <w:sz w:val="24"/>
          <w:szCs w:val="24"/>
          <w:lang w:val="en-GB"/>
        </w:rPr>
        <w:t xml:space="preserve">, Aristotle’s </w:t>
      </w:r>
      <w:r>
        <w:rPr>
          <w:rFonts w:cs="Times New Roman" w:ascii="Baskerville Old Face" w:hAnsi="Baskerville Old Face"/>
          <w:i/>
          <w:sz w:val="24"/>
          <w:szCs w:val="24"/>
          <w:lang w:val="en-GB"/>
        </w:rPr>
        <w:t xml:space="preserve">Categories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On Interpretation</w:t>
      </w:r>
      <w:r>
        <w:rPr>
          <w:rFonts w:cs="Times New Roman" w:ascii="Baskerville Old Face" w:hAnsi="Baskerville Old Face"/>
          <w:sz w:val="24"/>
          <w:szCs w:val="24"/>
          <w:lang w:val="en-GB"/>
        </w:rPr>
        <w:t xml:space="preserve">, and Cicero’s </w:t>
      </w:r>
      <w:r>
        <w:rPr>
          <w:rFonts w:cs="Times New Roman" w:ascii="Baskerville Old Face" w:hAnsi="Baskerville Old Face"/>
          <w:i/>
          <w:sz w:val="24"/>
          <w:szCs w:val="24"/>
          <w:lang w:val="en-GB"/>
        </w:rPr>
        <w:t>Topics</w:t>
      </w:r>
      <w:r>
        <w:rPr>
          <w:rFonts w:cs="Times New Roman" w:ascii="Baskerville Old Face" w:hAnsi="Baskerville Old Face"/>
          <w:sz w:val="24"/>
          <w:szCs w:val="24"/>
          <w:lang w:val="en-GB"/>
        </w:rPr>
        <w:t>.</w:t>
      </w:r>
    </w:p>
    <w:p>
      <w:pPr>
        <w:pStyle w:val="Normal"/>
        <w:spacing w:lineRule="auto" w:line="480"/>
        <w:jc w:val="both"/>
        <w:rPr>
          <w:lang w:val="en-GB"/>
        </w:rPr>
      </w:pPr>
      <w:r>
        <w:rPr>
          <w:rFonts w:cs="Times New Roman" w:ascii="Baskerville Old Face" w:hAnsi="Baskerville Old Face"/>
          <w:sz w:val="24"/>
          <w:szCs w:val="24"/>
          <w:lang w:val="en-GB"/>
        </w:rPr>
        <w:tab/>
        <w:t>It is likely that some of these texts were present in Bec in the eleventh century, and possible that this particular ms was.</w:t>
      </w:r>
      <w:r>
        <w:rPr>
          <w:rFonts w:cs="Times New Roman" w:ascii="Baskerville Old Face" w:hAnsi="Baskerville Old Face"/>
          <w:color w:val="FF0000"/>
          <w:sz w:val="24"/>
          <w:szCs w:val="24"/>
          <w:lang w:val="en-GB"/>
        </w:rPr>
        <w:t xml:space="preserve"> </w:t>
      </w:r>
      <w:r>
        <w:rPr>
          <w:rFonts w:cs="Times New Roman" w:ascii="Baskerville Old Face" w:hAnsi="Baskerville Old Face"/>
          <w:sz w:val="24"/>
          <w:szCs w:val="24"/>
          <w:lang w:val="en-GB"/>
        </w:rPr>
        <w:t xml:space="preserve">Broadly, there is Lanfranc’s reputation among his contemporaries as one ‘raised up as a guide and a light to lead the minds of the Latins to the study of the </w:t>
      </w:r>
      <w:r>
        <w:rPr>
          <w:rFonts w:cs="Times New Roman" w:ascii="Baskerville Old Face" w:hAnsi="Baskerville Old Face"/>
          <w:i/>
          <w:sz w:val="24"/>
          <w:szCs w:val="24"/>
          <w:lang w:val="en-GB"/>
        </w:rPr>
        <w:t xml:space="preserve">trivium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quadrivium</w:t>
      </w:r>
      <w:r>
        <w:rPr>
          <w:rFonts w:cs="Times New Roman" w:ascii="Baskerville Old Face" w:hAnsi="Baskerville Old Face"/>
          <w:sz w:val="24"/>
          <w:szCs w:val="24"/>
          <w:lang w:val="en-GB"/>
        </w:rPr>
        <w:t>, which had fallen into neglect and profound obscurity’.</w:t>
      </w:r>
      <w:r>
        <w:rPr>
          <w:rStyle w:val="FootnoteAnchor"/>
          <w:rFonts w:cs="Times New Roman" w:ascii="Baskerville Old Face" w:hAnsi="Baskerville Old Face"/>
          <w:sz w:val="24"/>
          <w:szCs w:val="24"/>
          <w:lang w:val="en-GB"/>
        </w:rPr>
        <w:footnoteReference w:id="10"/>
      </w:r>
      <w:r>
        <w:rPr>
          <w:rFonts w:cs="Times New Roman" w:ascii="Baskerville Old Face" w:hAnsi="Baskerville Old Face"/>
          <w:sz w:val="24"/>
          <w:szCs w:val="24"/>
          <w:lang w:val="en-GB"/>
        </w:rPr>
        <w:t xml:space="preserve"> Further, Anselm shows familiarity with at least some of the works on the list. He mentions Aristotle’s </w:t>
      </w:r>
      <w:r>
        <w:rPr>
          <w:rFonts w:cs="Times New Roman" w:ascii="Baskerville Old Face" w:hAnsi="Baskerville Old Face"/>
          <w:i/>
          <w:sz w:val="24"/>
          <w:szCs w:val="24"/>
          <w:lang w:val="en-GB"/>
        </w:rPr>
        <w:t xml:space="preserve">Categories </w:t>
      </w:r>
      <w:r>
        <w:rPr>
          <w:rFonts w:cs="Times New Roman" w:ascii="Baskerville Old Face" w:hAnsi="Baskerville Old Face"/>
          <w:sz w:val="24"/>
          <w:szCs w:val="24"/>
          <w:lang w:val="en-GB"/>
        </w:rPr>
        <w:t xml:space="preserve">in the </w:t>
      </w:r>
      <w:r>
        <w:rPr>
          <w:rFonts w:cs="Times New Roman" w:ascii="Baskerville Old Face" w:hAnsi="Baskerville Old Face"/>
          <w:i/>
          <w:sz w:val="24"/>
          <w:szCs w:val="24"/>
          <w:lang w:val="en-GB"/>
        </w:rPr>
        <w:t>De Grammatico</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11"/>
      </w:r>
      <w:r>
        <w:rPr>
          <w:rFonts w:cs="Times New Roman" w:ascii="Baskerville Old Face" w:hAnsi="Baskerville Old Face"/>
          <w:sz w:val="24"/>
          <w:szCs w:val="24"/>
          <w:lang w:val="en-GB"/>
        </w:rPr>
        <w:t xml:space="preserve"> and examples and vocabulary used in the same work suggest familiarity with both Priscian’s </w:t>
      </w:r>
      <w:r>
        <w:rPr>
          <w:rFonts w:cs="Times New Roman" w:ascii="Baskerville Old Face" w:hAnsi="Baskerville Old Face"/>
          <w:i/>
          <w:sz w:val="24"/>
          <w:szCs w:val="24"/>
          <w:lang w:val="en-GB"/>
        </w:rPr>
        <w:t>Institutiones</w:t>
      </w:r>
      <w:r>
        <w:rPr>
          <w:rFonts w:cs="Times New Roman" w:ascii="Baskerville Old Face" w:hAnsi="Baskerville Old Face"/>
          <w:sz w:val="24"/>
          <w:szCs w:val="24"/>
          <w:lang w:val="en-GB"/>
        </w:rPr>
        <w:t xml:space="preserve"> and Boethius’ </w:t>
      </w:r>
      <w:r>
        <w:rPr>
          <w:rFonts w:cs="Times New Roman" w:ascii="Baskerville Old Face" w:hAnsi="Baskerville Old Face"/>
          <w:i/>
          <w:sz w:val="24"/>
          <w:szCs w:val="24"/>
          <w:lang w:val="en-GB"/>
        </w:rPr>
        <w:t>Logica Vetus</w:t>
      </w:r>
      <w:r>
        <w:rPr>
          <w:rFonts w:cs="Times New Roman" w:ascii="Baskerville Old Face" w:hAnsi="Baskerville Old Face"/>
          <w:sz w:val="24"/>
          <w:szCs w:val="24"/>
          <w:lang w:val="en-GB"/>
        </w:rPr>
        <w:t xml:space="preserve"> commentaries.</w:t>
      </w:r>
      <w:r>
        <w:rPr>
          <w:rStyle w:val="FootnoteAnchor"/>
          <w:rFonts w:cs="Times New Roman" w:ascii="Baskerville Old Face" w:hAnsi="Baskerville Old Face"/>
          <w:sz w:val="24"/>
          <w:szCs w:val="24"/>
          <w:lang w:val="en-GB"/>
        </w:rPr>
        <w:footnoteReference w:id="12"/>
      </w:r>
      <w:r>
        <w:rPr>
          <w:rFonts w:cs="Times New Roman" w:ascii="Baskerville Old Face" w:hAnsi="Baskerville Old Face"/>
          <w:sz w:val="24"/>
          <w:szCs w:val="24"/>
          <w:lang w:val="en-GB"/>
        </w:rPr>
        <w:t xml:space="preserve"> That he would be familiar with the others would hardly be surprising.</w:t>
      </w:r>
    </w:p>
    <w:p>
      <w:pPr>
        <w:pStyle w:val="Normal"/>
        <w:spacing w:lineRule="auto" w:line="480"/>
        <w:jc w:val="both"/>
        <w:rPr>
          <w:lang w:val="en-GB"/>
        </w:rPr>
      </w:pPr>
      <w:r>
        <w:rPr>
          <w:rFonts w:cs="Times New Roman" w:ascii="Baskerville Old Face" w:hAnsi="Baskerville Old Face"/>
          <w:sz w:val="24"/>
          <w:szCs w:val="24"/>
          <w:lang w:val="en-GB"/>
        </w:rPr>
        <w:tab/>
        <w:t xml:space="preserve">Where the codex is on the list gives us another clue. The codex listed immediately before ours contains the </w:t>
      </w:r>
      <w:r>
        <w:rPr>
          <w:rFonts w:cs="Times New Roman" w:ascii="Baskerville Old Face" w:hAnsi="Baskerville Old Face"/>
          <w:i/>
          <w:sz w:val="24"/>
          <w:szCs w:val="24"/>
          <w:lang w:val="en-GB"/>
        </w:rPr>
        <w:t xml:space="preserve">Quaestiones Naturales </w:t>
      </w:r>
      <w:r>
        <w:rPr>
          <w:rFonts w:cs="Times New Roman" w:ascii="Baskerville Old Face" w:hAnsi="Baskerville Old Face"/>
          <w:sz w:val="24"/>
          <w:szCs w:val="24"/>
          <w:lang w:val="en-GB"/>
        </w:rPr>
        <w:t xml:space="preserve">of Seneca the Elder. This work is likely the proximate source for the phrase </w:t>
      </w:r>
      <w:r>
        <w:rPr>
          <w:rFonts w:cs="Times New Roman" w:ascii="Baskerville Old Face" w:hAnsi="Baskerville Old Face"/>
          <w:i/>
          <w:sz w:val="24"/>
          <w:szCs w:val="24"/>
          <w:lang w:val="en-GB"/>
        </w:rPr>
        <w:t>id quo nihil maius cogitari potest</w:t>
      </w:r>
      <w:r>
        <w:rPr>
          <w:rFonts w:cs="Times New Roman" w:ascii="Baskerville Old Face" w:hAnsi="Baskerville Old Face"/>
          <w:sz w:val="24"/>
          <w:szCs w:val="24"/>
          <w:lang w:val="en-GB"/>
        </w:rPr>
        <w:t xml:space="preserve">, ‘that than which nothing greater can be thought,’ so central to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13"/>
      </w:r>
      <w:r>
        <w:rPr>
          <w:rFonts w:cs="Times New Roman" w:ascii="Baskerville Old Face" w:hAnsi="Baskerville Old Face"/>
          <w:sz w:val="24"/>
          <w:szCs w:val="24"/>
          <w:lang w:val="en-GB"/>
        </w:rPr>
        <w:t xml:space="preserve"> If both the ms. described in Becker’s 12</w:t>
      </w:r>
      <w:r>
        <w:rPr>
          <w:rFonts w:cs="Times New Roman" w:ascii="Baskerville Old Face" w:hAnsi="Baskerville Old Face"/>
          <w:sz w:val="24"/>
          <w:szCs w:val="24"/>
          <w:vertAlign w:val="superscript"/>
          <w:lang w:val="en-GB"/>
        </w:rPr>
        <w:t>th</w:t>
      </w:r>
      <w:r>
        <w:rPr>
          <w:rFonts w:cs="Times New Roman" w:ascii="Baskerville Old Face" w:hAnsi="Baskerville Old Face"/>
          <w:sz w:val="24"/>
          <w:szCs w:val="24"/>
          <w:lang w:val="en-GB"/>
        </w:rPr>
        <w:t xml:space="preserve"> century Bec library list above and that containing Seneca’s work following it were indeed present at Bec in Anselm’s time, and if the order of the catalogue entries were in part representative of the physical placement of the books therein, one might imagine Anselm perusing this section of the library, devoted in large part to works of philosophy and more systematic theology, putting away his </w:t>
      </w:r>
      <w:r>
        <w:rPr>
          <w:rFonts w:cs="Times New Roman" w:ascii="Baskerville Old Face" w:hAnsi="Baskerville Old Face"/>
          <w:i/>
          <w:sz w:val="24"/>
          <w:szCs w:val="24"/>
          <w:lang w:val="en-GB"/>
        </w:rPr>
        <w:t>trivium</w:t>
      </w:r>
      <w:r>
        <w:rPr>
          <w:rFonts w:cs="Times New Roman" w:ascii="Baskerville Old Face" w:hAnsi="Baskerville Old Face"/>
          <w:sz w:val="24"/>
          <w:szCs w:val="24"/>
          <w:lang w:val="en-GB"/>
        </w:rPr>
        <w:t xml:space="preserve"> codex, and fortuitously picking up the codex next to it that would provide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with its key phrase.</w:t>
      </w:r>
      <w:r>
        <w:rPr>
          <w:rStyle w:val="FootnoteAnchor"/>
          <w:rFonts w:cs="Times New Roman" w:ascii="Baskerville Old Face" w:hAnsi="Baskerville Old Face"/>
          <w:sz w:val="24"/>
          <w:szCs w:val="24"/>
          <w:lang w:val="en-GB"/>
        </w:rPr>
        <w:footnoteReference w:id="14"/>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3 </w:t>
      </w:r>
      <w:r>
        <w:rPr>
          <w:rFonts w:cs="Times New Roman" w:ascii="Baskerville Old Face" w:hAnsi="Baskerville Old Face"/>
          <w:b/>
          <w:i/>
          <w:color w:val="auto"/>
          <w:sz w:val="24"/>
          <w:szCs w:val="24"/>
          <w:lang w:val="en-GB"/>
        </w:rPr>
        <w:t>Intellectus</w:t>
      </w:r>
      <w:r>
        <w:rPr>
          <w:rFonts w:cs="Times New Roman" w:ascii="Baskerville Old Face" w:hAnsi="Baskerville Old Face"/>
          <w:b/>
          <w:color w:val="auto"/>
          <w:sz w:val="24"/>
          <w:szCs w:val="24"/>
          <w:lang w:val="en-GB"/>
        </w:rPr>
        <w:t xml:space="preserve"> in the Boethian Works of the </w:t>
      </w:r>
      <w:r>
        <w:rPr>
          <w:rFonts w:cs="Times New Roman" w:ascii="Baskerville Old Face" w:hAnsi="Baskerville Old Face"/>
          <w:b/>
          <w:i/>
          <w:color w:val="auto"/>
          <w:sz w:val="24"/>
          <w:szCs w:val="24"/>
          <w:lang w:val="en-GB"/>
        </w:rPr>
        <w:t>Logica Vetus</w:t>
      </w:r>
    </w:p>
    <w:p>
      <w:pPr>
        <w:pStyle w:val="Normal"/>
        <w:spacing w:lineRule="auto" w:line="480"/>
        <w:jc w:val="both"/>
        <w:rPr>
          <w:lang w:val="en-GB"/>
        </w:rPr>
      </w:pPr>
      <w:r>
        <w:rPr>
          <w:rFonts w:cs="Times New Roman" w:ascii="Baskerville Old Face" w:hAnsi="Baskerville Old Face"/>
          <w:sz w:val="24"/>
          <w:szCs w:val="24"/>
          <w:lang w:val="en-GB"/>
        </w:rPr>
        <w:tab/>
        <w:t xml:space="preserve">The prominence of the subject-object dichotomy for our understanding of the faith/understanding relation hinders approaching Anselm’s </w:t>
      </w:r>
      <w:r>
        <w:rPr>
          <w:rFonts w:cs="Times New Roman" w:ascii="Baskerville Old Face" w:hAnsi="Baskerville Old Face"/>
          <w:i/>
          <w:sz w:val="24"/>
          <w:szCs w:val="24"/>
          <w:lang w:val="en-GB"/>
        </w:rPr>
        <w:t>Proslogion</w:t>
      </w:r>
      <w:r>
        <w:rPr>
          <w:rFonts w:cs="Times New Roman" w:ascii="Baskerville Old Face" w:hAnsi="Baskerville Old Face"/>
          <w:i w:val="false"/>
          <w:iCs w:val="false"/>
          <w:sz w:val="24"/>
          <w:szCs w:val="24"/>
          <w:lang w:val="en-GB"/>
        </w:rPr>
        <w:t xml:space="preserve"> in its proper context</w:t>
      </w:r>
      <w:r>
        <w:rPr>
          <w:rFonts w:cs="Times New Roman" w:ascii="Baskerville Old Face" w:hAnsi="Baskerville Old Face"/>
          <w:sz w:val="24"/>
          <w:szCs w:val="24"/>
          <w:lang w:val="en-GB"/>
        </w:rPr>
        <w:t xml:space="preserve">. Its main features are 1) that the world of objects is conceived of after the fashion of a domain of objects in model theory, typically the minimal set of things necessary for some sufficiently canonical activity usually given by the hard sciences; and 2) that anything outside of this basic ‘furniture of the world’ is thought of as added to it by the activity of subjects. Broadly, everything that is must be either a mere entity, the paradigmatic cases of which tend to be artefacts, or a thinking thing, or something pertaining to the activity of such a being. Particularly, </w:t>
      </w:r>
      <w:r>
        <w:rPr>
          <w:rFonts w:cs="Times New Roman" w:ascii="Baskerville Old Face" w:hAnsi="Baskerville Old Face"/>
          <w:i/>
          <w:sz w:val="24"/>
          <w:szCs w:val="24"/>
          <w:lang w:val="en-GB"/>
        </w:rPr>
        <w:t>meanings</w:t>
      </w:r>
      <w:r>
        <w:rPr>
          <w:rFonts w:cs="Times New Roman" w:ascii="Baskerville Old Face" w:hAnsi="Baskerville Old Face"/>
          <w:sz w:val="24"/>
          <w:szCs w:val="24"/>
          <w:lang w:val="en-GB"/>
        </w:rPr>
        <w:t xml:space="preserve"> must either be platonic objects or mental constructions of some sort.</w:t>
      </w:r>
    </w:p>
    <w:p>
      <w:pPr>
        <w:pStyle w:val="Normal"/>
        <w:spacing w:lineRule="auto" w:line="480"/>
        <w:jc w:val="both"/>
        <w:rPr>
          <w:lang w:val="en-GB"/>
        </w:rPr>
      </w:pPr>
      <w:r>
        <w:rPr>
          <w:rFonts w:cs="Times New Roman" w:ascii="Baskerville Old Face" w:hAnsi="Baskerville Old Face"/>
          <w:sz w:val="24"/>
          <w:szCs w:val="24"/>
          <w:lang w:val="en-GB"/>
        </w:rPr>
        <w:tab/>
        <w:t xml:space="preserve">In contrast, earlier medieval logic generally takes meanings to be neither objects nor impositions of subjects, but something </w:t>
      </w:r>
      <w:r>
        <w:rPr>
          <w:rFonts w:cs="Times New Roman" w:ascii="Baskerville Old Face" w:hAnsi="Baskerville Old Face"/>
          <w:i/>
          <w:sz w:val="24"/>
          <w:szCs w:val="24"/>
          <w:lang w:val="en-GB"/>
        </w:rPr>
        <w:t>had</w:t>
      </w:r>
      <w:r>
        <w:rPr>
          <w:rFonts w:cs="Times New Roman" w:ascii="Baskerville Old Face" w:hAnsi="Baskerville Old Face"/>
          <w:sz w:val="24"/>
          <w:szCs w:val="24"/>
          <w:lang w:val="en-GB"/>
        </w:rPr>
        <w:t xml:space="preserve"> </w:t>
      </w:r>
      <w:r>
        <w:rPr>
          <w:rFonts w:cs="Times New Roman" w:ascii="Baskerville Old Face" w:hAnsi="Baskerville Old Face"/>
          <w:i/>
          <w:sz w:val="24"/>
          <w:szCs w:val="24"/>
          <w:lang w:val="en-GB"/>
        </w:rPr>
        <w:t>by entities.</w:t>
      </w:r>
      <w:r>
        <w:rPr>
          <w:rStyle w:val="FootnoteAnchor"/>
          <w:rFonts w:cs="Times New Roman" w:ascii="Baskerville Old Face" w:hAnsi="Baskerville Old Face"/>
          <w:sz w:val="24"/>
          <w:szCs w:val="24"/>
          <w:lang w:val="en-GB"/>
        </w:rPr>
        <w:footnoteReference w:id="15"/>
      </w:r>
      <w:r>
        <w:rPr>
          <w:rFonts w:cs="Times New Roman" w:ascii="Baskerville Old Face" w:hAnsi="Baskerville Old Face"/>
          <w:sz w:val="24"/>
          <w:szCs w:val="24"/>
          <w:lang w:val="en-GB"/>
        </w:rPr>
        <w:t xml:space="preserve"> Because of this, we may by an appropriate transference ascribe that meaning to a term referring to the entity. Boethius makes the point as follows:</w:t>
      </w:r>
    </w:p>
    <w:p>
      <w:pPr>
        <w:pStyle w:val="Normal"/>
        <w:bidi w:val="0"/>
        <w:spacing w:lineRule="auto" w:line="480"/>
        <w:ind w:left="900" w:hanging="0"/>
        <w:jc w:val="both"/>
        <w:rPr>
          <w:lang w:val="en-GB"/>
        </w:rPr>
      </w:pPr>
      <w:r>
        <w:rPr>
          <w:rFonts w:cs="Times New Roman" w:ascii="Baskerville Old Face" w:hAnsi="Baskerville Old Face"/>
          <w:sz w:val="24"/>
          <w:szCs w:val="24"/>
          <w:lang w:val="en-GB"/>
        </w:rPr>
        <w:t>And so whenever one thing partakes of another, this participation also extends to the name just as to the thing. For instance, a certain man, because he partakes of justice, draws near [to justice] really, and hence draws his name near as well: he is called just.</w:t>
      </w:r>
      <w:r>
        <w:rPr>
          <w:rStyle w:val="FootnoteAnchor"/>
          <w:rFonts w:cs="Times New Roman" w:ascii="Baskerville Old Face" w:hAnsi="Baskerville Old Face"/>
          <w:sz w:val="24"/>
          <w:szCs w:val="24"/>
          <w:lang w:val="en-GB"/>
        </w:rPr>
        <w:footnoteReference w:id="16"/>
      </w:r>
      <w:r>
        <w:rPr>
          <w:rFonts w:cs="Times New Roman" w:ascii="Baskerville Old Face" w:hAnsi="Baskerville Old Face"/>
          <w:sz w:val="24"/>
          <w:szCs w:val="24"/>
          <w:lang w:val="en-GB"/>
        </w:rPr>
        <w:t xml:space="preserve"> </w:t>
      </w:r>
    </w:p>
    <w:p>
      <w:pPr>
        <w:pStyle w:val="Normal"/>
        <w:spacing w:lineRule="auto" w:line="480" w:before="0" w:after="0"/>
        <w:jc w:val="both"/>
        <w:rPr>
          <w:lang w:val="en-GB"/>
        </w:rPr>
      </w:pPr>
      <w:r>
        <w:rPr>
          <w:rFonts w:cs="Times New Roman" w:ascii="Baskerville Old Face" w:hAnsi="Baskerville Old Face"/>
          <w:sz w:val="24"/>
          <w:szCs w:val="24"/>
          <w:lang w:val="en-GB"/>
        </w:rPr>
        <w:tab/>
        <w:t xml:space="preserve">The same point can be made not only with respect to a thing and its name, but also with respect to a thing and its concept. In the </w:t>
      </w:r>
      <w:r>
        <w:rPr>
          <w:rFonts w:cs="Times New Roman" w:ascii="Baskerville Old Face" w:hAnsi="Baskerville Old Face"/>
          <w:i/>
          <w:sz w:val="24"/>
          <w:szCs w:val="24"/>
          <w:lang w:val="en-GB"/>
        </w:rPr>
        <w:t>De Grammatico</w:t>
      </w:r>
      <w:r>
        <w:rPr>
          <w:rFonts w:cs="Times New Roman" w:ascii="Baskerville Old Face" w:hAnsi="Baskerville Old Face"/>
          <w:sz w:val="24"/>
          <w:szCs w:val="24"/>
          <w:lang w:val="en-GB"/>
        </w:rPr>
        <w:t>, the teacher admonishes the student at one point saying:</w:t>
      </w:r>
    </w:p>
    <w:p>
      <w:pPr>
        <w:pStyle w:val="Normal"/>
        <w:spacing w:lineRule="auto" w:line="480" w:before="0" w:after="0"/>
        <w:ind w:left="900" w:hanging="0"/>
        <w:jc w:val="both"/>
        <w:rPr>
          <w:lang w:val="en-GB"/>
        </w:rPr>
      </w:pPr>
      <w:r>
        <w:rPr>
          <w:rFonts w:cs="Times New Roman" w:ascii="Baskerville Old Face" w:hAnsi="Baskerville Old Face"/>
          <w:sz w:val="24"/>
          <w:szCs w:val="24"/>
          <w:lang w:val="en-GB"/>
        </w:rPr>
        <w:t>When it is asserted that every man can be understood to be man without literacy, and no literate can be understood to be literate without literacy, doesn’t this mean that being a man does not require literacy, and being a literate requires literacy?</w:t>
      </w:r>
      <w:r>
        <w:rPr>
          <w:rStyle w:val="FootnoteAnchor"/>
          <w:rFonts w:cs="Times New Roman" w:ascii="Baskerville Old Face" w:hAnsi="Baskerville Old Face"/>
          <w:sz w:val="24"/>
          <w:szCs w:val="24"/>
          <w:lang w:val="en-GB"/>
        </w:rPr>
        <w:footnoteReference w:id="17"/>
      </w:r>
      <w:r>
        <w:rPr>
          <w:rFonts w:cs="Times New Roman" w:ascii="Baskerville Old Face" w:hAnsi="Baskerville Old Face"/>
          <w:sz w:val="24"/>
          <w:szCs w:val="24"/>
          <w:lang w:val="en-GB"/>
        </w:rPr>
        <w:t xml:space="preserve"> </w:t>
      </w:r>
    </w:p>
    <w:p>
      <w:pPr>
        <w:pStyle w:val="Normal"/>
        <w:spacing w:lineRule="auto" w:line="480"/>
        <w:jc w:val="both"/>
        <w:rPr>
          <w:lang w:val="en-GB"/>
        </w:rPr>
      </w:pPr>
      <w:r>
        <w:rPr>
          <w:rFonts w:cs="Times New Roman" w:ascii="Baskerville Old Face" w:hAnsi="Baskerville Old Face"/>
          <w:sz w:val="24"/>
          <w:szCs w:val="24"/>
          <w:lang w:val="en-GB"/>
        </w:rPr>
        <w:tab/>
        <w:t>The above passages manifest two aspects of early medieval thinking more generally. First, the medieval analysis, unlike our own, bridges the gap between talk of the meaning of terms and the talk of meaning one finds, for example, in questions about the meaning of life.</w:t>
      </w:r>
      <w:r>
        <w:rPr>
          <w:rStyle w:val="FootnoteAnchor"/>
          <w:rFonts w:cs="Times New Roman" w:ascii="Baskerville Old Face" w:hAnsi="Baskerville Old Face"/>
          <w:sz w:val="24"/>
          <w:szCs w:val="24"/>
          <w:lang w:val="en-GB"/>
        </w:rPr>
        <w:footnoteReference w:id="18"/>
      </w:r>
      <w:r>
        <w:rPr>
          <w:rFonts w:cs="Times New Roman" w:ascii="Baskerville Old Face" w:hAnsi="Baskerville Old Face"/>
          <w:sz w:val="24"/>
          <w:szCs w:val="24"/>
          <w:lang w:val="en-GB"/>
        </w:rPr>
        <w:t xml:space="preserve"> Second, it denies thought the character of spontaneity. So, for instance, if Anselm can be truly described as </w:t>
      </w:r>
      <w:r>
        <w:rPr>
          <w:rFonts w:cs="Times New Roman" w:ascii="Baskerville Old Face" w:hAnsi="Baskerville Old Face"/>
          <w:i/>
          <w:sz w:val="24"/>
          <w:szCs w:val="24"/>
          <w:lang w:val="en-GB"/>
        </w:rPr>
        <w:t>fidelis</w:t>
      </w:r>
      <w:r>
        <w:rPr>
          <w:rFonts w:cs="Times New Roman" w:ascii="Baskerville Old Face" w:hAnsi="Baskerville Old Face"/>
          <w:sz w:val="24"/>
          <w:szCs w:val="24"/>
          <w:lang w:val="en-GB"/>
        </w:rPr>
        <w:t xml:space="preserve">/faithful, then i) our ability to call him such is a consequence of his </w:t>
      </w:r>
      <w:r>
        <w:rPr>
          <w:rFonts w:cs="Times New Roman" w:ascii="Baskerville Old Face" w:hAnsi="Baskerville Old Face"/>
          <w:i/>
          <w:sz w:val="24"/>
          <w:szCs w:val="24"/>
          <w:lang w:val="en-GB"/>
        </w:rPr>
        <w:t xml:space="preserve">being </w:t>
      </w:r>
      <w:r>
        <w:rPr>
          <w:rFonts w:cs="Times New Roman" w:ascii="Baskerville Old Face" w:hAnsi="Baskerville Old Face"/>
          <w:sz w:val="24"/>
          <w:szCs w:val="24"/>
          <w:lang w:val="en-GB"/>
        </w:rPr>
        <w:t>such, and ii) he is faithful by having faith, conceived as the principle of his faithfulness. Similarly, if Anselm understands something, he understands by understanding, i.e. whatever underlying principle it is that grants understanding to a subject. Such attitudes are ‘subjective’ merely the sense in that they are intentions of a subject subordinated</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 xml:space="preserve">to an intended ideal: it does not mean they are </w:t>
      </w:r>
      <w:r>
        <w:rPr>
          <w:rFonts w:cs="Times New Roman" w:ascii="Baskerville Old Face" w:hAnsi="Baskerville Old Face"/>
          <w:i/>
          <w:sz w:val="24"/>
          <w:szCs w:val="24"/>
          <w:lang w:val="en-GB"/>
        </w:rPr>
        <w:t xml:space="preserve">empty </w:t>
      </w:r>
      <w:r>
        <w:rPr>
          <w:rFonts w:cs="Times New Roman" w:ascii="Baskerville Old Face" w:hAnsi="Baskerville Old Face"/>
          <w:sz w:val="24"/>
          <w:szCs w:val="24"/>
          <w:lang w:val="en-GB"/>
        </w:rPr>
        <w:t>intentions, nor that the intent</w:t>
      </w:r>
      <w:r>
        <w:rPr>
          <w:rFonts w:cs="Times New Roman" w:ascii="Baskerville Old Face" w:hAnsi="Baskerville Old Face"/>
          <w:i/>
          <w:sz w:val="24"/>
          <w:szCs w:val="24"/>
          <w:lang w:val="en-GB"/>
        </w:rPr>
        <w:t>ion</w:t>
      </w:r>
      <w:r>
        <w:rPr>
          <w:rFonts w:cs="Times New Roman" w:ascii="Baskerville Old Face" w:hAnsi="Baskerville Old Face"/>
          <w:sz w:val="24"/>
          <w:szCs w:val="24"/>
          <w:lang w:val="en-GB"/>
        </w:rPr>
        <w:t xml:space="preserve"> becomes subordinated to the intend</w:t>
      </w:r>
      <w:r>
        <w:rPr>
          <w:rFonts w:cs="Times New Roman" w:ascii="Baskerville Old Face" w:hAnsi="Baskerville Old Face"/>
          <w:i/>
          <w:sz w:val="24"/>
          <w:szCs w:val="24"/>
          <w:lang w:val="en-GB"/>
        </w:rPr>
        <w:t>ing</w:t>
      </w:r>
      <w:r>
        <w:rPr>
          <w:rFonts w:cs="Times New Roman" w:ascii="Baskerville Old Face" w:hAnsi="Baskerville Old Face"/>
          <w:sz w:val="24"/>
          <w:szCs w:val="24"/>
          <w:lang w:val="en-GB"/>
        </w:rPr>
        <w:t xml:space="preserve"> by its being enacted.</w:t>
      </w:r>
      <w:r>
        <w:rPr>
          <w:rStyle w:val="FootnoteAnchor"/>
          <w:rFonts w:cs="Times New Roman" w:ascii="Baskerville Old Face" w:hAnsi="Baskerville Old Face"/>
          <w:sz w:val="24"/>
          <w:szCs w:val="24"/>
          <w:lang w:val="en-GB"/>
        </w:rPr>
        <w:footnoteReference w:id="19"/>
      </w:r>
    </w:p>
    <w:p>
      <w:pPr>
        <w:pStyle w:val="Normal"/>
        <w:spacing w:lineRule="auto" w:line="480"/>
        <w:jc w:val="both"/>
        <w:rPr>
          <w:lang w:val="en-GB"/>
        </w:rPr>
      </w:pPr>
      <w:r>
        <w:rPr>
          <w:rFonts w:cs="Times New Roman" w:ascii="Baskerville Old Face" w:hAnsi="Baskerville Old Face"/>
          <w:sz w:val="24"/>
          <w:szCs w:val="24"/>
          <w:lang w:val="en-GB"/>
        </w:rPr>
        <w:tab/>
        <w:t>If we are faithful to this general pattern, we will conclude that for Anselm, the sense of understanding given in ‘</w:t>
      </w:r>
      <w:r>
        <w:rPr>
          <w:rFonts w:cs="Times New Roman" w:ascii="Baskerville Old Face" w:hAnsi="Baskerville Old Face"/>
          <w:i/>
          <w:sz w:val="24"/>
          <w:szCs w:val="24"/>
          <w:lang w:val="en-GB"/>
        </w:rPr>
        <w:t>x</w:t>
      </w:r>
      <w:r>
        <w:rPr>
          <w:rFonts w:cs="Times New Roman" w:ascii="Baskerville Old Face" w:hAnsi="Baskerville Old Face"/>
          <w:sz w:val="24"/>
          <w:szCs w:val="24"/>
          <w:lang w:val="en-GB"/>
        </w:rPr>
        <w:t xml:space="preserve"> understands’ will be unpacked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has</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understanding’, just as Anselm unpacks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is white’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 xml:space="preserve">has whiteness’, and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is grammatical’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knows</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grammar’.</w:t>
      </w:r>
      <w:r>
        <w:rPr>
          <w:rStyle w:val="FootnoteAnchor"/>
          <w:rFonts w:cs="Times New Roman" w:ascii="Baskerville Old Face" w:hAnsi="Baskerville Old Face"/>
          <w:sz w:val="24"/>
          <w:szCs w:val="24"/>
          <w:lang w:val="en-GB"/>
        </w:rPr>
        <w:footnoteReference w:id="20"/>
      </w:r>
      <w:r>
        <w:rPr>
          <w:rFonts w:cs="Times New Roman" w:ascii="Baskerville Old Face" w:hAnsi="Baskerville Old Face"/>
          <w:sz w:val="24"/>
          <w:szCs w:val="24"/>
          <w:lang w:val="en-GB"/>
        </w:rPr>
        <w:t xml:space="preserve"> More generally, a paronymous term – and, correspondingly, the being of what it names – will yield its substantive corollary in its definition upon analysis, and in this sense is reducible to it.</w:t>
      </w:r>
      <w:r>
        <w:rPr>
          <w:rStyle w:val="FootnoteAnchor"/>
          <w:rFonts w:cs="Times New Roman" w:ascii="Baskerville Old Face" w:hAnsi="Baskerville Old Face"/>
          <w:sz w:val="24"/>
          <w:szCs w:val="24"/>
          <w:lang w:val="en-GB"/>
        </w:rPr>
        <w:footnoteReference w:id="21"/>
      </w:r>
    </w:p>
    <w:p>
      <w:pPr>
        <w:pStyle w:val="Normal"/>
        <w:spacing w:lineRule="auto" w:line="480"/>
        <w:jc w:val="both"/>
        <w:rPr>
          <w:lang w:val="en-GB"/>
        </w:rPr>
      </w:pPr>
      <w:r>
        <w:rPr>
          <w:rFonts w:cs="Times New Roman" w:ascii="Baskerville Old Face" w:hAnsi="Baskerville Old Face"/>
          <w:sz w:val="24"/>
          <w:szCs w:val="24"/>
          <w:lang w:val="en-GB"/>
        </w:rPr>
        <w:tab/>
        <w:t xml:space="preserve">A passage from Boethius’ longer commentary on Porphyry’s </w:t>
      </w:r>
      <w:r>
        <w:rPr>
          <w:rFonts w:cs="Times New Roman" w:ascii="Baskerville Old Face" w:hAnsi="Baskerville Old Face"/>
          <w:i/>
          <w:sz w:val="24"/>
          <w:szCs w:val="24"/>
          <w:lang w:val="en-GB"/>
        </w:rPr>
        <w:t>Isagoge</w:t>
      </w:r>
      <w:r>
        <w:rPr>
          <w:rFonts w:cs="Times New Roman" w:ascii="Baskerville Old Face" w:hAnsi="Baskerville Old Face"/>
          <w:sz w:val="24"/>
          <w:szCs w:val="24"/>
          <w:lang w:val="en-GB"/>
        </w:rPr>
        <w:t xml:space="preserve"> proves illuminating on this point. Where Porphyry states his intention to bypass questions concerning the ontological status of genus and species,</w:t>
      </w:r>
      <w:r>
        <w:rPr>
          <w:rStyle w:val="FootnoteAnchor"/>
          <w:rFonts w:cs="Times New Roman" w:ascii="Baskerville Old Face" w:hAnsi="Baskerville Old Face"/>
          <w:sz w:val="24"/>
          <w:szCs w:val="24"/>
          <w:lang w:val="en-GB"/>
        </w:rPr>
        <w:footnoteReference w:id="22"/>
      </w:r>
      <w:r>
        <w:rPr>
          <w:rFonts w:cs="Times New Roman" w:ascii="Baskerville Old Face" w:hAnsi="Baskerville Old Face"/>
          <w:sz w:val="24"/>
          <w:szCs w:val="24"/>
          <w:lang w:val="en-GB"/>
        </w:rPr>
        <w:t xml:space="preserve"> Boethius comments:</w:t>
      </w:r>
    </w:p>
    <w:p>
      <w:pPr>
        <w:pStyle w:val="Normal"/>
        <w:spacing w:lineRule="auto" w:line="480"/>
        <w:ind w:left="900" w:hanging="0"/>
        <w:jc w:val="both"/>
        <w:rPr>
          <w:lang w:val="en-GB"/>
        </w:rPr>
      </w:pPr>
      <w:r>
        <w:rPr>
          <w:rFonts w:cs="Times New Roman" w:ascii="Baskerville Old Face" w:hAnsi="Baskerville Old Face"/>
          <w:sz w:val="24"/>
          <w:szCs w:val="24"/>
          <w:lang w:val="en-GB"/>
        </w:rPr>
        <w:t>The first of these [questions] is of this sort: Whatever the mind understands it either receives by a meaning (</w:t>
      </w:r>
      <w:r>
        <w:rPr>
          <w:rFonts w:cs="Times New Roman" w:ascii="Baskerville Old Face" w:hAnsi="Baskerville Old Face"/>
          <w:i/>
          <w:sz w:val="24"/>
          <w:szCs w:val="24"/>
          <w:lang w:val="en-GB"/>
        </w:rPr>
        <w:t>intellectu</w:t>
      </w:r>
      <w:r>
        <w:rPr>
          <w:rFonts w:cs="Times New Roman" w:ascii="Baskerville Old Face" w:hAnsi="Baskerville Old Face"/>
          <w:sz w:val="24"/>
          <w:szCs w:val="24"/>
          <w:lang w:val="en-GB"/>
        </w:rPr>
        <w:t>) constituted in the nature of things and explicates to itself by a reason, in the case of that which is; or it portrays to itself in an empty imagining, in the case of what is not. Therefore, we ask, concerning the meaning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of genus and others like it, whether we so understand species and genus as those things that are, and from which we grasp a true meaning (</w:t>
      </w:r>
      <w:r>
        <w:rPr>
          <w:rFonts w:cs="Times New Roman" w:ascii="Baskerville Old Face" w:hAnsi="Baskerville Old Face"/>
          <w:i/>
          <w:sz w:val="24"/>
          <w:szCs w:val="24"/>
          <w:lang w:val="en-GB"/>
        </w:rPr>
        <w:t>intellectum</w:t>
      </w:r>
      <w:r>
        <w:rPr>
          <w:rFonts w:cs="Times New Roman" w:ascii="Baskerville Old Face" w:hAnsi="Baskerville Old Face"/>
          <w:sz w:val="24"/>
          <w:szCs w:val="24"/>
          <w:lang w:val="en-GB"/>
        </w:rPr>
        <w:t>), or whether we are deceiving ourselves, when we form for ourselves things that are not with hollowed out imaginings.</w:t>
      </w:r>
      <w:r>
        <w:rPr>
          <w:rStyle w:val="FootnoteAnchor"/>
          <w:rFonts w:cs="Times New Roman" w:ascii="Baskerville Old Face" w:hAnsi="Baskerville Old Face"/>
          <w:sz w:val="24"/>
          <w:szCs w:val="24"/>
          <w:lang w:val="en-GB"/>
        </w:rPr>
        <w:footnoteReference w:id="23"/>
      </w:r>
    </w:p>
    <w:p>
      <w:pPr>
        <w:pStyle w:val="Normal"/>
        <w:bidi w:val="0"/>
        <w:spacing w:lineRule="auto" w:line="480"/>
        <w:jc w:val="both"/>
        <w:rPr>
          <w:lang w:val="en-GB"/>
        </w:rPr>
      </w:pPr>
      <w:r>
        <w:rPr>
          <w:rFonts w:cs="Times New Roman" w:ascii="Baskerville Old Face" w:hAnsi="Baskerville Old Face"/>
          <w:sz w:val="24"/>
          <w:szCs w:val="24"/>
          <w:lang w:val="en-GB"/>
        </w:rPr>
        <w:t xml:space="preserve">In the above passage, Boethius is attempting to sustain two contrasts: the first, between what is and what isn’t; the second, between </w:t>
      </w:r>
      <w:r>
        <w:rPr>
          <w:rFonts w:cs="Times New Roman" w:ascii="Baskerville Old Face" w:hAnsi="Baskerville Old Face"/>
          <w:i/>
          <w:sz w:val="24"/>
          <w:szCs w:val="24"/>
          <w:lang w:val="en-GB"/>
        </w:rPr>
        <w:t xml:space="preserve">intellectus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imaginatio</w:t>
      </w:r>
      <w:r>
        <w:rPr>
          <w:rFonts w:cs="Times New Roman" w:ascii="Baskerville Old Face" w:hAnsi="Baskerville Old Face"/>
          <w:sz w:val="24"/>
          <w:szCs w:val="24"/>
          <w:lang w:val="en-GB"/>
        </w:rPr>
        <w:t xml:space="preserve">. Implicit alongside these two contrasts are several others: those between the inner and the outer, the true and the merely apparent, and the full and the empty. Each first member of the above dichotomies is parallel with every other, as is each second member. So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in the above passage must correspond to what is, as opposed to what is not, and to what is fully true as opposed to what is empty and apparent. The contrast between the </w:t>
      </w:r>
      <w:r>
        <w:rPr>
          <w:rFonts w:cs="Times New Roman" w:ascii="Baskerville Old Face" w:hAnsi="Baskerville Old Face"/>
          <w:i/>
          <w:sz w:val="24"/>
          <w:szCs w:val="24"/>
          <w:lang w:val="en-GB"/>
        </w:rPr>
        <w:t>faculties</w:t>
      </w:r>
      <w:r>
        <w:rPr>
          <w:rFonts w:cs="Times New Roman" w:ascii="Baskerville Old Face" w:hAnsi="Baskerville Old Face"/>
          <w:sz w:val="24"/>
          <w:szCs w:val="24"/>
          <w:lang w:val="en-GB"/>
        </w:rPr>
        <w:t xml:space="preserve"> of intellect and imagination partially fulfils this role, but only because of what those faculties themselves are oriented towards. Imagination takes its bearings from the changing realm of sensible things: hence what it imagines need not </w:t>
      </w:r>
      <w:r>
        <w:rPr>
          <w:rFonts w:cs="Times New Roman" w:ascii="Baskerville Old Face" w:hAnsi="Baskerville Old Face"/>
          <w:i/>
          <w:sz w:val="24"/>
          <w:szCs w:val="24"/>
          <w:lang w:val="en-GB"/>
        </w:rPr>
        <w:t>be</w:t>
      </w:r>
      <w:r>
        <w:rPr>
          <w:rFonts w:cs="Times New Roman" w:ascii="Baskerville Old Face" w:hAnsi="Baskerville Old Face"/>
          <w:sz w:val="24"/>
          <w:szCs w:val="24"/>
          <w:lang w:val="en-GB"/>
        </w:rPr>
        <w:t xml:space="preserve"> when it imagines it; in some cases, it need not be at all. Hence, it is possible for an imagination to be empty, hollow, unfulfilled. Understanding, by contrast, is oriented toward an essential, stable core in material natures. Hence, to highlight the primacy of </w:t>
      </w:r>
      <w:r>
        <w:rPr>
          <w:rFonts w:cs="Times New Roman" w:ascii="Baskerville Old Face" w:hAnsi="Baskerville Old Face"/>
          <w:i/>
          <w:sz w:val="24"/>
          <w:szCs w:val="24"/>
          <w:lang w:val="en-GB"/>
        </w:rPr>
        <w:t xml:space="preserve">this </w:t>
      </w:r>
      <w:r>
        <w:rPr>
          <w:rFonts w:cs="Times New Roman" w:ascii="Baskerville Old Face" w:hAnsi="Baskerville Old Face"/>
          <w:sz w:val="24"/>
          <w:szCs w:val="24"/>
          <w:lang w:val="en-GB"/>
        </w:rPr>
        <w:t xml:space="preserve">dichotomy, upon which that between the faculties depends, I have translated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in the above passage as ‘meaning’.</w:t>
      </w:r>
      <w:r>
        <w:rPr>
          <w:rStyle w:val="FootnoteAnchor"/>
          <w:rFonts w:cs="Times New Roman" w:ascii="Baskerville Old Face" w:hAnsi="Baskerville Old Face"/>
          <w:sz w:val="24"/>
          <w:szCs w:val="24"/>
          <w:lang w:val="en-GB"/>
        </w:rPr>
        <w:footnoteReference w:id="24"/>
      </w:r>
    </w:p>
    <w:p>
      <w:pPr>
        <w:pStyle w:val="Normal"/>
        <w:spacing w:lineRule="auto" w:line="480"/>
        <w:jc w:val="both"/>
        <w:rPr>
          <w:lang w:val="en-GB"/>
        </w:rPr>
      </w:pPr>
      <w:r>
        <w:rPr>
          <w:rFonts w:cs="Times New Roman" w:ascii="Baskerville Old Face" w:hAnsi="Baskerville Old Face"/>
          <w:sz w:val="24"/>
          <w:szCs w:val="24"/>
          <w:lang w:val="en-GB"/>
        </w:rPr>
        <w:tab/>
        <w:t xml:space="preserve">The same sense comes through in Boethius’ first commentary on the </w:t>
      </w:r>
      <w:r>
        <w:rPr>
          <w:rFonts w:cs="Times New Roman" w:ascii="Baskerville Old Face" w:hAnsi="Baskerville Old Face"/>
          <w:i/>
          <w:sz w:val="24"/>
          <w:szCs w:val="24"/>
          <w:lang w:val="en-GB"/>
        </w:rPr>
        <w:t>Peri Hermenias</w:t>
      </w:r>
      <w:r>
        <w:rPr>
          <w:rFonts w:cs="Times New Roman" w:ascii="Baskerville Old Face" w:hAnsi="Baskerville Old Face"/>
          <w:sz w:val="24"/>
          <w:szCs w:val="24"/>
          <w:lang w:val="en-GB"/>
        </w:rPr>
        <w:t>. Commenting on the passage at the beginning of the work explaining the relations between writing, speech, concepts, and things, he writes:</w:t>
      </w:r>
    </w:p>
    <w:p>
      <w:pPr>
        <w:pStyle w:val="Normal"/>
        <w:spacing w:lineRule="auto" w:line="480"/>
        <w:ind w:left="900" w:hanging="0"/>
        <w:jc w:val="both"/>
        <w:rPr>
          <w:lang w:val="en-GB"/>
        </w:rPr>
      </w:pPr>
      <w:r>
        <w:rPr>
          <w:rFonts w:cs="Times New Roman" w:ascii="Baskerville Old Face" w:hAnsi="Baskerville Old Face"/>
          <w:sz w:val="24"/>
          <w:szCs w:val="24"/>
          <w:lang w:val="en-GB"/>
        </w:rPr>
        <w:t>There are three things from which every debate and disputation is composed: the matters at hand (</w:t>
      </w:r>
      <w:r>
        <w:rPr>
          <w:rFonts w:cs="Times New Roman" w:ascii="Baskerville Old Face" w:hAnsi="Baskerville Old Face"/>
          <w:i/>
          <w:sz w:val="24"/>
          <w:szCs w:val="24"/>
          <w:lang w:val="en-GB"/>
        </w:rPr>
        <w:t>res</w:t>
      </w:r>
      <w:r>
        <w:rPr>
          <w:rFonts w:cs="Times New Roman" w:ascii="Baskerville Old Face" w:hAnsi="Baskerville Old Face"/>
          <w:sz w:val="24"/>
          <w:szCs w:val="24"/>
          <w:lang w:val="en-GB"/>
        </w:rPr>
        <w:t>), the meanings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and the spoken words (</w:t>
      </w:r>
      <w:r>
        <w:rPr>
          <w:rFonts w:cs="Times New Roman" w:ascii="Baskerville Old Face" w:hAnsi="Baskerville Old Face"/>
          <w:i/>
          <w:sz w:val="24"/>
          <w:szCs w:val="24"/>
          <w:lang w:val="en-GB"/>
        </w:rPr>
        <w:t>voces</w:t>
      </w:r>
      <w:r>
        <w:rPr>
          <w:rFonts w:cs="Times New Roman" w:ascii="Baskerville Old Face" w:hAnsi="Baskerville Old Face"/>
          <w:sz w:val="24"/>
          <w:szCs w:val="24"/>
          <w:lang w:val="en-GB"/>
        </w:rPr>
        <w:t>). The matters (</w:t>
      </w:r>
      <w:r>
        <w:rPr>
          <w:rFonts w:cs="Times New Roman" w:ascii="Baskerville Old Face" w:hAnsi="Baskerville Old Face"/>
          <w:i/>
          <w:sz w:val="24"/>
          <w:szCs w:val="24"/>
          <w:lang w:val="en-GB"/>
        </w:rPr>
        <w:t>res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are what we grasp by measure of mind and distinguish by understanding (</w:t>
      </w:r>
      <w:r>
        <w:rPr>
          <w:rFonts w:cs="Times New Roman" w:ascii="Baskerville Old Face" w:hAnsi="Baskerville Old Face"/>
          <w:i/>
          <w:sz w:val="24"/>
          <w:szCs w:val="24"/>
          <w:lang w:val="en-GB"/>
        </w:rPr>
        <w:t>intellectu</w:t>
      </w:r>
      <w:r>
        <w:rPr>
          <w:rFonts w:cs="Times New Roman" w:ascii="Baskerville Old Face" w:hAnsi="Baskerville Old Face"/>
          <w:sz w:val="24"/>
          <w:szCs w:val="24"/>
          <w:lang w:val="en-GB"/>
        </w:rPr>
        <w:t>). The meanings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are that by which we come to know the matters themselves. Spoken words are that by which we signify what we grasp in understanding.</w:t>
      </w:r>
      <w:r>
        <w:rPr>
          <w:rStyle w:val="FootnoteAnchor"/>
          <w:rFonts w:cs="Times New Roman" w:ascii="Baskerville Old Face" w:hAnsi="Baskerville Old Face"/>
          <w:sz w:val="24"/>
          <w:szCs w:val="24"/>
          <w:lang w:val="en-GB"/>
        </w:rPr>
        <w:footnoteReference w:id="25"/>
      </w:r>
    </w:p>
    <w:p>
      <w:pPr>
        <w:pStyle w:val="Normal"/>
        <w:spacing w:lineRule="auto" w:line="480"/>
        <w:jc w:val="both"/>
        <w:rPr>
          <w:lang w:val="en-GB"/>
        </w:rPr>
      </w:pPr>
      <w:r>
        <w:rPr>
          <w:rFonts w:cs="Times New Roman" w:ascii="Baskerville Old Face" w:hAnsi="Baskerville Old Face"/>
          <w:sz w:val="24"/>
          <w:szCs w:val="24"/>
          <w:lang w:val="en-GB"/>
        </w:rPr>
        <w:t>Translated thus, this passage can be disengaged from the metaphysics of representational realism</w:t>
      </w:r>
      <w:r>
        <w:rPr>
          <w:rStyle w:val="FootnoteAnchor"/>
          <w:rFonts w:cs="Times New Roman" w:ascii="Baskerville Old Face" w:hAnsi="Baskerville Old Face"/>
          <w:sz w:val="24"/>
          <w:szCs w:val="24"/>
          <w:lang w:val="en-GB"/>
        </w:rPr>
        <w:footnoteReference w:id="26"/>
      </w:r>
      <w:r>
        <w:rPr>
          <w:rFonts w:cs="Times New Roman" w:ascii="Baskerville Old Face" w:hAnsi="Baskerville Old Face"/>
          <w:sz w:val="24"/>
          <w:szCs w:val="24"/>
          <w:lang w:val="en-GB"/>
        </w:rPr>
        <w:t xml:space="preserve"> within which it is typically ensconced. The scope of </w:t>
      </w:r>
      <w:r>
        <w:rPr>
          <w:rFonts w:cs="Times New Roman" w:ascii="Baskerville Old Face" w:hAnsi="Baskerville Old Face"/>
          <w:i/>
          <w:sz w:val="24"/>
          <w:szCs w:val="24"/>
          <w:lang w:val="en-GB"/>
        </w:rPr>
        <w:t xml:space="preserve">res </w:t>
      </w:r>
      <w:r>
        <w:rPr>
          <w:rFonts w:cs="Times New Roman" w:ascii="Baskerville Old Face" w:hAnsi="Baskerville Old Face"/>
          <w:sz w:val="24"/>
          <w:szCs w:val="24"/>
          <w:lang w:val="en-GB"/>
        </w:rPr>
        <w:t>used here is broader than that typically ascribed to ‘object’: it refers to anything that can be talked about as the subject of an inquiry. These subjects grant a sense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1</w:t>
      </w:r>
      <w:r>
        <w:rPr>
          <w:rFonts w:cs="Times New Roman" w:ascii="Baskerville Old Face" w:hAnsi="Baskerville Old Face"/>
          <w:sz w:val="24"/>
          <w:szCs w:val="24"/>
          <w:lang w:val="en-GB"/>
        </w:rPr>
        <w:t>) to minds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2</w:t>
      </w:r>
      <w:r>
        <w:rPr>
          <w:rFonts w:cs="Times New Roman" w:ascii="Baskerville Old Face" w:hAnsi="Baskerville Old Face"/>
          <w:sz w:val="24"/>
          <w:szCs w:val="24"/>
          <w:lang w:val="en-GB"/>
        </w:rPr>
        <w:t>) which achieve a state of understanding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3</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in grasping the sense. These meanings do not mediate between the mind and world of objects: rather, the matters themselves are meaning</w:t>
      </w:r>
      <w:r>
        <w:rPr>
          <w:rFonts w:cs="Times New Roman" w:ascii="Baskerville Old Face" w:hAnsi="Baskerville Old Face"/>
          <w:i/>
          <w:sz w:val="24"/>
          <w:szCs w:val="24"/>
          <w:lang w:val="en-GB"/>
        </w:rPr>
        <w:t>ful</w:t>
      </w:r>
      <w:r>
        <w:rPr>
          <w:rFonts w:cs="Times New Roman" w:ascii="Baskerville Old Face" w:hAnsi="Baskerville Old Face"/>
          <w:sz w:val="24"/>
          <w:szCs w:val="24"/>
          <w:lang w:val="en-GB"/>
        </w:rPr>
        <w:t xml:space="preserve">; and, since meaning is, </w:t>
      </w:r>
      <w:r>
        <w:rPr>
          <w:rFonts w:cs="Times New Roman" w:ascii="Baskerville Old Face" w:hAnsi="Baskerville Old Face"/>
          <w:i/>
          <w:sz w:val="24"/>
          <w:szCs w:val="24"/>
          <w:lang w:val="en-GB"/>
        </w:rPr>
        <w:t xml:space="preserve">qua </w:t>
      </w:r>
      <w:r>
        <w:rPr>
          <w:rFonts w:cs="Times New Roman" w:ascii="Baskerville Old Face" w:hAnsi="Baskerville Old Face"/>
          <w:sz w:val="24"/>
          <w:szCs w:val="24"/>
          <w:lang w:val="en-GB"/>
        </w:rPr>
        <w:t xml:space="preserve">meaning, granted to minds, these matters are meaningful </w:t>
      </w:r>
      <w:r>
        <w:rPr>
          <w:rFonts w:cs="Times New Roman" w:ascii="Baskerville Old Face" w:hAnsi="Baskerville Old Face"/>
          <w:i/>
          <w:sz w:val="24"/>
          <w:szCs w:val="24"/>
          <w:lang w:val="en-GB"/>
        </w:rPr>
        <w:t xml:space="preserve">for </w:t>
      </w:r>
      <w:r>
        <w:rPr>
          <w:rFonts w:cs="Times New Roman" w:ascii="Baskerville Old Face" w:hAnsi="Baskerville Old Face"/>
          <w:sz w:val="24"/>
          <w:szCs w:val="24"/>
          <w:lang w:val="en-GB"/>
        </w:rPr>
        <w:t>understanding subjects. Hence, though we do speak of ‘what we have in mind’ (</w:t>
      </w:r>
      <w:r>
        <w:rPr>
          <w:rFonts w:cs="Times New Roman" w:ascii="Baskerville Old Face" w:hAnsi="Baskerville Old Face"/>
          <w:i/>
          <w:sz w:val="24"/>
          <w:szCs w:val="24"/>
          <w:lang w:val="en-GB"/>
        </w:rPr>
        <w:t>id quod intellectu capimus</w:t>
      </w:r>
      <w:r>
        <w:rPr>
          <w:rFonts w:cs="Times New Roman" w:ascii="Baskerville Old Face" w:hAnsi="Baskerville Old Face"/>
          <w:sz w:val="24"/>
          <w:szCs w:val="24"/>
          <w:lang w:val="en-GB"/>
        </w:rPr>
        <w:t>), such a designation is opaque if it fails to note that what we grasp is the meaning of the matter at hand, and that what we do in speaking is constitute this meaning (</w:t>
      </w:r>
      <w:r>
        <w:rPr>
          <w:rFonts w:cs="Times New Roman" w:ascii="Baskerville Old Face" w:hAnsi="Baskerville Old Face"/>
          <w:i/>
          <w:sz w:val="24"/>
          <w:szCs w:val="24"/>
          <w:lang w:val="en-GB"/>
        </w:rPr>
        <w:t>constituere intellectum</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for another.</w:t>
      </w:r>
      <w:r>
        <w:rPr>
          <w:rStyle w:val="FootnoteAnchor"/>
          <w:rFonts w:cs="Times New Roman" w:ascii="Baskerville Old Face" w:hAnsi="Baskerville Old Face"/>
          <w:sz w:val="24"/>
          <w:szCs w:val="24"/>
          <w:lang w:val="en-GB"/>
        </w:rPr>
        <w:footnoteReference w:id="27"/>
      </w:r>
    </w:p>
    <w:p>
      <w:pPr>
        <w:pStyle w:val="Normal"/>
        <w:bidi w:val="0"/>
        <w:spacing w:lineRule="auto" w:line="480"/>
        <w:jc w:val="both"/>
        <w:rPr>
          <w:lang w:val="en-GB"/>
        </w:rPr>
      </w:pPr>
      <w:r>
        <w:rPr>
          <w:rFonts w:cs="Times New Roman" w:ascii="Baskerville Old Face" w:hAnsi="Baskerville Old Face"/>
          <w:sz w:val="24"/>
          <w:szCs w:val="24"/>
          <w:lang w:val="en-GB"/>
        </w:rPr>
        <w:tab/>
        <w:t xml:space="preserve">Two objections arise at this point: first, that the above merely replaces ‘thought’ or ‘concept’ with ‘meaning’; second, that </w:t>
      </w:r>
      <w:r>
        <w:rPr>
          <w:rFonts w:cs="Times New Roman" w:ascii="Baskerville Old Face" w:hAnsi="Baskerville Old Face"/>
          <w:i w:val="false"/>
          <w:iCs w:val="false"/>
          <w:sz w:val="24"/>
          <w:szCs w:val="24"/>
          <w:lang w:val="en-GB"/>
        </w:rPr>
        <w:t xml:space="preserve">we would not expect the juxtaposition of </w:t>
      </w:r>
      <w:r>
        <w:rPr>
          <w:rFonts w:cs="Times New Roman" w:ascii="Baskerville Old Face" w:hAnsi="Baskerville Old Face"/>
          <w:i/>
          <w:iCs/>
          <w:sz w:val="24"/>
          <w:szCs w:val="24"/>
          <w:lang w:val="en-GB"/>
        </w:rPr>
        <w:t>intellectus</w:t>
      </w:r>
      <w:r>
        <w:rPr>
          <w:rFonts w:cs="Times New Roman" w:ascii="Baskerville Old Face" w:hAnsi="Baskerville Old Face"/>
          <w:i w:val="false"/>
          <w:iCs w:val="false"/>
          <w:sz w:val="24"/>
          <w:szCs w:val="24"/>
          <w:lang w:val="en-GB"/>
        </w:rPr>
        <w:t xml:space="preserve"> with </w:t>
      </w:r>
      <w:r>
        <w:rPr>
          <w:rFonts w:cs="Times New Roman" w:ascii="Baskerville Old Face" w:hAnsi="Baskerville Old Face"/>
          <w:i/>
          <w:iCs/>
          <w:sz w:val="24"/>
          <w:szCs w:val="24"/>
          <w:lang w:val="en-GB"/>
        </w:rPr>
        <w:t>significatio</w:t>
      </w:r>
      <w:r>
        <w:rPr>
          <w:rFonts w:cs="Times New Roman" w:ascii="Baskerville Old Face" w:hAnsi="Baskerville Old Face"/>
          <w:i w:val="false"/>
          <w:iCs w:val="false"/>
          <w:sz w:val="24"/>
          <w:szCs w:val="24"/>
          <w:lang w:val="en-GB"/>
        </w:rPr>
        <w:t xml:space="preserve">, itself commonly translated as meaning, if the above interpretation were correct. Take, for instance, the following passage from Boethius second commentary on Aristotle’s </w:t>
      </w:r>
      <w:r>
        <w:rPr>
          <w:rFonts w:cs="Times New Roman" w:ascii="Baskerville Old Face" w:hAnsi="Baskerville Old Face"/>
          <w:i/>
          <w:iCs/>
          <w:sz w:val="24"/>
          <w:szCs w:val="24"/>
          <w:lang w:val="en-GB"/>
        </w:rPr>
        <w:t>De Interpretatione</w:t>
      </w:r>
      <w:r>
        <w:rPr>
          <w:rFonts w:cs="Times New Roman" w:ascii="Baskerville Old Face" w:hAnsi="Baskerville Old Face"/>
          <w:i w:val="false"/>
          <w:iCs w:val="false"/>
          <w:sz w:val="24"/>
          <w:szCs w:val="24"/>
          <w:lang w:val="en-GB"/>
        </w:rPr>
        <w:t xml:space="preserve">: </w:t>
      </w:r>
    </w:p>
    <w:p>
      <w:pPr>
        <w:pStyle w:val="Normal"/>
        <w:widowControl/>
        <w:suppressAutoHyphens w:val="false"/>
        <w:bidi w:val="0"/>
        <w:spacing w:lineRule="auto" w:line="480" w:before="0" w:after="0"/>
        <w:ind w:left="900" w:right="0" w:hanging="0"/>
        <w:jc w:val="both"/>
        <w:rPr>
          <w:lang w:val="en-GB"/>
        </w:rPr>
      </w:pPr>
      <w:r>
        <w:rPr>
          <w:rFonts w:eastAsia="Times New Roman" w:cs="Times New Roman" w:ascii="Baskerville Old Face" w:hAnsi="Baskerville Old Face"/>
          <w:color w:val="auto"/>
          <w:sz w:val="24"/>
          <w:szCs w:val="24"/>
          <w:lang w:val="en-GB" w:eastAsia="en-GB"/>
        </w:rPr>
        <w:t>quocirca cum omnis animae passio rei quaedam videatur esse proprietas, porro autem designativae voces intellectuum principaliter, rerum dehinc a quibus intellectus profecti sunt significatione nitantur, quidquid est in vocibus significativum, id animae passiones designat.</w:t>
      </w:r>
      <w:r>
        <w:rPr>
          <w:rStyle w:val="FootnoteAnchor"/>
          <w:rFonts w:eastAsia="Times New Roman" w:cs="Times New Roman" w:ascii="Baskerville Old Face" w:hAnsi="Baskerville Old Face"/>
          <w:color w:val="auto"/>
          <w:sz w:val="24"/>
          <w:szCs w:val="24"/>
          <w:lang w:val="en-GB" w:eastAsia="en-GB"/>
        </w:rPr>
        <w:footnoteReference w:id="28"/>
      </w:r>
    </w:p>
    <w:p>
      <w:pPr>
        <w:pStyle w:val="Normal"/>
        <w:widowControl/>
        <w:suppressAutoHyphens w:val="false"/>
        <w:bidi w:val="0"/>
        <w:spacing w:lineRule="auto" w:line="480" w:before="0" w:after="0"/>
        <w:ind w:right="0" w:hanging="0"/>
        <w:jc w:val="both"/>
        <w:rPr>
          <w:lang w:val="en-GB"/>
        </w:rPr>
      </w:pPr>
      <w:r>
        <w:rPr>
          <w:rFonts w:eastAsia="Times New Roman" w:cs="Times New Roman" w:ascii="Baskerville Old Face" w:hAnsi="Baskerville Old Face"/>
          <w:color w:val="auto"/>
          <w:sz w:val="24"/>
          <w:szCs w:val="24"/>
          <w:lang w:val="en-GB" w:eastAsia="en-GB"/>
        </w:rPr>
        <w:t xml:space="preserve">Smith translates the text as follows: </w:t>
      </w:r>
    </w:p>
    <w:p>
      <w:pPr>
        <w:pStyle w:val="Normal"/>
        <w:widowControl/>
        <w:suppressAutoHyphens w:val="false"/>
        <w:bidi w:val="0"/>
        <w:spacing w:lineRule="auto" w:line="480" w:beforeAutospacing="1" w:afterAutospacing="1"/>
        <w:ind w:left="900" w:right="0" w:hanging="0"/>
        <w:jc w:val="both"/>
        <w:rPr>
          <w:lang w:val="en-GB"/>
        </w:rPr>
      </w:pPr>
      <w:r>
        <w:rPr>
          <w:rFonts w:eastAsia="Times New Roman" w:cs="Times New Roman" w:ascii="Baskerville Old Face" w:hAnsi="Baskerville Old Face"/>
          <w:color w:val="auto"/>
          <w:sz w:val="24"/>
          <w:szCs w:val="24"/>
          <w:lang w:val="en-GB" w:eastAsia="en-GB"/>
        </w:rPr>
        <w:t>And so, since 1) every affection in the soul seems to be the specific character of a thing and, furthermore, 2a) spoken sounds signify primarily thoughts but 2b) rely after this on the signification of the things from which thoughts arise, 3) any spoken sound which is significant indicates an affection of the soul.</w:t>
      </w:r>
      <w:r>
        <w:rPr>
          <w:rStyle w:val="FootnoteAnchor"/>
          <w:rFonts w:eastAsia="Times New Roman" w:cs="Times New Roman" w:ascii="Baskerville Old Face" w:hAnsi="Baskerville Old Face"/>
          <w:color w:val="auto"/>
          <w:sz w:val="24"/>
          <w:szCs w:val="24"/>
          <w:lang w:val="en-GB" w:eastAsia="en-GB"/>
        </w:rPr>
        <w:footnoteReference w:id="29"/>
      </w:r>
    </w:p>
    <w:p>
      <w:pPr>
        <w:pStyle w:val="Normal"/>
        <w:suppressAutoHyphens w:val="false"/>
        <w:bidi w:val="0"/>
        <w:spacing w:lineRule="auto" w:line="480" w:beforeAutospacing="1" w:afterAutospacing="1"/>
        <w:ind w:hanging="0"/>
        <w:jc w:val="both"/>
        <w:rPr>
          <w:rFonts w:ascii="Baskerville Old Face" w:hAnsi="Baskerville Old Face"/>
          <w:sz w:val="24"/>
          <w:szCs w:val="24"/>
          <w:lang w:val="en-GB"/>
        </w:rPr>
      </w:pPr>
      <w:r>
        <w:rPr>
          <w:rFonts w:ascii="Baskerville Old Face" w:hAnsi="Baskerville Old Face"/>
          <w:sz w:val="24"/>
          <w:szCs w:val="24"/>
          <w:lang w:val="en-GB"/>
        </w:rPr>
        <w:t xml:space="preserve">There are difficulties with the text translated thus: the intent of the phrase ‘specific character’ is opaque; it’s unclear in what sense spoken sounds rely on the signification of things, and there isn’t a clear, formally valid path from claims 1 and either part of 2 to claim 3. The following translation resolves these difficulties: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sz w:val="24"/>
          <w:szCs w:val="24"/>
          <w:lang w:val="en-GB"/>
        </w:rPr>
        <w:t>Since every impression of the soul seems to be some attribute of a thing, utterances, then, principally designating meanings from this in turn bear on the designation of things by which meanings advance (whatever is meaningful (</w:t>
      </w:r>
      <w:r>
        <w:rPr>
          <w:rFonts w:ascii="Baskerville Old Face" w:hAnsi="Baskerville Old Face"/>
          <w:i/>
          <w:iCs/>
          <w:sz w:val="24"/>
          <w:szCs w:val="24"/>
          <w:lang w:val="en-GB"/>
        </w:rPr>
        <w:t>significativum</w:t>
      </w:r>
      <w:r>
        <w:rPr>
          <w:rFonts w:ascii="Baskerville Old Face" w:hAnsi="Baskerville Old Face"/>
          <w:i w:val="false"/>
          <w:iCs w:val="false"/>
          <w:sz w:val="24"/>
          <w:szCs w:val="24"/>
          <w:lang w:val="en-GB"/>
        </w:rPr>
        <w:t>)</w:t>
      </w:r>
      <w:r>
        <w:rPr>
          <w:rFonts w:ascii="Baskerville Old Face" w:hAnsi="Baskerville Old Face"/>
          <w:i/>
          <w:iCs/>
          <w:sz w:val="24"/>
          <w:szCs w:val="24"/>
          <w:lang w:val="en-GB"/>
        </w:rPr>
        <w:t xml:space="preserve"> </w:t>
      </w:r>
      <w:r>
        <w:rPr>
          <w:rFonts w:ascii="Baskerville Old Face" w:hAnsi="Baskerville Old Face"/>
          <w:sz w:val="24"/>
          <w:szCs w:val="24"/>
          <w:lang w:val="en-GB"/>
        </w:rPr>
        <w:t>in utterances, the same designates impressions of the soul).</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sz w:val="24"/>
          <w:szCs w:val="24"/>
          <w:lang w:val="en-GB"/>
        </w:rPr>
        <w:t xml:space="preserve">The Smith translation follows the sense laid out in Migne’s </w:t>
      </w:r>
      <w:r>
        <w:rPr>
          <w:rFonts w:ascii="Baskerville Old Face" w:hAnsi="Baskerville Old Face"/>
          <w:i/>
          <w:iCs/>
          <w:sz w:val="24"/>
          <w:szCs w:val="24"/>
          <w:lang w:val="en-GB"/>
        </w:rPr>
        <w:t xml:space="preserve">Patrologia </w:t>
      </w:r>
      <w:r>
        <w:rPr>
          <w:rFonts w:ascii="Baskerville Old Face" w:hAnsi="Baskerville Old Face"/>
          <w:i w:val="false"/>
          <w:iCs w:val="false"/>
          <w:sz w:val="24"/>
          <w:szCs w:val="24"/>
          <w:lang w:val="en-GB"/>
        </w:rPr>
        <w:t xml:space="preserve">edition of Boethius’ </w:t>
      </w:r>
      <w:r>
        <w:rPr>
          <w:rFonts w:ascii="Baskerville Old Face" w:hAnsi="Baskerville Old Face"/>
          <w:sz w:val="24"/>
          <w:szCs w:val="24"/>
          <w:lang w:val="en-GB"/>
        </w:rPr>
        <w:t xml:space="preserve">text, which inserts a </w:t>
      </w:r>
      <w:r>
        <w:rPr>
          <w:rFonts w:ascii="Baskerville Old Face" w:hAnsi="Baskerville Old Face"/>
          <w:i/>
          <w:iCs/>
          <w:sz w:val="24"/>
          <w:szCs w:val="24"/>
          <w:lang w:val="en-GB"/>
        </w:rPr>
        <w:t>cum</w:t>
      </w:r>
      <w:r>
        <w:rPr>
          <w:rFonts w:ascii="Baskerville Old Face" w:hAnsi="Baskerville Old Face"/>
          <w:i w:val="false"/>
          <w:iCs w:val="false"/>
          <w:sz w:val="24"/>
          <w:szCs w:val="24"/>
          <w:lang w:val="en-GB"/>
        </w:rPr>
        <w:t xml:space="preserve"> immediately after </w:t>
      </w:r>
      <w:r>
        <w:rPr>
          <w:rFonts w:ascii="Baskerville Old Face" w:hAnsi="Baskerville Old Face"/>
          <w:i/>
          <w:iCs/>
          <w:sz w:val="24"/>
          <w:szCs w:val="24"/>
          <w:lang w:val="en-GB"/>
        </w:rPr>
        <w:t>porro autem</w:t>
      </w:r>
      <w:r>
        <w:rPr>
          <w:rFonts w:ascii="Baskerville Old Face" w:hAnsi="Baskerville Old Face"/>
          <w:i w:val="false"/>
          <w:iCs w:val="false"/>
          <w:sz w:val="24"/>
          <w:szCs w:val="24"/>
          <w:lang w:val="en-GB"/>
        </w:rPr>
        <w:t xml:space="preserve">, treating the second claim as a premise. Omitting this, as Meiser’s edition does, allows for what was assumed to be the second premise and conclusion to be inverted, immediately leading to a valid argument: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1. Every impression of the soul is an attribute of some thing</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2. Whatever is meaningful in utterances designates an impression of the soul</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C. Whatever is meaningful in utterances designates an attribute of some thing.</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 xml:space="preserve">Boethius’ argument identifies what spoken sounds designate with </w:t>
      </w:r>
      <w:r>
        <w:rPr>
          <w:rFonts w:ascii="Baskerville Old Face" w:hAnsi="Baskerville Old Face"/>
          <w:i/>
          <w:iCs/>
          <w:sz w:val="24"/>
          <w:szCs w:val="24"/>
          <w:lang w:val="en-GB"/>
        </w:rPr>
        <w:t>rerum proprietates –</w:t>
      </w:r>
      <w:r>
        <w:rPr>
          <w:rFonts w:ascii="Baskerville Old Face" w:hAnsi="Baskerville Old Face"/>
          <w:i w:val="false"/>
          <w:iCs w:val="false"/>
          <w:sz w:val="24"/>
          <w:szCs w:val="24"/>
          <w:lang w:val="en-GB"/>
        </w:rPr>
        <w:t xml:space="preserve"> features of things, broadly construed. But with this established, the text as written reveals another identification: that of impression or </w:t>
      </w:r>
      <w:r>
        <w:rPr>
          <w:rFonts w:ascii="Baskerville Old Face" w:hAnsi="Baskerville Old Face"/>
          <w:i/>
          <w:iCs/>
          <w:sz w:val="24"/>
          <w:szCs w:val="24"/>
          <w:lang w:val="en-GB"/>
        </w:rPr>
        <w:t>passio</w:t>
      </w:r>
      <w:r>
        <w:rPr>
          <w:rFonts w:ascii="Baskerville Old Face" w:hAnsi="Baskerville Old Face"/>
          <w:i w:val="false"/>
          <w:iCs w:val="false"/>
          <w:sz w:val="24"/>
          <w:szCs w:val="24"/>
          <w:lang w:val="en-GB"/>
        </w:rPr>
        <w:t xml:space="preserve"> in claim 1 with </w:t>
      </w:r>
      <w:r>
        <w:rPr>
          <w:rFonts w:ascii="Baskerville Old Face" w:hAnsi="Baskerville Old Face"/>
          <w:i/>
          <w:iCs/>
          <w:sz w:val="24"/>
          <w:szCs w:val="24"/>
          <w:lang w:val="en-GB"/>
        </w:rPr>
        <w:t xml:space="preserve">intellectus </w:t>
      </w:r>
      <w:r>
        <w:rPr>
          <w:rFonts w:ascii="Baskerville Old Face" w:hAnsi="Baskerville Old Face"/>
          <w:i w:val="false"/>
          <w:iCs w:val="false"/>
          <w:sz w:val="24"/>
          <w:szCs w:val="24"/>
          <w:lang w:val="en-GB"/>
        </w:rPr>
        <w:t>in the text’s initial conclusion, what was premise 2a on Smith’s rendering (</w:t>
      </w:r>
      <w:r>
        <w:rPr>
          <w:rFonts w:ascii="Baskerville Old Face" w:hAnsi="Baskerville Old Face"/>
          <w:i/>
          <w:iCs/>
          <w:sz w:val="24"/>
          <w:szCs w:val="24"/>
          <w:lang w:val="en-GB"/>
        </w:rPr>
        <w:t>designativae voces intellectuum principaliter</w:t>
      </w:r>
      <w:r>
        <w:rPr>
          <w:rFonts w:ascii="Baskerville Old Face" w:hAnsi="Baskerville Old Face"/>
          <w:i w:val="false"/>
          <w:iCs w:val="false"/>
          <w:sz w:val="24"/>
          <w:szCs w:val="24"/>
          <w:lang w:val="en-GB"/>
        </w:rPr>
        <w:t>).</w:t>
      </w:r>
      <w:r>
        <w:rPr>
          <w:rStyle w:val="FootnoteAnchor"/>
          <w:rFonts w:ascii="Baskerville Old Face" w:hAnsi="Baskerville Old Face"/>
          <w:i w:val="false"/>
          <w:iCs w:val="false"/>
          <w:sz w:val="24"/>
          <w:szCs w:val="24"/>
          <w:lang w:val="en-GB"/>
        </w:rPr>
        <w:footnoteReference w:id="30"/>
      </w:r>
      <w:r>
        <w:rPr>
          <w:rFonts w:ascii="Baskerville Old Face" w:hAnsi="Baskerville Old Face"/>
          <w:i w:val="false"/>
          <w:iCs w:val="false"/>
          <w:sz w:val="24"/>
          <w:szCs w:val="24"/>
          <w:lang w:val="en-GB"/>
        </w:rPr>
        <w:t xml:space="preserve"> The term </w:t>
      </w:r>
      <w:r>
        <w:rPr>
          <w:rFonts w:ascii="Baskerville Old Face" w:hAnsi="Baskerville Old Face"/>
          <w:i/>
          <w:iCs/>
          <w:sz w:val="24"/>
          <w:szCs w:val="24"/>
          <w:lang w:val="en-GB"/>
        </w:rPr>
        <w:t>passio</w:t>
      </w:r>
      <w:r>
        <w:rPr>
          <w:rFonts w:ascii="Baskerville Old Face" w:hAnsi="Baskerville Old Face"/>
          <w:i w:val="false"/>
          <w:iCs w:val="false"/>
          <w:sz w:val="24"/>
          <w:szCs w:val="24"/>
          <w:lang w:val="en-GB"/>
        </w:rPr>
        <w:t xml:space="preserve"> designates the object of understanding as something that impresses or affects it, while </w:t>
      </w:r>
      <w:r>
        <w:rPr>
          <w:rFonts w:ascii="Baskerville Old Face" w:hAnsi="Baskerville Old Face"/>
          <w:i/>
          <w:iCs/>
          <w:sz w:val="24"/>
          <w:szCs w:val="24"/>
          <w:lang w:val="en-GB"/>
        </w:rPr>
        <w:t>intellectus</w:t>
      </w:r>
      <w:r>
        <w:rPr>
          <w:rFonts w:ascii="Baskerville Old Face" w:hAnsi="Baskerville Old Face"/>
          <w:i w:val="false"/>
          <w:iCs w:val="false"/>
          <w:sz w:val="24"/>
          <w:szCs w:val="24"/>
          <w:lang w:val="en-GB"/>
        </w:rPr>
        <w:t xml:space="preserve"> designates the same </w:t>
      </w:r>
      <w:r>
        <w:rPr>
          <w:rFonts w:ascii="Baskerville Old Face" w:hAnsi="Baskerville Old Face"/>
          <w:i/>
          <w:iCs/>
          <w:sz w:val="24"/>
          <w:szCs w:val="24"/>
          <w:lang w:val="en-GB"/>
        </w:rPr>
        <w:t xml:space="preserve">as </w:t>
      </w:r>
      <w:r>
        <w:rPr>
          <w:rFonts w:ascii="Baskerville Old Face" w:hAnsi="Baskerville Old Face"/>
          <w:i w:val="false"/>
          <w:iCs w:val="false"/>
          <w:sz w:val="24"/>
          <w:szCs w:val="24"/>
          <w:lang w:val="en-GB"/>
        </w:rPr>
        <w:t xml:space="preserve">the immediate object of understanding. In short, the passage identifies </w:t>
      </w:r>
      <w:r>
        <w:rPr>
          <w:rFonts w:ascii="Baskerville Old Face" w:hAnsi="Baskerville Old Face"/>
          <w:i/>
          <w:iCs/>
          <w:sz w:val="24"/>
          <w:szCs w:val="24"/>
          <w:lang w:val="en-GB"/>
        </w:rPr>
        <w:t xml:space="preserve">intellectus </w:t>
      </w:r>
      <w:r>
        <w:rPr>
          <w:rFonts w:ascii="Baskerville Old Face" w:hAnsi="Baskerville Old Face"/>
          <w:i w:val="false"/>
          <w:iCs w:val="false"/>
          <w:sz w:val="24"/>
          <w:szCs w:val="24"/>
          <w:lang w:val="en-GB"/>
        </w:rPr>
        <w:t>not with an activity of the mind or a product of that activity, but with something impressed on the intellect, what is at the same time not a medium by which features of things are understood, but the immediate and proper object of understanding itself, identical with those same features. Investing ‘thought’ or ‘concept’ with the desired sense, while possible, requires repudiating the above contraindicated senses embedded in the understanding of these terms today.</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ab/>
        <w:t xml:space="preserve">From here, Smith’s reading that spoken words </w:t>
      </w:r>
      <w:r>
        <w:rPr>
          <w:rFonts w:eastAsia="Times New Roman" w:cs="Times New Roman" w:ascii="Baskerville Old Face" w:hAnsi="Baskerville Old Face"/>
          <w:i w:val="false"/>
          <w:iCs w:val="false"/>
          <w:color w:val="auto"/>
          <w:sz w:val="24"/>
          <w:szCs w:val="24"/>
          <w:lang w:val="en-GB" w:eastAsia="en-GB"/>
        </w:rPr>
        <w:t xml:space="preserve">‘rely on the signification of the things from which thoughts arise’ relates signification and thought to things, but leaves their relation to each other unclear; one would be forgiven for taking both as mediating instruments by which spoken terms refer to things. But Boethius here uses </w:t>
      </w:r>
      <w:r>
        <w:rPr>
          <w:rFonts w:eastAsia="Times New Roman" w:cs="Times New Roman" w:ascii="Baskerville Old Face" w:hAnsi="Baskerville Old Face"/>
          <w:i/>
          <w:iCs/>
          <w:color w:val="auto"/>
          <w:sz w:val="24"/>
          <w:szCs w:val="24"/>
          <w:lang w:val="en-GB" w:eastAsia="en-GB"/>
        </w:rPr>
        <w:t>significativum</w:t>
      </w:r>
      <w:r>
        <w:rPr>
          <w:rFonts w:eastAsia="Times New Roman" w:cs="Times New Roman" w:ascii="Baskerville Old Face" w:hAnsi="Baskerville Old Face"/>
          <w:i w:val="false"/>
          <w:iCs w:val="false"/>
          <w:color w:val="auto"/>
          <w:sz w:val="24"/>
          <w:szCs w:val="24"/>
          <w:lang w:val="en-GB" w:eastAsia="en-GB"/>
        </w:rPr>
        <w:t xml:space="preserve"> and</w:t>
      </w:r>
      <w:r>
        <w:rPr>
          <w:rFonts w:eastAsia="Times New Roman" w:cs="Times New Roman" w:ascii="Baskerville Old Face" w:hAnsi="Baskerville Old Face"/>
          <w:i/>
          <w:iCs/>
          <w:color w:val="auto"/>
          <w:sz w:val="24"/>
          <w:szCs w:val="24"/>
          <w:lang w:val="en-GB" w:eastAsia="en-GB"/>
        </w:rPr>
        <w:t xml:space="preserve"> designativae </w:t>
      </w:r>
      <w:r>
        <w:rPr>
          <w:rFonts w:eastAsia="Times New Roman" w:cs="Times New Roman" w:ascii="Baskerville Old Face" w:hAnsi="Baskerville Old Face"/>
          <w:i w:val="false"/>
          <w:iCs w:val="false"/>
          <w:color w:val="auto"/>
          <w:sz w:val="24"/>
          <w:szCs w:val="24"/>
          <w:lang w:val="en-GB" w:eastAsia="en-GB"/>
        </w:rPr>
        <w:t xml:space="preserve">to denote not what is immediately meant by an utterance – for this he instead uses </w:t>
      </w:r>
      <w:r>
        <w:rPr>
          <w:rFonts w:eastAsia="Times New Roman" w:cs="Times New Roman" w:ascii="Baskerville Old Face" w:hAnsi="Baskerville Old Face"/>
          <w:i/>
          <w:iCs/>
          <w:color w:val="auto"/>
          <w:sz w:val="24"/>
          <w:szCs w:val="24"/>
          <w:lang w:val="en-GB" w:eastAsia="en-GB"/>
        </w:rPr>
        <w:t xml:space="preserve">intellectus </w:t>
      </w:r>
      <w:r>
        <w:rPr>
          <w:rFonts w:eastAsia="Times New Roman" w:cs="Times New Roman" w:ascii="Baskerville Old Face" w:hAnsi="Baskerville Old Face"/>
          <w:i w:val="false"/>
          <w:iCs w:val="false"/>
          <w:color w:val="auto"/>
          <w:sz w:val="24"/>
          <w:szCs w:val="24"/>
          <w:lang w:val="en-GB" w:eastAsia="en-GB"/>
        </w:rPr>
        <w:t xml:space="preserve">or </w:t>
      </w:r>
      <w:r>
        <w:rPr>
          <w:rFonts w:eastAsia="Times New Roman" w:cs="Times New Roman" w:ascii="Baskerville Old Face" w:hAnsi="Baskerville Old Face"/>
          <w:i/>
          <w:iCs/>
          <w:color w:val="auto"/>
          <w:sz w:val="24"/>
          <w:szCs w:val="24"/>
          <w:lang w:val="en-GB" w:eastAsia="en-GB"/>
        </w:rPr>
        <w:t xml:space="preserve">passio </w:t>
      </w:r>
      <w:r>
        <w:rPr>
          <w:rFonts w:eastAsia="Times New Roman" w:cs="Times New Roman" w:ascii="Baskerville Old Face" w:hAnsi="Baskerville Old Face"/>
          <w:i w:val="false"/>
          <w:iCs w:val="false"/>
          <w:color w:val="auto"/>
          <w:sz w:val="24"/>
          <w:szCs w:val="24"/>
          <w:lang w:val="en-GB" w:eastAsia="en-GB"/>
        </w:rPr>
        <w:t xml:space="preserve">depending on the connotation desired – but a property of words by which they both mean and refer to those same </w:t>
      </w:r>
      <w:r>
        <w:rPr>
          <w:rFonts w:eastAsia="Times New Roman" w:cs="Times New Roman" w:ascii="Baskerville Old Face" w:hAnsi="Baskerville Old Face"/>
          <w:i/>
          <w:iCs/>
          <w:color w:val="auto"/>
          <w:sz w:val="24"/>
          <w:szCs w:val="24"/>
          <w:lang w:val="en-GB" w:eastAsia="en-GB"/>
        </w:rPr>
        <w:t>intellectus</w:t>
      </w:r>
      <w:r>
        <w:rPr>
          <w:rFonts w:eastAsia="Times New Roman" w:cs="Times New Roman" w:ascii="Baskerville Old Face" w:hAnsi="Baskerville Old Face"/>
          <w:i w:val="false"/>
          <w:iCs w:val="false"/>
          <w:color w:val="auto"/>
          <w:sz w:val="24"/>
          <w:szCs w:val="24"/>
          <w:lang w:val="en-GB" w:eastAsia="en-GB"/>
        </w:rPr>
        <w:t>. Instead, Boethius here answers how utterances principally designating impressions of the soul, which are identical with features of a thing, may in turn be used to refer not to those features but to their bearers, the things ‘by which meanings advance’ – a task Anselm will take up more specifically and at length in the</w:t>
      </w:r>
      <w:r>
        <w:rPr>
          <w:rFonts w:eastAsia="Times New Roman" w:cs="Times New Roman" w:ascii="Baskerville Old Face" w:hAnsi="Baskerville Old Face"/>
          <w:i/>
          <w:iCs/>
          <w:color w:val="auto"/>
          <w:sz w:val="24"/>
          <w:szCs w:val="24"/>
          <w:lang w:val="en-GB" w:eastAsia="en-GB"/>
        </w:rPr>
        <w:t xml:space="preserve"> De Grammatico</w:t>
      </w:r>
      <w:r>
        <w:rPr>
          <w:rFonts w:eastAsia="Times New Roman" w:cs="Times New Roman" w:ascii="Baskerville Old Face" w:hAnsi="Baskerville Old Face"/>
          <w:i w:val="false"/>
          <w:iCs w:val="false"/>
          <w:color w:val="auto"/>
          <w:sz w:val="24"/>
          <w:szCs w:val="24"/>
          <w:lang w:val="en-GB" w:eastAsia="en-GB"/>
        </w:rPr>
        <w:t>’s discussion of paronyms.</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4 </w:t>
      </w:r>
      <w:r>
        <w:rPr>
          <w:rFonts w:cs="Times New Roman" w:ascii="Baskerville Old Face" w:hAnsi="Baskerville Old Face"/>
          <w:b/>
          <w:i/>
          <w:color w:val="auto"/>
          <w:sz w:val="24"/>
          <w:szCs w:val="24"/>
          <w:lang w:val="en-GB"/>
        </w:rPr>
        <w:t>Fides</w:t>
      </w:r>
      <w:r>
        <w:rPr>
          <w:rFonts w:cs="Times New Roman" w:ascii="Baskerville Old Face" w:hAnsi="Baskerville Old Face"/>
          <w:b/>
          <w:color w:val="auto"/>
          <w:sz w:val="24"/>
          <w:szCs w:val="24"/>
          <w:lang w:val="en-GB"/>
        </w:rPr>
        <w:t xml:space="preserve"> in Boethius’ Topical Works</w:t>
      </w:r>
    </w:p>
    <w:p>
      <w:pPr>
        <w:pStyle w:val="Normal"/>
        <w:spacing w:lineRule="auto" w:line="480"/>
        <w:jc w:val="both"/>
        <w:rPr>
          <w:lang w:val="en-GB"/>
        </w:rPr>
      </w:pPr>
      <w:r>
        <w:rPr>
          <w:rFonts w:cs="Times New Roman" w:ascii="Baskerville Old Face" w:hAnsi="Baskerville Old Face"/>
          <w:sz w:val="24"/>
          <w:szCs w:val="24"/>
          <w:lang w:val="en-GB"/>
        </w:rPr>
        <w:tab/>
        <w:t xml:space="preserve">Of the works in the above mentioned codex, those most important for determining Anselm’s use of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are Boethius’ </w:t>
      </w:r>
      <w:r>
        <w:rPr>
          <w:rFonts w:cs="Times New Roman" w:ascii="Baskerville Old Face" w:hAnsi="Baskerville Old Face"/>
          <w:i/>
          <w:sz w:val="24"/>
          <w:szCs w:val="24"/>
          <w:lang w:val="en-GB"/>
        </w:rPr>
        <w:t xml:space="preserve">In Ciceronis Topica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 We turn to these now.</w:t>
      </w:r>
      <w:r>
        <w:rPr>
          <w:rStyle w:val="FootnoteAnchor"/>
          <w:rFonts w:cs="Times New Roman" w:ascii="Baskerville Old Face" w:hAnsi="Baskerville Old Face"/>
          <w:sz w:val="24"/>
          <w:szCs w:val="24"/>
          <w:lang w:val="en-GB"/>
        </w:rPr>
        <w:footnoteReference w:id="31"/>
      </w:r>
    </w:p>
    <w:p>
      <w:pPr>
        <w:pStyle w:val="Standard"/>
        <w:tabs>
          <w:tab w:val="clear" w:pos="720"/>
          <w:tab w:val="left" w:pos="360" w:leader="none"/>
        </w:tabs>
        <w:spacing w:lineRule="auto" w:line="480" w:before="0" w:after="160"/>
        <w:jc w:val="both"/>
        <w:rPr>
          <w:lang w:val="en-GB"/>
        </w:rPr>
      </w:pPr>
      <w:r>
        <w:rPr>
          <w:rFonts w:cs="Times New Roman" w:ascii="Baskerville Old Face" w:hAnsi="Baskerville Old Face"/>
          <w:lang w:val="en-GB"/>
        </w:rPr>
        <w:tab/>
        <w:t xml:space="preserve">The most important place where </w:t>
      </w:r>
      <w:r>
        <w:rPr>
          <w:rFonts w:cs="Times New Roman" w:ascii="Baskerville Old Face" w:hAnsi="Baskerville Old Face"/>
          <w:i/>
          <w:lang w:val="en-GB"/>
        </w:rPr>
        <w:t xml:space="preserve">fides </w:t>
      </w:r>
      <w:r>
        <w:rPr>
          <w:rFonts w:cs="Times New Roman" w:ascii="Baskerville Old Face" w:hAnsi="Baskerville Old Face"/>
          <w:lang w:val="en-GB"/>
        </w:rPr>
        <w:t xml:space="preserve">shows up in Cicero’s topics is in the definition of a topic itself. Cicero defines </w:t>
      </w:r>
      <w:r>
        <w:rPr>
          <w:rFonts w:cs="Times New Roman" w:ascii="Baskerville Old Face" w:hAnsi="Baskerville Old Face"/>
          <w:i/>
          <w:iCs/>
          <w:lang w:val="en-GB"/>
        </w:rPr>
        <w:t>locus</w:t>
      </w:r>
      <w:r>
        <w:rPr>
          <w:rFonts w:cs="Times New Roman" w:ascii="Baskerville Old Face" w:hAnsi="Baskerville Old Face"/>
          <w:lang w:val="en-GB"/>
        </w:rPr>
        <w:t>, the Latin translation of the Greek</w:t>
      </w:r>
      <w:r>
        <w:rPr>
          <w:rFonts w:cs="Times New Roman" w:ascii="Baskerville Old Face" w:hAnsi="Baskerville Old Face"/>
          <w:i/>
          <w:iCs/>
          <w:lang w:val="en-GB"/>
        </w:rPr>
        <w:t xml:space="preserve"> </w:t>
      </w:r>
      <w:r>
        <w:rPr>
          <w:rFonts w:cs="Cambria" w:ascii="Baskerville Old Face" w:hAnsi="Baskerville Old Face"/>
          <w:lang w:val="en-GB"/>
        </w:rPr>
        <w:t>τό</w:t>
      </w:r>
      <w:r>
        <w:rPr>
          <w:rFonts w:cs="Baskerville Old Face" w:ascii="Baskerville Old Face" w:hAnsi="Baskerville Old Face"/>
          <w:lang w:val="en-GB"/>
        </w:rPr>
        <w:t>π</w:t>
      </w:r>
      <w:r>
        <w:rPr>
          <w:rFonts w:cs="Cambria" w:ascii="Baskerville Old Face" w:hAnsi="Baskerville Old Face"/>
          <w:lang w:val="en-GB"/>
        </w:rPr>
        <w:t>ος</w:t>
      </w:r>
      <w:r>
        <w:rPr>
          <w:rFonts w:cs="Times New Roman" w:ascii="Baskerville Old Face" w:hAnsi="Baskerville Old Face"/>
          <w:lang w:val="en-GB"/>
        </w:rPr>
        <w:t xml:space="preserve">, thus: </w:t>
      </w:r>
      <w:r>
        <w:rPr>
          <w:rFonts w:cs="Baskerville Old Face" w:ascii="Baskerville Old Face" w:hAnsi="Baskerville Old Face"/>
          <w:lang w:val="en-GB"/>
        </w:rPr>
        <w:t>‘</w:t>
      </w:r>
      <w:r>
        <w:rPr>
          <w:rFonts w:cs="Times New Roman" w:ascii="Baskerville Old Face" w:hAnsi="Baskerville Old Face"/>
          <w:lang w:val="en-GB"/>
        </w:rPr>
        <w:t>Therefore we may define</w:t>
      </w:r>
      <w:r>
        <w:rPr>
          <w:rFonts w:cs="Times New Roman" w:ascii="Baskerville Old Face" w:hAnsi="Baskerville Old Face"/>
          <w:i/>
          <w:iCs/>
          <w:lang w:val="en-GB"/>
        </w:rPr>
        <w:t xml:space="preserve"> </w:t>
      </w:r>
      <w:r>
        <w:rPr>
          <w:rFonts w:cs="Times New Roman" w:ascii="Baskerville Old Face" w:hAnsi="Baskerville Old Face"/>
          <w:lang w:val="en-GB"/>
        </w:rPr>
        <w:t xml:space="preserve">'topic' as the seat of an argument, and 'argument' as the </w:t>
      </w:r>
      <w:r>
        <w:rPr>
          <w:rFonts w:cs="Times New Roman" w:ascii="Baskerville Old Face" w:hAnsi="Baskerville Old Face"/>
          <w:i/>
          <w:iCs/>
          <w:lang w:val="en-GB"/>
        </w:rPr>
        <w:t xml:space="preserve">ratio </w:t>
      </w:r>
      <w:r>
        <w:rPr>
          <w:rFonts w:cs="Times New Roman" w:ascii="Baskerville Old Face" w:hAnsi="Baskerville Old Face"/>
          <w:lang w:val="en-GB"/>
        </w:rPr>
        <w:t xml:space="preserve">that grants </w:t>
      </w:r>
      <w:r>
        <w:rPr>
          <w:rFonts w:cs="Times New Roman" w:ascii="Baskerville Old Face" w:hAnsi="Baskerville Old Face"/>
          <w:i/>
          <w:lang w:val="en-GB"/>
        </w:rPr>
        <w:t xml:space="preserve">fides </w:t>
      </w:r>
      <w:r>
        <w:rPr>
          <w:rFonts w:cs="Times New Roman" w:ascii="Baskerville Old Face" w:hAnsi="Baskerville Old Face"/>
          <w:lang w:val="en-GB"/>
        </w:rPr>
        <w:t>to a doubtful matter.’</w:t>
      </w:r>
      <w:r>
        <w:rPr>
          <w:rStyle w:val="FootnoteAnchor"/>
          <w:rFonts w:cs="Times New Roman" w:ascii="Baskerville Old Face" w:hAnsi="Baskerville Old Face"/>
          <w:lang w:val="en-GB"/>
        </w:rPr>
        <w:footnoteReference w:id="32"/>
      </w:r>
      <w:r>
        <w:rPr>
          <w:rFonts w:cs="Times New Roman" w:ascii="Baskerville Old Face" w:hAnsi="Baskerville Old Face"/>
          <w:lang w:val="en-GB"/>
        </w:rPr>
        <w:t xml:space="preserve"> Boethius comments on the passage as follows: </w:t>
      </w:r>
    </w:p>
    <w:p>
      <w:pPr>
        <w:pStyle w:val="Standard"/>
        <w:spacing w:lineRule="auto" w:line="480" w:before="0" w:after="160"/>
        <w:ind w:left="900" w:hanging="0"/>
        <w:jc w:val="both"/>
        <w:rPr>
          <w:lang w:val="en-GB"/>
        </w:rPr>
      </w:pPr>
      <w:r>
        <w:rPr>
          <w:rFonts w:cs="Times New Roman" w:ascii="Baskerville Old Face" w:hAnsi="Baskerville Old Face"/>
          <w:lang w:val="en-GB"/>
        </w:rPr>
        <w:t xml:space="preserve">There are many things that grant </w:t>
      </w:r>
      <w:r>
        <w:rPr>
          <w:rFonts w:cs="Times New Roman" w:ascii="Baskerville Old Face" w:hAnsi="Baskerville Old Face"/>
          <w:i/>
          <w:lang w:val="en-GB"/>
        </w:rPr>
        <w:t>fides</w:t>
      </w:r>
      <w:r>
        <w:rPr>
          <w:rFonts w:cs="Times New Roman" w:ascii="Baskerville Old Face" w:hAnsi="Baskerville Old Face"/>
          <w:lang w:val="en-GB"/>
        </w:rPr>
        <w:t xml:space="preserve">, but since they are not </w:t>
      </w:r>
      <w:r>
        <w:rPr>
          <w:rFonts w:cs="Times New Roman" w:ascii="Baskerville Old Face" w:hAnsi="Baskerville Old Face"/>
          <w:i/>
          <w:lang w:val="en-GB"/>
        </w:rPr>
        <w:t>rationes</w:t>
      </w:r>
      <w:r>
        <w:rPr>
          <w:rFonts w:cs="Times New Roman" w:ascii="Baskerville Old Face" w:hAnsi="Baskerville Old Face"/>
          <w:lang w:val="en-GB"/>
        </w:rPr>
        <w:t xml:space="preserve">, neither can they be </w:t>
      </w:r>
      <w:r>
        <w:rPr>
          <w:rFonts w:cs="Times New Roman" w:ascii="Baskerville Old Face" w:hAnsi="Baskerville Old Face"/>
          <w:i/>
          <w:lang w:val="en-GB"/>
        </w:rPr>
        <w:t>argumenta</w:t>
      </w:r>
      <w:r>
        <w:rPr>
          <w:rFonts w:cs="Times New Roman" w:ascii="Baskerville Old Face" w:hAnsi="Baskerville Old Face"/>
          <w:lang w:val="en-GB"/>
        </w:rPr>
        <w:t xml:space="preserve">: for instance, sight grants </w:t>
      </w:r>
      <w:r>
        <w:rPr>
          <w:rFonts w:cs="Times New Roman" w:ascii="Baskerville Old Face" w:hAnsi="Baskerville Old Face"/>
          <w:i/>
          <w:lang w:val="en-GB"/>
        </w:rPr>
        <w:t>fides</w:t>
      </w:r>
      <w:r>
        <w:rPr>
          <w:rFonts w:cs="Times New Roman" w:ascii="Baskerville Old Face" w:hAnsi="Baskerville Old Face"/>
          <w:lang w:val="en-GB"/>
        </w:rPr>
        <w:t xml:space="preserve"> to things seen, but because sight is not a </w:t>
      </w:r>
      <w:r>
        <w:rPr>
          <w:rFonts w:cs="Times New Roman" w:ascii="Baskerville Old Face" w:hAnsi="Baskerville Old Face"/>
          <w:i/>
          <w:lang w:val="en-GB"/>
        </w:rPr>
        <w:t>ratio</w:t>
      </w:r>
      <w:r>
        <w:rPr>
          <w:rFonts w:cs="Times New Roman" w:ascii="Baskerville Old Face" w:hAnsi="Baskerville Old Face"/>
          <w:lang w:val="en-GB"/>
        </w:rPr>
        <w:t xml:space="preserve">, neither can it be an </w:t>
      </w:r>
      <w:r>
        <w:rPr>
          <w:rFonts w:cs="Times New Roman" w:ascii="Baskerville Old Face" w:hAnsi="Baskerville Old Face"/>
          <w:i/>
          <w:lang w:val="en-GB"/>
        </w:rPr>
        <w:t>argumentum</w:t>
      </w:r>
      <w:r>
        <w:rPr>
          <w:rFonts w:cs="Times New Roman" w:ascii="Baskerville Old Face" w:hAnsi="Baskerville Old Face"/>
          <w:lang w:val="en-GB"/>
        </w:rPr>
        <w:t xml:space="preserve">. He assumes one difference, </w:t>
      </w:r>
      <w:r>
        <w:rPr>
          <w:rFonts w:cs="Times New Roman" w:ascii="Baskerville Old Face" w:hAnsi="Baskerville Old Face"/>
          <w:i/>
          <w:lang w:val="en-GB"/>
        </w:rPr>
        <w:t>that which grants fides</w:t>
      </w:r>
      <w:r>
        <w:rPr>
          <w:rFonts w:cs="Times New Roman" w:ascii="Baskerville Old Face" w:hAnsi="Baskerville Old Face"/>
          <w:lang w:val="en-GB"/>
        </w:rPr>
        <w:t xml:space="preserve">, since every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grants </w:t>
      </w:r>
      <w:r>
        <w:rPr>
          <w:rFonts w:cs="Times New Roman" w:ascii="Baskerville Old Face" w:hAnsi="Baskerville Old Face"/>
          <w:i/>
          <w:lang w:val="en-GB"/>
        </w:rPr>
        <w:t>fides</w:t>
      </w:r>
      <w:r>
        <w:rPr>
          <w:rFonts w:cs="Times New Roman" w:ascii="Baskerville Old Face" w:hAnsi="Baskerville Old Face"/>
          <w:lang w:val="en-GB"/>
        </w:rPr>
        <w:t xml:space="preserve">. If, then, we were to join the genus to the difference, and call this an </w:t>
      </w:r>
      <w:r>
        <w:rPr>
          <w:rFonts w:cs="Times New Roman" w:ascii="Baskerville Old Face" w:hAnsi="Baskerville Old Face"/>
          <w:i/>
          <w:lang w:val="en-GB"/>
        </w:rPr>
        <w:t>argumentum</w:t>
      </w:r>
      <w:r>
        <w:rPr>
          <w:rFonts w:cs="Times New Roman" w:ascii="Baskerville Old Face" w:hAnsi="Baskerville Old Face"/>
          <w:lang w:val="en-GB"/>
        </w:rPr>
        <w:t xml:space="preserve">… would the complete nature of an </w:t>
      </w:r>
      <w:r>
        <w:rPr>
          <w:rFonts w:cs="Times New Roman" w:ascii="Baskerville Old Face" w:hAnsi="Baskerville Old Face"/>
          <w:i/>
          <w:lang w:val="en-GB"/>
        </w:rPr>
        <w:t>argumentum</w:t>
      </w:r>
      <w:r>
        <w:rPr>
          <w:rFonts w:cs="Times New Roman" w:ascii="Baskerville Old Face" w:hAnsi="Baskerville Old Face"/>
          <w:lang w:val="en-GB"/>
        </w:rPr>
        <w:t xml:space="preserve"> be made clear? Hardly…for an </w:t>
      </w:r>
      <w:r>
        <w:rPr>
          <w:rFonts w:cs="Times New Roman" w:ascii="Baskerville Old Face" w:hAnsi="Baskerville Old Face"/>
          <w:i/>
          <w:lang w:val="en-GB"/>
        </w:rPr>
        <w:t xml:space="preserve">argumentum </w:t>
      </w:r>
      <w:r>
        <w:rPr>
          <w:rFonts w:cs="Times New Roman" w:ascii="Baskerville Old Face" w:hAnsi="Baskerville Old Face"/>
          <w:lang w:val="en-GB"/>
        </w:rPr>
        <w:t>is what establishes something (</w:t>
      </w:r>
      <w:r>
        <w:rPr>
          <w:rFonts w:cs="Times New Roman" w:ascii="Baskerville Old Face" w:hAnsi="Baskerville Old Face"/>
          <w:i/>
          <w:lang w:val="en-GB"/>
        </w:rPr>
        <w:t>quod rem arguit</w:t>
      </w:r>
      <w:r>
        <w:rPr>
          <w:rFonts w:cs="Times New Roman" w:ascii="Baskerville Old Face" w:hAnsi="Baskerville Old Face"/>
          <w:lang w:val="en-GB"/>
        </w:rPr>
        <w:t xml:space="preserve">) – that is, what proves it – and nothing can be proven unless it is doubtful… Adding, then, another difference, that is, </w:t>
      </w:r>
      <w:r>
        <w:rPr>
          <w:rFonts w:cs="Times New Roman" w:ascii="Baskerville Old Face" w:hAnsi="Baskerville Old Face"/>
          <w:i/>
          <w:lang w:val="en-GB"/>
        </w:rPr>
        <w:t>to a doubtful matter</w:t>
      </w:r>
      <w:r>
        <w:rPr>
          <w:rFonts w:cs="Times New Roman" w:ascii="Baskerville Old Face" w:hAnsi="Baskerville Old Face"/>
          <w:lang w:val="en-GB"/>
        </w:rPr>
        <w:t xml:space="preserve">, the definition of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is made complete, consisting of a genus and two differences: the genus, </w:t>
      </w:r>
      <w:r>
        <w:rPr>
          <w:rFonts w:cs="Times New Roman" w:ascii="Baskerville Old Face" w:hAnsi="Baskerville Old Face"/>
          <w:i/>
          <w:lang w:val="en-GB"/>
        </w:rPr>
        <w:t>ratio</w:t>
      </w:r>
      <w:r>
        <w:rPr>
          <w:rFonts w:cs="Times New Roman" w:ascii="Baskerville Old Face" w:hAnsi="Baskerville Old Face"/>
          <w:lang w:val="en-GB"/>
        </w:rPr>
        <w:t xml:space="preserve">; the first difference, </w:t>
      </w:r>
      <w:r>
        <w:rPr>
          <w:rFonts w:cs="Times New Roman" w:ascii="Baskerville Old Face" w:hAnsi="Baskerville Old Face"/>
          <w:i/>
          <w:lang w:val="en-GB"/>
        </w:rPr>
        <w:t>granting</w:t>
      </w:r>
      <w:r>
        <w:rPr>
          <w:rFonts w:cs="Times New Roman" w:ascii="Baskerville Old Face" w:hAnsi="Baskerville Old Face"/>
          <w:lang w:val="en-GB"/>
        </w:rPr>
        <w:t xml:space="preserve"> </w:t>
      </w:r>
      <w:r>
        <w:rPr>
          <w:rFonts w:cs="Times New Roman" w:ascii="Baskerville Old Face" w:hAnsi="Baskerville Old Face"/>
          <w:i/>
          <w:lang w:val="en-GB"/>
        </w:rPr>
        <w:t>fides</w:t>
      </w:r>
      <w:r>
        <w:rPr>
          <w:rFonts w:cs="Times New Roman" w:ascii="Baskerville Old Face" w:hAnsi="Baskerville Old Face"/>
          <w:lang w:val="en-GB"/>
        </w:rPr>
        <w:t xml:space="preserve">; the other, </w:t>
      </w:r>
      <w:r>
        <w:rPr>
          <w:rFonts w:cs="Times New Roman" w:ascii="Baskerville Old Face" w:hAnsi="Baskerville Old Face"/>
          <w:i/>
          <w:lang w:val="en-GB"/>
        </w:rPr>
        <w:t>to a doubtful matter</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33"/>
      </w:r>
    </w:p>
    <w:p>
      <w:pPr>
        <w:pStyle w:val="Standard"/>
        <w:spacing w:lineRule="auto" w:line="480" w:before="0" w:after="160"/>
        <w:jc w:val="both"/>
        <w:rPr>
          <w:lang w:val="en-GB"/>
        </w:rPr>
      </w:pPr>
      <w:r>
        <w:rPr>
          <w:rFonts w:cs="Times New Roman" w:ascii="Baskerville Old Face" w:hAnsi="Baskerville Old Face"/>
          <w:lang w:val="en-GB"/>
        </w:rPr>
        <w:t xml:space="preserve">Here, we must not construe </w:t>
      </w:r>
      <w:r>
        <w:rPr>
          <w:rFonts w:cs="Times New Roman" w:ascii="Baskerville Old Face" w:hAnsi="Baskerville Old Face"/>
          <w:i/>
          <w:lang w:val="en-GB"/>
        </w:rPr>
        <w:t>ratio</w:t>
      </w:r>
      <w:r>
        <w:rPr>
          <w:rFonts w:cs="Times New Roman" w:ascii="Baskerville Old Face" w:hAnsi="Baskerville Old Face"/>
          <w:lang w:val="en-GB"/>
        </w:rPr>
        <w:t xml:space="preserve"> as ‘reasoning’, but as what is reasoned about, since the term is constitutive of the meaning of </w:t>
      </w:r>
      <w:r>
        <w:rPr>
          <w:rFonts w:cs="Times New Roman" w:ascii="Baskerville Old Face" w:hAnsi="Baskerville Old Face"/>
          <w:i/>
          <w:lang w:val="en-GB"/>
        </w:rPr>
        <w:t>argumentum</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34"/>
      </w:r>
      <w:r>
        <w:rPr>
          <w:rFonts w:cs="Times New Roman" w:ascii="Baskerville Old Face" w:hAnsi="Baskerville Old Face"/>
          <w:i/>
          <w:lang w:val="en-GB"/>
        </w:rPr>
        <w:t xml:space="preserve"> </w:t>
      </w:r>
      <w:r>
        <w:rPr>
          <w:rFonts w:cs="Times New Roman" w:ascii="Baskerville Old Face" w:hAnsi="Baskerville Old Face"/>
          <w:lang w:val="en-GB"/>
        </w:rPr>
        <w:t>Further, as Holopainen has shown,</w:t>
      </w:r>
      <w:r>
        <w:rPr>
          <w:rStyle w:val="FootnoteAnchor"/>
          <w:rFonts w:cs="Times New Roman" w:ascii="Baskerville Old Face" w:hAnsi="Baskerville Old Face"/>
          <w:lang w:val="en-GB"/>
        </w:rPr>
        <w:footnoteReference w:id="35"/>
      </w:r>
      <w:r>
        <w:rPr>
          <w:rFonts w:cs="Times New Roman" w:ascii="Baskerville Old Face" w:hAnsi="Baskerville Old Face"/>
          <w:lang w:val="en-GB"/>
        </w:rPr>
        <w:t xml:space="preserve"> the term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refer to the complete set of premises constituting a valid deduction along with their conclusion, but may refer solely to the middle term of such a deduction. If this is so, the meaning of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be extensionally differentiated from that of </w:t>
      </w:r>
      <w:r>
        <w:rPr>
          <w:rFonts w:cs="Times New Roman" w:ascii="Baskerville Old Face" w:hAnsi="Baskerville Old Face"/>
          <w:i/>
          <w:lang w:val="en-GB"/>
        </w:rPr>
        <w:t>ratio</w:t>
      </w:r>
      <w:r>
        <w:rPr>
          <w:rFonts w:cs="Times New Roman" w:ascii="Baskerville Old Face" w:hAnsi="Baskerville Old Face"/>
          <w:lang w:val="en-GB"/>
        </w:rPr>
        <w:t xml:space="preserve">, but may be so intensionally: a </w:t>
      </w:r>
      <w:r>
        <w:rPr>
          <w:rFonts w:cs="Times New Roman" w:ascii="Baskerville Old Face" w:hAnsi="Baskerville Old Face"/>
          <w:i/>
          <w:lang w:val="en-GB"/>
        </w:rPr>
        <w:t>ratio</w:t>
      </w:r>
      <w:r>
        <w:rPr>
          <w:rFonts w:cs="Times New Roman" w:ascii="Baskerville Old Face" w:hAnsi="Baskerville Old Face"/>
          <w:lang w:val="en-GB"/>
        </w:rPr>
        <w:t xml:space="preserve"> is an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when it plays the role of a middle term in a certain kind of deduction. We may, then, construe </w:t>
      </w:r>
      <w:r>
        <w:rPr>
          <w:rFonts w:cs="Times New Roman" w:ascii="Baskerville Old Face" w:hAnsi="Baskerville Old Face"/>
          <w:i/>
          <w:lang w:val="en-GB"/>
        </w:rPr>
        <w:t>ratio</w:t>
      </w:r>
      <w:r>
        <w:rPr>
          <w:rFonts w:cs="Times New Roman" w:ascii="Baskerville Old Face" w:hAnsi="Baskerville Old Face"/>
          <w:lang w:val="en-GB"/>
        </w:rPr>
        <w:t xml:space="preserve"> as ‘idea’ or ‘concept’, provided we understand it as the essence of a thing </w:t>
      </w:r>
      <w:r>
        <w:rPr>
          <w:rFonts w:cs="Times New Roman" w:ascii="Baskerville Old Face" w:hAnsi="Baskerville Old Face"/>
          <w:i/>
          <w:lang w:val="en-GB"/>
        </w:rPr>
        <w:t xml:space="preserve">qua </w:t>
      </w:r>
      <w:r>
        <w:rPr>
          <w:rFonts w:cs="Times New Roman" w:ascii="Baskerville Old Face" w:hAnsi="Baskerville Old Face"/>
          <w:lang w:val="en-GB"/>
        </w:rPr>
        <w:t>received by the intellect, and not as a representational medium for understanding the world spontaneously drawn up by the intellect.</w:t>
      </w:r>
      <w:r>
        <w:rPr>
          <w:rStyle w:val="FootnoteAnchor"/>
          <w:rFonts w:cs="Times New Roman" w:ascii="Baskerville Old Face" w:hAnsi="Baskerville Old Face"/>
          <w:lang w:val="en-GB"/>
        </w:rPr>
        <w:footnoteReference w:id="36"/>
      </w:r>
    </w:p>
    <w:p>
      <w:pPr>
        <w:pStyle w:val="Standard"/>
        <w:spacing w:lineRule="auto" w:line="480" w:before="0" w:after="160"/>
        <w:jc w:val="both"/>
        <w:rPr>
          <w:lang w:val="en-GB"/>
        </w:rPr>
      </w:pPr>
      <w:r>
        <w:rPr>
          <w:rFonts w:cs="Times New Roman" w:ascii="Baskerville Old Face" w:hAnsi="Baskerville Old Face"/>
          <w:lang w:val="en-GB"/>
        </w:rPr>
        <w:tab/>
        <w:t xml:space="preserve">To construe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as ‘argument’, or even ‘middle term of an argument’, in the above passage would be too broad: only a middle term successfully establishing its conclusion can be an </w:t>
      </w:r>
      <w:r>
        <w:rPr>
          <w:rFonts w:cs="Times New Roman" w:ascii="Baskerville Old Face" w:hAnsi="Baskerville Old Face"/>
          <w:i/>
          <w:lang w:val="en-GB"/>
        </w:rPr>
        <w:t>argumentum</w:t>
      </w:r>
      <w:r>
        <w:rPr>
          <w:rFonts w:cs="Times New Roman" w:ascii="Baskerville Old Face" w:hAnsi="Baskerville Old Face"/>
          <w:lang w:val="en-GB"/>
        </w:rPr>
        <w:t xml:space="preserve">. An </w:t>
      </w:r>
      <w:r>
        <w:rPr>
          <w:rFonts w:cs="Times New Roman" w:ascii="Baskerville Old Face" w:hAnsi="Baskerville Old Face"/>
          <w:i/>
          <w:lang w:val="en-GB"/>
        </w:rPr>
        <w:t>argumentum</w:t>
      </w:r>
      <w:r>
        <w:rPr>
          <w:rFonts w:cs="Times New Roman" w:ascii="Baskerville Old Face" w:hAnsi="Baskerville Old Face"/>
          <w:lang w:val="en-GB"/>
        </w:rPr>
        <w:t xml:space="preserve"> must be the subject or predicate of a true sentence, the major term</w:t>
      </w:r>
      <w:r>
        <w:rPr>
          <w:rStyle w:val="FootnoteAnchor"/>
          <w:rFonts w:cs="Times New Roman" w:ascii="Baskerville Old Face" w:hAnsi="Baskerville Old Face"/>
          <w:lang w:val="en-GB"/>
        </w:rPr>
        <w:footnoteReference w:id="37"/>
      </w:r>
      <w:r>
        <w:rPr>
          <w:rFonts w:cs="Times New Roman" w:ascii="Baskerville Old Face" w:hAnsi="Baskerville Old Face"/>
          <w:lang w:val="en-GB"/>
        </w:rPr>
        <w:t xml:space="preserve"> taking up the sentential position not filled by the </w:t>
      </w:r>
      <w:r>
        <w:rPr>
          <w:rFonts w:cs="Times New Roman" w:ascii="Baskerville Old Face" w:hAnsi="Baskerville Old Face"/>
          <w:i/>
          <w:lang w:val="en-GB"/>
        </w:rPr>
        <w:t>argumentum</w:t>
      </w:r>
      <w:r>
        <w:rPr>
          <w:rFonts w:cs="Times New Roman" w:ascii="Baskerville Old Face" w:hAnsi="Baskerville Old Face"/>
          <w:lang w:val="en-GB"/>
        </w:rPr>
        <w:t>, serving to deduce the conclusion relating the minor term to the major term.</w:t>
      </w:r>
      <w:r>
        <w:rPr>
          <w:rStyle w:val="FootnoteAnchor"/>
          <w:rFonts w:cs="Times New Roman" w:ascii="Baskerville Old Face" w:hAnsi="Baskerville Old Face"/>
          <w:lang w:val="en-GB"/>
        </w:rPr>
        <w:footnoteReference w:id="38"/>
      </w:r>
      <w:r>
        <w:rPr>
          <w:rFonts w:cs="Times New Roman" w:ascii="Baskerville Old Face" w:hAnsi="Baskerville Old Face"/>
          <w:lang w:val="en-GB"/>
        </w:rPr>
        <w:t xml:space="preserve"> Furthermore, it must be more immediately credible that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relates to the minor term than that the major term is predicable of the minor. Thus, redundant or circular proofs, such as: </w:t>
      </w:r>
    </w:p>
    <w:p>
      <w:pPr>
        <w:pStyle w:val="Standard"/>
        <w:spacing w:lineRule="auto" w:line="480" w:before="0" w:after="160"/>
        <w:jc w:val="left"/>
        <w:rPr/>
      </w:pPr>
      <w:r>
        <w:rPr>
          <w:rFonts w:cs="Times New Roman" w:ascii="Baskerville Old Face" w:hAnsi="Baskerville Old Face"/>
          <w:lang w:val="en-GB"/>
        </w:rPr>
        <w:t>B is A</w:t>
        <w:br/>
      </w:r>
      <w:r>
        <w:rPr>
          <w:rFonts w:cs="Times New Roman" w:ascii="Baskerville Old Face" w:hAnsi="Baskerville Old Face"/>
          <w:u w:val="single"/>
          <w:lang w:val="en-GB"/>
        </w:rPr>
        <w:t>A is B</w:t>
      </w:r>
      <w:r>
        <w:rPr>
          <w:rFonts w:cs="Times New Roman" w:ascii="Baskerville Old Face" w:hAnsi="Baskerville Old Face"/>
          <w:lang w:val="en-GB"/>
        </w:rPr>
        <w:br/>
        <w:t>A is A</w:t>
      </w:r>
    </w:p>
    <w:p>
      <w:pPr>
        <w:pStyle w:val="Standard"/>
        <w:spacing w:lineRule="auto" w:line="480" w:before="0" w:after="160"/>
        <w:jc w:val="both"/>
        <w:rPr>
          <w:lang w:val="en-GB"/>
        </w:rPr>
      </w:pPr>
      <w:r>
        <w:rPr>
          <w:rFonts w:cs="Times New Roman" w:ascii="Baskerville Old Face" w:hAnsi="Baskerville Old Face"/>
          <w:lang w:val="en-GB"/>
        </w:rPr>
        <w:t xml:space="preserve">will not have a middle term that is an </w:t>
      </w:r>
      <w:r>
        <w:rPr>
          <w:rFonts w:cs="Times New Roman" w:ascii="Baskerville Old Face" w:hAnsi="Baskerville Old Face"/>
          <w:i/>
          <w:lang w:val="en-GB"/>
        </w:rPr>
        <w:t>argumentum</w:t>
      </w:r>
      <w:r>
        <w:rPr>
          <w:rFonts w:cs="Times New Roman" w:ascii="Baskerville Old Face" w:hAnsi="Baskerville Old Face"/>
          <w:lang w:val="en-GB"/>
        </w:rPr>
        <w:t xml:space="preserve">; nor will a deduction attempting to establish a conclusion equally or less doubtful than its major premise. Thirdly, the conclusion must, </w:t>
      </w:r>
      <w:r>
        <w:rPr>
          <w:rFonts w:cs="Times New Roman" w:ascii="Baskerville Old Face" w:hAnsi="Baskerville Old Face"/>
          <w:i/>
          <w:lang w:val="en-GB"/>
        </w:rPr>
        <w:t xml:space="preserve">à la </w:t>
      </w:r>
      <w:r>
        <w:rPr>
          <w:rFonts w:cs="Times New Roman" w:ascii="Baskerville Old Face" w:hAnsi="Baskerville Old Face"/>
          <w:lang w:val="en-GB"/>
        </w:rPr>
        <w:t xml:space="preserve">contemporary relevant logic, genuinely follow </w:t>
      </w:r>
      <w:r>
        <w:rPr>
          <w:rFonts w:cs="Times New Roman" w:ascii="Baskerville Old Face" w:hAnsi="Baskerville Old Face"/>
          <w:i/>
          <w:lang w:val="en-GB"/>
        </w:rPr>
        <w:t xml:space="preserve">from </w:t>
      </w:r>
      <w:r>
        <w:rPr>
          <w:rFonts w:cs="Times New Roman" w:ascii="Baskerville Old Face" w:hAnsi="Baskerville Old Face"/>
          <w:lang w:val="en-GB"/>
        </w:rPr>
        <w:t>the premises.</w:t>
      </w:r>
    </w:p>
    <w:p>
      <w:pPr>
        <w:pStyle w:val="Standard"/>
        <w:spacing w:lineRule="auto" w:line="480" w:before="0" w:after="160"/>
        <w:jc w:val="both"/>
        <w:rPr>
          <w:lang w:val="en-GB"/>
        </w:rPr>
      </w:pPr>
      <w:r>
        <w:rPr>
          <w:rFonts w:cs="Times New Roman" w:ascii="Baskerville Old Face" w:hAnsi="Baskerville Old Face"/>
          <w:lang w:val="en-GB"/>
        </w:rPr>
        <w:tab/>
        <w:t xml:space="preserve">In the above passage, we are told: 1) </w:t>
      </w:r>
      <w:r>
        <w:rPr>
          <w:rFonts w:cs="Times New Roman" w:ascii="Baskerville Old Face" w:hAnsi="Baskerville Old Face"/>
          <w:i/>
          <w:lang w:val="en-GB"/>
        </w:rPr>
        <w:t xml:space="preserve">fides </w:t>
      </w:r>
      <w:r>
        <w:rPr>
          <w:rFonts w:cs="Times New Roman" w:ascii="Baskerville Old Face" w:hAnsi="Baskerville Old Face"/>
          <w:lang w:val="en-GB"/>
        </w:rPr>
        <w:t xml:space="preserve">can be brought about by an </w:t>
      </w:r>
      <w:r>
        <w:rPr>
          <w:rFonts w:cs="Times New Roman" w:ascii="Baskerville Old Face" w:hAnsi="Baskerville Old Face"/>
          <w:i/>
          <w:lang w:val="en-GB"/>
        </w:rPr>
        <w:t>argumentum</w:t>
      </w:r>
      <w:r>
        <w:rPr>
          <w:rFonts w:cs="Times New Roman" w:ascii="Baskerville Old Face" w:hAnsi="Baskerville Old Face"/>
          <w:lang w:val="en-GB"/>
        </w:rPr>
        <w:t xml:space="preserve">, but 2) also by other means (e.g. sight); 3) every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effects </w:t>
      </w:r>
      <w:r>
        <w:rPr>
          <w:rFonts w:cs="Times New Roman" w:ascii="Baskerville Old Face" w:hAnsi="Baskerville Old Face"/>
          <w:i/>
          <w:lang w:val="en-GB"/>
        </w:rPr>
        <w:t>fides</w:t>
      </w:r>
      <w:r>
        <w:rPr>
          <w:rFonts w:cs="Times New Roman" w:ascii="Baskerville Old Face" w:hAnsi="Baskerville Old Face"/>
          <w:lang w:val="en-GB"/>
        </w:rPr>
        <w:t xml:space="preserve">; 4) </w:t>
      </w:r>
      <w:r>
        <w:rPr>
          <w:rFonts w:cs="Times New Roman" w:ascii="Baskerville Old Face" w:hAnsi="Baskerville Old Face"/>
          <w:i/>
          <w:lang w:val="en-GB"/>
        </w:rPr>
        <w:t xml:space="preserve">fides </w:t>
      </w:r>
      <w:r>
        <w:rPr>
          <w:rFonts w:cs="Times New Roman" w:ascii="Baskerville Old Face" w:hAnsi="Baskerville Old Face"/>
          <w:lang w:val="en-GB"/>
        </w:rPr>
        <w:t>can be provided for doubtful things 5) as well as things not in doubt.</w:t>
      </w:r>
      <w:r>
        <w:rPr>
          <w:rStyle w:val="FootnoteAnchor"/>
          <w:rFonts w:cs="Times New Roman" w:ascii="Baskerville Old Face" w:hAnsi="Baskerville Old Face"/>
          <w:lang w:val="en-GB"/>
        </w:rPr>
        <w:footnoteReference w:id="39"/>
      </w:r>
      <w:r>
        <w:rPr>
          <w:rFonts w:cs="Times New Roman" w:ascii="Baskerville Old Face" w:hAnsi="Baskerville Old Face"/>
          <w:lang w:val="en-GB"/>
        </w:rPr>
        <w:t xml:space="preserve"> Furthermore, we can deduce that 6)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not antithetical to </w:t>
      </w:r>
      <w:r>
        <w:rPr>
          <w:rFonts w:cs="Times New Roman" w:ascii="Baskerville Old Face" w:hAnsi="Baskerville Old Face"/>
          <w:i/>
          <w:lang w:val="en-GB"/>
        </w:rPr>
        <w:t>ratio</w:t>
      </w:r>
      <w:r>
        <w:rPr>
          <w:rFonts w:cs="Times New Roman" w:ascii="Baskerville Old Face" w:hAnsi="Baskerville Old Face"/>
          <w:lang w:val="en-GB"/>
        </w:rPr>
        <w:t xml:space="preserve">, since some </w:t>
      </w:r>
      <w:r>
        <w:rPr>
          <w:rFonts w:cs="Times New Roman" w:ascii="Baskerville Old Face" w:hAnsi="Baskerville Old Face"/>
          <w:i/>
          <w:lang w:val="en-GB"/>
        </w:rPr>
        <w:t>rationes</w:t>
      </w:r>
      <w:r>
        <w:rPr>
          <w:rFonts w:cs="Times New Roman" w:ascii="Baskerville Old Face" w:hAnsi="Baskerville Old Face"/>
          <w:lang w:val="en-GB"/>
        </w:rPr>
        <w:t xml:space="preserve">—namely, </w:t>
      </w:r>
      <w:r>
        <w:rPr>
          <w:rFonts w:cs="Times New Roman" w:ascii="Baskerville Old Face" w:hAnsi="Baskerville Old Face"/>
          <w:i/>
          <w:lang w:val="en-GB"/>
        </w:rPr>
        <w:t>argumenta</w:t>
      </w:r>
      <w:r>
        <w:rPr>
          <w:rFonts w:cs="Times New Roman" w:ascii="Baskerville Old Face" w:hAnsi="Baskerville Old Face"/>
          <w:lang w:val="en-GB"/>
        </w:rPr>
        <w:t xml:space="preserve">—grant it; 7)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granted by something fitting the object granted it – just as </w:t>
      </w:r>
      <w:r>
        <w:rPr>
          <w:rFonts w:cs="Times New Roman" w:ascii="Baskerville Old Face" w:hAnsi="Baskerville Old Face"/>
          <w:i/>
          <w:lang w:val="en-GB"/>
        </w:rPr>
        <w:t>visus</w:t>
      </w:r>
      <w:r>
        <w:rPr>
          <w:rFonts w:cs="Times New Roman" w:ascii="Baskerville Old Face" w:hAnsi="Baskerville Old Face"/>
          <w:lang w:val="en-GB"/>
        </w:rPr>
        <w:t xml:space="preserve"> grants </w:t>
      </w:r>
      <w:r>
        <w:rPr>
          <w:rFonts w:cs="Times New Roman" w:ascii="Baskerville Old Face" w:hAnsi="Baskerville Old Face"/>
          <w:i/>
          <w:lang w:val="en-GB"/>
        </w:rPr>
        <w:t xml:space="preserve">fides </w:t>
      </w:r>
      <w:r>
        <w:rPr>
          <w:rFonts w:cs="Times New Roman" w:ascii="Baskerville Old Face" w:hAnsi="Baskerville Old Face"/>
          <w:lang w:val="en-GB"/>
        </w:rPr>
        <w:t xml:space="preserve">to visible things, so </w:t>
      </w:r>
      <w:r>
        <w:rPr>
          <w:rFonts w:cs="Times New Roman" w:ascii="Baskerville Old Face" w:hAnsi="Baskerville Old Face"/>
          <w:i/>
          <w:lang w:val="en-GB"/>
        </w:rPr>
        <w:t xml:space="preserve">rationes </w:t>
      </w:r>
      <w:r>
        <w:rPr>
          <w:rFonts w:cs="Times New Roman" w:ascii="Baskerville Old Face" w:hAnsi="Baskerville Old Face"/>
          <w:lang w:val="en-GB"/>
        </w:rPr>
        <w:t xml:space="preserve">grant </w:t>
      </w:r>
      <w:r>
        <w:rPr>
          <w:rFonts w:cs="Times New Roman" w:ascii="Baskerville Old Face" w:hAnsi="Baskerville Old Face"/>
          <w:i/>
          <w:lang w:val="en-GB"/>
        </w:rPr>
        <w:t xml:space="preserve">fides </w:t>
      </w:r>
      <w:r>
        <w:rPr>
          <w:rFonts w:cs="Times New Roman" w:ascii="Baskerville Old Face" w:hAnsi="Baskerville Old Face"/>
          <w:lang w:val="en-GB"/>
        </w:rPr>
        <w:t xml:space="preserve">to intelligible things; and 8)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not granted to the skeptical inquirer, but to the thing inquired about. This last point is of vital importance: for Anselm and the Boethian tradition leading up to him, the granting of </w:t>
      </w:r>
      <w:r>
        <w:rPr>
          <w:rFonts w:cs="Times New Roman" w:ascii="Baskerville Old Face" w:hAnsi="Baskerville Old Face"/>
          <w:i/>
          <w:lang w:val="en-GB"/>
        </w:rPr>
        <w:t xml:space="preserve">fides </w:t>
      </w:r>
      <w:r>
        <w:rPr>
          <w:rFonts w:cs="Times New Roman" w:ascii="Baskerville Old Face" w:hAnsi="Baskerville Old Face"/>
          <w:lang w:val="en-GB"/>
        </w:rPr>
        <w:t>essentially concerns the matters themselves, not subjective mental states. Faith as a state of belief must follow from this either derivatively, from grasping the object at hand as it is really presented; or alternately, the faith of a believing subject may be construed as a special case of this object-level participation.</w:t>
      </w:r>
    </w:p>
    <w:p>
      <w:pPr>
        <w:pStyle w:val="Standard"/>
        <w:spacing w:lineRule="auto" w:line="480" w:before="0" w:after="160"/>
        <w:jc w:val="both"/>
        <w:rPr>
          <w:lang w:val="en-GB"/>
        </w:rPr>
      </w:pPr>
      <w:r>
        <w:rPr>
          <w:rFonts w:cs="Times New Roman" w:ascii="Baskerville Old Face" w:hAnsi="Baskerville Old Face"/>
          <w:lang w:val="en-GB"/>
        </w:rPr>
        <w:tab/>
        <w:t xml:space="preserve">From the enumeration of the above criteria, one might construe the </w:t>
      </w:r>
      <w:r>
        <w:rPr>
          <w:rFonts w:cs="Times New Roman" w:ascii="Baskerville Old Face" w:hAnsi="Baskerville Old Face"/>
          <w:i/>
          <w:lang w:val="en-GB"/>
        </w:rPr>
        <w:t xml:space="preserve">fides </w:t>
      </w:r>
      <w:r>
        <w:rPr>
          <w:rFonts w:cs="Times New Roman" w:ascii="Baskerville Old Face" w:hAnsi="Baskerville Old Face"/>
          <w:lang w:val="en-GB"/>
        </w:rPr>
        <w:t xml:space="preserve">granted to a doubtful matter, from which a predicate’s holding or not holding of some subject follows, as analogous to the role played in contemporary logic by the </w:t>
      </w:r>
      <w:r>
        <w:rPr>
          <w:rFonts w:cs="Times New Roman" w:ascii="Baskerville Old Face" w:hAnsi="Baskerville Old Face"/>
          <w:i/>
          <w:lang w:val="en-GB"/>
        </w:rPr>
        <w:t>assertibility conditions</w:t>
      </w:r>
      <w:r>
        <w:rPr>
          <w:rFonts w:cs="Times New Roman" w:ascii="Baskerville Old Face" w:hAnsi="Baskerville Old Face"/>
          <w:lang w:val="en-GB"/>
        </w:rPr>
        <w:t xml:space="preserve"> of a sentence: an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is an </w:t>
      </w:r>
      <w:r>
        <w:rPr>
          <w:rFonts w:cs="Times New Roman" w:ascii="Baskerville Old Face" w:hAnsi="Baskerville Old Face"/>
          <w:i/>
          <w:lang w:val="en-GB"/>
        </w:rPr>
        <w:t>idea</w:t>
      </w:r>
      <w:r>
        <w:rPr>
          <w:rFonts w:cs="Times New Roman" w:ascii="Baskerville Old Face" w:hAnsi="Baskerville Old Face"/>
          <w:lang w:val="en-GB"/>
        </w:rPr>
        <w:t xml:space="preserve"> making a matter previously in doubt assertible. But since the granting of </w:t>
      </w:r>
      <w:r>
        <w:rPr>
          <w:rFonts w:cs="Times New Roman" w:ascii="Baskerville Old Face" w:hAnsi="Baskerville Old Face"/>
          <w:i/>
          <w:lang w:val="en-GB"/>
        </w:rPr>
        <w:t xml:space="preserve">fides </w:t>
      </w:r>
      <w:r>
        <w:rPr>
          <w:rFonts w:cs="Times New Roman" w:ascii="Baskerville Old Face" w:hAnsi="Baskerville Old Face"/>
          <w:lang w:val="en-GB"/>
        </w:rPr>
        <w:t>is nothing linguistic, what we have granted here is rather a condition</w:t>
      </w:r>
      <w:r>
        <w:rPr>
          <w:rFonts w:cs="Times New Roman" w:ascii="Baskerville Old Face" w:hAnsi="Baskerville Old Face"/>
          <w:i/>
          <w:lang w:val="en-GB"/>
        </w:rPr>
        <w:t xml:space="preserve"> </w:t>
      </w:r>
      <w:r>
        <w:rPr>
          <w:rFonts w:cs="Times New Roman" w:ascii="Baskerville Old Face" w:hAnsi="Baskerville Old Face"/>
          <w:lang w:val="en-GB"/>
        </w:rPr>
        <w:t xml:space="preserve">for assertibility. A good translation of </w:t>
      </w:r>
      <w:r>
        <w:rPr>
          <w:rFonts w:cs="Times New Roman" w:ascii="Baskerville Old Face" w:hAnsi="Baskerville Old Face"/>
          <w:i/>
          <w:lang w:val="en-GB"/>
        </w:rPr>
        <w:t>fides</w:t>
      </w:r>
      <w:r>
        <w:rPr>
          <w:rFonts w:cs="Times New Roman" w:ascii="Baskerville Old Face" w:hAnsi="Baskerville Old Face"/>
          <w:lang w:val="en-GB"/>
        </w:rPr>
        <w:t>, then, in this context, would be something like reliability, or even – bringing out the ontological tenor a bit more – groundedness.</w:t>
      </w:r>
    </w:p>
    <w:p>
      <w:pPr>
        <w:pStyle w:val="Standard"/>
        <w:spacing w:lineRule="auto" w:line="480" w:before="0" w:after="160"/>
        <w:jc w:val="both"/>
        <w:rPr>
          <w:lang w:val="en-GB"/>
        </w:rPr>
      </w:pPr>
      <w:r>
        <w:rPr>
          <w:rFonts w:cs="Times New Roman" w:ascii="Baskerville Old Face" w:hAnsi="Baskerville Old Face"/>
          <w:lang w:val="en-GB"/>
        </w:rPr>
        <w:tab/>
        <w:t xml:space="preserve">Putting this together, we can rephrase Cicero’s definition thus: a topic is the seat of an </w:t>
      </w:r>
      <w:r>
        <w:rPr>
          <w:rFonts w:cs="Times New Roman" w:ascii="Baskerville Old Face" w:hAnsi="Baskerville Old Face"/>
          <w:i/>
          <w:lang w:val="en-GB"/>
        </w:rPr>
        <w:t>argumentum</w:t>
      </w:r>
      <w:r>
        <w:rPr>
          <w:rFonts w:cs="Times New Roman" w:ascii="Baskerville Old Face" w:hAnsi="Baskerville Old Face"/>
          <w:lang w:val="en-GB"/>
        </w:rPr>
        <w:t xml:space="preserve">, and an </w:t>
      </w:r>
      <w:r>
        <w:rPr>
          <w:rFonts w:cs="Times New Roman" w:ascii="Baskerville Old Face" w:hAnsi="Baskerville Old Face"/>
          <w:i/>
          <w:lang w:val="en-GB"/>
        </w:rPr>
        <w:t>argumentum</w:t>
      </w:r>
      <w:r>
        <w:rPr>
          <w:rFonts w:cs="Times New Roman" w:ascii="Baskerville Old Face" w:hAnsi="Baskerville Old Face"/>
          <w:lang w:val="en-GB"/>
        </w:rPr>
        <w:t>, an idea serving as a medium grounding a doubtful matter.</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5 </w:t>
      </w:r>
      <w:r>
        <w:rPr>
          <w:rFonts w:cs="Times New Roman" w:ascii="Baskerville Old Face" w:hAnsi="Baskerville Old Face"/>
          <w:b/>
          <w:i/>
          <w:color w:val="auto"/>
          <w:sz w:val="24"/>
          <w:szCs w:val="24"/>
          <w:lang w:val="en-GB"/>
        </w:rPr>
        <w:t>Fides Quaerens Intellectum.</w:t>
      </w:r>
    </w:p>
    <w:p>
      <w:pPr>
        <w:pStyle w:val="Normal"/>
        <w:spacing w:lineRule="auto" w:line="480"/>
        <w:jc w:val="both"/>
        <w:rPr>
          <w:lang w:val="en-GB"/>
        </w:rPr>
      </w:pPr>
      <w:r>
        <w:rPr>
          <w:rFonts w:cs="Times New Roman" w:ascii="Baskerville Old Face" w:hAnsi="Baskerville Old Face"/>
          <w:sz w:val="24"/>
          <w:szCs w:val="24"/>
          <w:lang w:val="en-GB"/>
        </w:rPr>
        <w:tab/>
        <w:t xml:space="preserve">We are now in a position to see how this account clarifies the meaning of the title Anselm originally gave to his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In the </w:t>
      </w:r>
      <w:r>
        <w:rPr>
          <w:rFonts w:cs="Times New Roman" w:ascii="Baskerville Old Face" w:hAnsi="Baskerville Old Face"/>
          <w:iCs/>
          <w:sz w:val="24"/>
          <w:szCs w:val="24"/>
          <w:lang w:val="en-GB"/>
        </w:rPr>
        <w:t>prologue</w:t>
      </w:r>
      <w:r>
        <w:rPr>
          <w:rFonts w:cs="Times New Roman" w:ascii="Baskerville Old Face" w:hAnsi="Baskerville Old Face"/>
          <w:sz w:val="24"/>
          <w:szCs w:val="24"/>
          <w:lang w:val="en-GB"/>
        </w:rPr>
        <w:t xml:space="preserve"> to the text, Anselm says his brother monks asked him for an ‘example of meditating on a </w:t>
      </w:r>
      <w:r>
        <w:rPr>
          <w:rFonts w:cs="Times New Roman" w:ascii="Baskerville Old Face" w:hAnsi="Baskerville Old Face"/>
          <w:i/>
          <w:iCs/>
          <w:sz w:val="24"/>
          <w:szCs w:val="24"/>
          <w:lang w:val="en-GB"/>
        </w:rPr>
        <w:t>ratio fidei.’</w:t>
      </w:r>
      <w:r>
        <w:rPr>
          <w:rStyle w:val="FootnoteAnchor"/>
          <w:rFonts w:cs="Times New Roman" w:ascii="Baskerville Old Face" w:hAnsi="Baskerville Old Face"/>
          <w:sz w:val="24"/>
          <w:szCs w:val="24"/>
          <w:lang w:val="en-GB"/>
        </w:rPr>
        <w:footnoteReference w:id="40"/>
      </w:r>
      <w:r>
        <w:rPr>
          <w:rFonts w:cs="Times New Roman" w:ascii="Baskerville Old Face" w:hAnsi="Baskerville Old Face"/>
          <w:sz w:val="24"/>
          <w:szCs w:val="24"/>
          <w:lang w:val="en-GB"/>
        </w:rPr>
        <w:t xml:space="preserve"> This could consist, he says, in a multitude of arguments, as did the </w:t>
      </w:r>
      <w:r>
        <w:rPr>
          <w:rFonts w:cs="Times New Roman" w:ascii="Baskerville Old Face" w:hAnsi="Baskerville Old Face"/>
          <w:i/>
          <w:iCs/>
          <w:sz w:val="24"/>
          <w:szCs w:val="24"/>
          <w:lang w:val="en-GB"/>
        </w:rPr>
        <w:t>Monologion</w:t>
      </w:r>
      <w:r>
        <w:rPr>
          <w:rFonts w:cs="Times New Roman" w:ascii="Baskerville Old Face" w:hAnsi="Baskerville Old Face"/>
          <w:sz w:val="24"/>
          <w:szCs w:val="24"/>
          <w:lang w:val="en-GB"/>
        </w:rPr>
        <w:t>, or it could consist in one argument. Anselm asks:</w:t>
      </w:r>
    </w:p>
    <w:p>
      <w:pPr>
        <w:pStyle w:val="Standard"/>
        <w:spacing w:lineRule="auto" w:line="480" w:before="0" w:after="160"/>
        <w:ind w:left="870" w:hanging="0"/>
        <w:jc w:val="both"/>
        <w:rPr>
          <w:lang w:val="en-GB"/>
        </w:rPr>
      </w:pPr>
      <w:r>
        <w:rPr>
          <w:rFonts w:cs="Times New Roman" w:ascii="Baskerville Old Face" w:hAnsi="Baskerville Old Face"/>
          <w:lang w:val="en-GB"/>
        </w:rPr>
        <w:t>whether perhaps one argument (</w:t>
      </w:r>
      <w:r>
        <w:rPr>
          <w:rFonts w:cs="Times New Roman" w:ascii="Baskerville Old Face" w:hAnsi="Baskerville Old Face"/>
          <w:i/>
          <w:iCs/>
          <w:lang w:val="en-GB"/>
        </w:rPr>
        <w:t>unum argumentum</w:t>
      </w:r>
      <w:r>
        <w:rPr>
          <w:rFonts w:cs="Times New Roman" w:ascii="Baskerville Old Face" w:hAnsi="Baskerville Old Face"/>
          <w:lang w:val="en-GB"/>
        </w:rPr>
        <w:t>) could be found, which 1) would require nothing other than itself alone to be proven; and 2) would be sufficient to establish: a) that God truly is; and b) that he is the highest good needing no other; and c) is whom all need that they may be and be well; and d) whatever else we believe concerning the divine substance.</w:t>
      </w:r>
      <w:r>
        <w:rPr>
          <w:rStyle w:val="FootnoteAnchor"/>
          <w:rFonts w:cs="Times New Roman" w:ascii="Baskerville Old Face" w:hAnsi="Baskerville Old Face"/>
          <w:lang w:val="en-GB"/>
        </w:rPr>
        <w:footnoteReference w:id="41"/>
      </w:r>
    </w:p>
    <w:p>
      <w:pPr>
        <w:pStyle w:val="Standard"/>
        <w:spacing w:lineRule="auto" w:line="480" w:before="0" w:after="160"/>
        <w:jc w:val="both"/>
        <w:rPr>
          <w:lang w:val="en-GB"/>
        </w:rPr>
      </w:pPr>
      <w:r>
        <w:rPr>
          <w:rFonts w:cs="Times New Roman" w:ascii="Baskerville Old Face" w:hAnsi="Baskerville Old Face"/>
          <w:lang w:val="en-GB"/>
        </w:rPr>
        <w:t xml:space="preserve">He goes on to call this same </w:t>
      </w:r>
      <w:r>
        <w:rPr>
          <w:rFonts w:cs="Times New Roman" w:ascii="Baskerville Old Face" w:hAnsi="Baskerville Old Face"/>
          <w:i/>
          <w:lang w:val="en-GB"/>
        </w:rPr>
        <w:t xml:space="preserve">argumentum </w:t>
      </w:r>
      <w:r>
        <w:rPr>
          <w:rFonts w:cs="Times New Roman" w:ascii="Baskerville Old Face" w:hAnsi="Baskerville Old Face"/>
          <w:lang w:val="en-GB"/>
        </w:rPr>
        <w:t>a ‘</w:t>
      </w:r>
      <w:r>
        <w:rPr>
          <w:rFonts w:cs="Times New Roman" w:ascii="Baskerville Old Face" w:hAnsi="Baskerville Old Face"/>
          <w:i/>
          <w:iCs/>
          <w:lang w:val="en-GB"/>
        </w:rPr>
        <w:t xml:space="preserve">cogitatio </w:t>
      </w:r>
      <w:r>
        <w:rPr>
          <w:rFonts w:cs="Times New Roman" w:ascii="Baskerville Old Face" w:hAnsi="Baskerville Old Face"/>
          <w:lang w:val="en-GB"/>
        </w:rPr>
        <w:t>I zealously embraced.’</w:t>
      </w:r>
      <w:r>
        <w:rPr>
          <w:rStyle w:val="FootnoteAnchor"/>
          <w:rFonts w:cs="Times New Roman" w:ascii="Baskerville Old Face" w:hAnsi="Baskerville Old Face"/>
          <w:lang w:val="en-GB"/>
        </w:rPr>
        <w:footnoteReference w:id="42"/>
      </w:r>
      <w:r>
        <w:rPr>
          <w:rFonts w:cs="Times New Roman" w:ascii="Baskerville Old Face" w:hAnsi="Baskerville Old Face"/>
          <w:i/>
          <w:lang w:val="en-GB"/>
        </w:rPr>
        <w:t xml:space="preserve"> </w:t>
      </w:r>
    </w:p>
    <w:p>
      <w:pPr>
        <w:pStyle w:val="Standard"/>
        <w:spacing w:lineRule="auto" w:line="480" w:before="0" w:after="160"/>
        <w:jc w:val="both"/>
        <w:rPr>
          <w:lang w:val="en-GB"/>
        </w:rPr>
      </w:pPr>
      <w:r>
        <w:rPr>
          <w:rFonts w:cs="Times New Roman" w:ascii="Baskerville Old Face" w:hAnsi="Baskerville Old Face"/>
          <w:lang w:val="en-GB"/>
        </w:rPr>
        <w:tab/>
        <w:t xml:space="preserve">Like the </w:t>
      </w:r>
      <w:r>
        <w:rPr>
          <w:rFonts w:cs="Times New Roman" w:ascii="Baskerville Old Face" w:hAnsi="Baskerville Old Face"/>
          <w:i/>
          <w:lang w:val="en-GB"/>
        </w:rPr>
        <w:t>Monologion</w:t>
      </w:r>
      <w:r>
        <w:rPr>
          <w:rFonts w:cs="Times New Roman" w:ascii="Baskerville Old Face" w:hAnsi="Baskerville Old Face"/>
          <w:lang w:val="en-GB"/>
        </w:rPr>
        <w:t xml:space="preserve">, the </w:t>
      </w:r>
      <w:r>
        <w:rPr>
          <w:rFonts w:cs="Times New Roman" w:ascii="Baskerville Old Face" w:hAnsi="Baskerville Old Face"/>
          <w:i/>
          <w:lang w:val="en-GB"/>
        </w:rPr>
        <w:t>Proslogion</w:t>
      </w:r>
      <w:r>
        <w:rPr>
          <w:rFonts w:cs="Times New Roman" w:ascii="Baskerville Old Face" w:hAnsi="Baskerville Old Face"/>
          <w:lang w:val="en-GB"/>
        </w:rPr>
        <w:t xml:space="preserve"> is an example of meditating on a </w:t>
      </w:r>
      <w:r>
        <w:rPr>
          <w:rFonts w:cs="Times New Roman" w:ascii="Baskerville Old Face" w:hAnsi="Baskerville Old Face"/>
          <w:i/>
          <w:lang w:val="en-GB"/>
        </w:rPr>
        <w:t>ratio</w:t>
      </w:r>
      <w:r>
        <w:rPr>
          <w:rFonts w:cs="Times New Roman" w:ascii="Baskerville Old Face" w:hAnsi="Baskerville Old Face"/>
          <w:lang w:val="en-GB"/>
        </w:rPr>
        <w:t xml:space="preserve"> </w:t>
      </w:r>
      <w:r>
        <w:rPr>
          <w:rFonts w:cs="Times New Roman" w:ascii="Baskerville Old Face" w:hAnsi="Baskerville Old Face"/>
          <w:i/>
          <w:lang w:val="en-GB"/>
        </w:rPr>
        <w:t>fidei</w:t>
      </w:r>
      <w:r>
        <w:rPr>
          <w:rFonts w:cs="Times New Roman" w:ascii="Baskerville Old Face" w:hAnsi="Baskerville Old Face"/>
          <w:lang w:val="en-GB"/>
        </w:rPr>
        <w:t xml:space="preserve"> – in this case, the notion </w:t>
      </w:r>
      <w:r>
        <w:rPr>
          <w:rFonts w:cs="Times New Roman" w:ascii="Baskerville Old Face" w:hAnsi="Baskerville Old Face"/>
          <w:i/>
          <w:lang w:val="en-GB"/>
        </w:rPr>
        <w:t xml:space="preserve">that than which nothing greater can be thought. </w:t>
      </w:r>
      <w:r>
        <w:rPr>
          <w:rFonts w:cs="Times New Roman" w:ascii="Baskerville Old Face" w:hAnsi="Baskerville Old Face"/>
          <w:lang w:val="en-GB"/>
        </w:rPr>
        <w:t xml:space="preserve">The dialectical aspect of the text is thus not in tension with it having a ‘meditative’ or ‘theological’ sense, since the very process of determining what can be deduced in that context is given via a rumination on, and unpacking of, the meaning of the middle term. Anselm is searching after some one thing, a </w:t>
      </w:r>
      <w:r>
        <w:rPr>
          <w:rFonts w:cs="Times New Roman" w:ascii="Baskerville Old Face" w:hAnsi="Baskerville Old Face"/>
          <w:i/>
          <w:iCs/>
          <w:lang w:val="en-GB"/>
        </w:rPr>
        <w:t>ratio fidei</w:t>
      </w:r>
      <w:r>
        <w:rPr>
          <w:rFonts w:cs="Times New Roman" w:ascii="Baskerville Old Face" w:hAnsi="Baskerville Old Face"/>
          <w:lang w:val="en-GB"/>
        </w:rPr>
        <w:t xml:space="preserve">, called a </w:t>
      </w:r>
      <w:r>
        <w:rPr>
          <w:rFonts w:cs="Times New Roman" w:ascii="Baskerville Old Face" w:hAnsi="Baskerville Old Face"/>
          <w:i/>
          <w:iCs/>
          <w:lang w:val="en-GB"/>
        </w:rPr>
        <w:t xml:space="preserve">cogitatio </w:t>
      </w:r>
      <w:r>
        <w:rPr>
          <w:rFonts w:cs="Times New Roman" w:ascii="Baskerville Old Face" w:hAnsi="Baskerville Old Face"/>
          <w:lang w:val="en-GB"/>
        </w:rPr>
        <w:t xml:space="preserve">in relation to his possessing it, to serve as an </w:t>
      </w:r>
      <w:r>
        <w:rPr>
          <w:rFonts w:cs="Times New Roman" w:ascii="Baskerville Old Face" w:hAnsi="Baskerville Old Face"/>
          <w:i/>
          <w:iCs/>
          <w:lang w:val="en-GB"/>
        </w:rPr>
        <w:t>argumentum</w:t>
      </w:r>
      <w:r>
        <w:rPr>
          <w:rFonts w:cs="Times New Roman" w:ascii="Baskerville Old Face" w:hAnsi="Baskerville Old Face"/>
          <w:lang w:val="en-GB"/>
        </w:rPr>
        <w:t xml:space="preserve">. The </w:t>
      </w:r>
      <w:r>
        <w:rPr>
          <w:rFonts w:cs="Times New Roman" w:ascii="Baskerville Old Face" w:hAnsi="Baskerville Old Face"/>
          <w:i/>
          <w:lang w:val="en-GB"/>
        </w:rPr>
        <w:t>ratio</w:t>
      </w:r>
      <w:r>
        <w:rPr>
          <w:rFonts w:cs="Times New Roman" w:ascii="Baskerville Old Face" w:hAnsi="Baskerville Old Face"/>
          <w:lang w:val="en-GB"/>
        </w:rPr>
        <w:t xml:space="preserve"> is ‘that than which nothing greater can be thought’, taken up as an </w:t>
      </w:r>
      <w:r>
        <w:rPr>
          <w:rFonts w:cs="Times New Roman" w:ascii="Baskerville Old Face" w:hAnsi="Baskerville Old Face"/>
          <w:i/>
          <w:lang w:val="en-GB"/>
        </w:rPr>
        <w:t>argumentum</w:t>
      </w:r>
      <w:r>
        <w:rPr>
          <w:rFonts w:cs="Times New Roman" w:ascii="Baskerville Old Face" w:hAnsi="Baskerville Old Face"/>
          <w:lang w:val="en-GB"/>
        </w:rPr>
        <w:t xml:space="preserve">, i.e. a middle term in a series of syllogisms running as follows: </w:t>
      </w:r>
    </w:p>
    <w:p>
      <w:pPr>
        <w:pStyle w:val="Standard"/>
        <w:spacing w:lineRule="auto" w:line="480" w:before="0" w:after="160"/>
        <w:jc w:val="both"/>
        <w:rPr>
          <w:lang w:val="en-GB"/>
        </w:rPr>
      </w:pPr>
      <w:r>
        <w:rPr>
          <w:rFonts w:cs="Times New Roman" w:ascii="Baskerville Old Face" w:hAnsi="Baskerville Old Face"/>
          <w:lang w:val="en-GB"/>
        </w:rPr>
        <w:t xml:space="preserve">Major Premise: </w:t>
        <w:tab/>
        <w:t>That than which nothing greater can be thought exists in reality, is the highest good, etc.</w:t>
      </w:r>
    </w:p>
    <w:p>
      <w:pPr>
        <w:pStyle w:val="Standard"/>
        <w:spacing w:lineRule="auto" w:line="480" w:before="0" w:after="160"/>
        <w:jc w:val="both"/>
        <w:rPr>
          <w:lang w:val="en-GB"/>
        </w:rPr>
      </w:pPr>
      <w:r>
        <w:rPr>
          <w:rFonts w:cs="Times New Roman" w:ascii="Baskerville Old Face" w:hAnsi="Baskerville Old Face"/>
          <w:u w:val="single"/>
          <w:lang w:val="en-GB"/>
        </w:rPr>
        <w:t>Minor Premise: God is that than which nothing greater can be thought</w:t>
      </w:r>
    </w:p>
    <w:p>
      <w:pPr>
        <w:pStyle w:val="Standard"/>
        <w:spacing w:lineRule="auto" w:line="480" w:before="0" w:after="160"/>
        <w:jc w:val="both"/>
        <w:rPr>
          <w:lang w:val="en-GB"/>
        </w:rPr>
      </w:pPr>
      <w:r>
        <w:rPr>
          <w:rFonts w:cs="Times New Roman" w:ascii="Baskerville Old Face" w:hAnsi="Baskerville Old Face"/>
          <w:lang w:val="en-GB"/>
        </w:rPr>
        <w:t xml:space="preserve">Conclusion: God exists in reality, etc. </w:t>
      </w:r>
    </w:p>
    <w:p>
      <w:pPr>
        <w:pStyle w:val="Standard"/>
        <w:spacing w:lineRule="auto" w:line="480" w:before="0" w:after="160"/>
        <w:jc w:val="both"/>
        <w:rPr>
          <w:lang w:val="en-GB"/>
        </w:rPr>
      </w:pPr>
      <w:r>
        <w:rPr>
          <w:rFonts w:cs="Times New Roman" w:ascii="Baskerville Old Face" w:hAnsi="Baskerville Old Face"/>
          <w:lang w:val="en-GB"/>
        </w:rPr>
        <w:t xml:space="preserve">Each of the above arguments is an example of the Themistian topic </w:t>
      </w:r>
      <w:r>
        <w:rPr>
          <w:rFonts w:cs="Times New Roman" w:ascii="Baskerville Old Face" w:hAnsi="Baskerville Old Face"/>
          <w:i/>
          <w:lang w:val="en-GB"/>
        </w:rPr>
        <w:t xml:space="preserve">from a description </w:t>
      </w:r>
      <w:r>
        <w:rPr>
          <w:rFonts w:cs="Times New Roman" w:ascii="Baskerville Old Face" w:hAnsi="Baskerville Old Face"/>
          <w:lang w:val="en-GB"/>
        </w:rPr>
        <w:t>(</w:t>
      </w:r>
      <w:r>
        <w:rPr>
          <w:rFonts w:cs="Times New Roman" w:ascii="Baskerville Old Face" w:hAnsi="Baskerville Old Face"/>
          <w:i/>
          <w:lang w:val="en-GB"/>
        </w:rPr>
        <w:t>a descriptione</w:t>
      </w:r>
      <w:r>
        <w:rPr>
          <w:rFonts w:cs="Times New Roman" w:ascii="Baskerville Old Face" w:hAnsi="Baskerville Old Face"/>
          <w:lang w:val="en-GB"/>
        </w:rPr>
        <w:t xml:space="preserve">), itself grouped among the topics </w:t>
      </w:r>
      <w:r>
        <w:rPr>
          <w:rFonts w:cs="Times New Roman" w:ascii="Baskerville Old Face" w:hAnsi="Baskerville Old Face"/>
          <w:i/>
          <w:lang w:val="en-GB"/>
        </w:rPr>
        <w:t xml:space="preserve">from substance </w:t>
      </w:r>
      <w:r>
        <w:rPr>
          <w:rFonts w:cs="Times New Roman" w:ascii="Baskerville Old Face" w:hAnsi="Baskerville Old Face"/>
          <w:lang w:val="en-GB"/>
        </w:rPr>
        <w:t>(</w:t>
      </w:r>
      <w:r>
        <w:rPr>
          <w:rFonts w:cs="Times New Roman" w:ascii="Baskerville Old Face" w:hAnsi="Baskerville Old Face"/>
          <w:i/>
          <w:lang w:val="en-GB"/>
        </w:rPr>
        <w:t>a substantia</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43"/>
      </w:r>
      <w:r>
        <w:rPr>
          <w:rFonts w:cs="Times New Roman" w:ascii="Baskerville Old Face" w:hAnsi="Baskerville Old Face"/>
          <w:lang w:val="en-GB"/>
        </w:rPr>
        <w:t xml:space="preserve"> Here, ‘that than which nothing greater can be thought’ is what later medievals would call a nominal definition, and what philosophers today call a definite description: it captures the content of the idea of God in an exact manner, but since it does so by way of certain contingent features (i.e. being thinkable, being greater than other thinkables),</w:t>
      </w:r>
      <w:r>
        <w:rPr>
          <w:rStyle w:val="FootnoteAnchor"/>
          <w:rFonts w:cs="Times New Roman" w:ascii="Baskerville Old Face" w:hAnsi="Baskerville Old Face"/>
          <w:lang w:val="en-GB"/>
        </w:rPr>
        <w:footnoteReference w:id="44"/>
      </w:r>
      <w:r>
        <w:rPr>
          <w:rFonts w:cs="Times New Roman" w:ascii="Baskerville Old Face" w:hAnsi="Baskerville Old Face"/>
          <w:lang w:val="en-GB"/>
        </w:rPr>
        <w:t xml:space="preserve"> it cannot qualify as an example of the topic </w:t>
      </w:r>
      <w:r>
        <w:rPr>
          <w:rFonts w:cs="Times New Roman" w:ascii="Baskerville Old Face" w:hAnsi="Baskerville Old Face"/>
          <w:i/>
          <w:lang w:val="en-GB"/>
        </w:rPr>
        <w:t xml:space="preserve">from a definition </w:t>
      </w:r>
      <w:r>
        <w:rPr>
          <w:rFonts w:cs="Times New Roman" w:ascii="Baskerville Old Face" w:hAnsi="Baskerville Old Face"/>
          <w:lang w:val="en-GB"/>
        </w:rPr>
        <w:t>(</w:t>
      </w:r>
      <w:r>
        <w:rPr>
          <w:rFonts w:cs="Times New Roman" w:ascii="Baskerville Old Face" w:hAnsi="Baskerville Old Face"/>
          <w:i/>
          <w:lang w:val="en-GB"/>
        </w:rPr>
        <w:t>a diffinitione</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 xml:space="preserve">The topic is an </w:t>
      </w:r>
      <w:r>
        <w:rPr>
          <w:rFonts w:cs="Times New Roman" w:ascii="Baskerville Old Face" w:hAnsi="Baskerville Old Face"/>
          <w:i/>
          <w:lang w:val="en-GB"/>
        </w:rPr>
        <w:t xml:space="preserve">intrinsic </w:t>
      </w:r>
      <w:r>
        <w:rPr>
          <w:rFonts w:cs="Times New Roman" w:ascii="Baskerville Old Face" w:hAnsi="Baskerville Old Face"/>
          <w:lang w:val="en-GB"/>
        </w:rPr>
        <w:t xml:space="preserve">topic, one where the major term’s relation to the minor is elicited directly from the </w:t>
      </w:r>
      <w:r>
        <w:rPr>
          <w:rFonts w:cs="Times New Roman" w:ascii="Baskerville Old Face" w:hAnsi="Baskerville Old Face"/>
          <w:i/>
          <w:lang w:val="en-GB"/>
        </w:rPr>
        <w:t>argumentum</w:t>
      </w:r>
      <w:r>
        <w:rPr>
          <w:rFonts w:cs="Times New Roman" w:ascii="Baskerville Old Face" w:hAnsi="Baskerville Old Face"/>
          <w:lang w:val="en-GB"/>
        </w:rPr>
        <w:t xml:space="preserve">, usually in a straightforwardly syllogistic manner. Intrinsic topics contrast with </w:t>
      </w:r>
      <w:r>
        <w:rPr>
          <w:rFonts w:cs="Times New Roman" w:ascii="Baskerville Old Face" w:hAnsi="Baskerville Old Face"/>
          <w:i/>
          <w:lang w:val="en-GB"/>
        </w:rPr>
        <w:t xml:space="preserve">extrinsic </w:t>
      </w:r>
      <w:r>
        <w:rPr>
          <w:rFonts w:cs="Times New Roman" w:ascii="Baskerville Old Face" w:hAnsi="Baskerville Old Face"/>
          <w:lang w:val="en-GB"/>
        </w:rPr>
        <w:t>topics,</w:t>
      </w:r>
      <w:r>
        <w:rPr>
          <w:rStyle w:val="FootnoteAnchor"/>
          <w:rFonts w:cs="Times New Roman" w:ascii="Baskerville Old Face" w:hAnsi="Baskerville Old Face"/>
          <w:lang w:val="en-GB"/>
        </w:rPr>
        <w:footnoteReference w:id="45"/>
      </w:r>
      <w:r>
        <w:rPr>
          <w:rFonts w:cs="Times New Roman" w:ascii="Baskerville Old Face" w:hAnsi="Baskerville Old Face"/>
          <w:lang w:val="en-GB"/>
        </w:rPr>
        <w:t xml:space="preserve"> where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bears a synthetic relation – proportionality, contrariety, etc. – to the other terms of the argument; and </w:t>
      </w:r>
      <w:r>
        <w:rPr>
          <w:rFonts w:cs="Times New Roman" w:ascii="Baskerville Old Face" w:hAnsi="Baskerville Old Face"/>
          <w:i/>
          <w:lang w:val="en-GB"/>
        </w:rPr>
        <w:t xml:space="preserve">middle </w:t>
      </w:r>
      <w:r>
        <w:rPr>
          <w:rFonts w:cs="Times New Roman" w:ascii="Baskerville Old Face" w:hAnsi="Baskerville Old Face"/>
          <w:lang w:val="en-GB"/>
        </w:rPr>
        <w:t>topics, which as the name suggests, are in some sense between intrinsic and extrinsic.</w:t>
      </w:r>
    </w:p>
    <w:p>
      <w:pPr>
        <w:pStyle w:val="Standard"/>
        <w:spacing w:lineRule="auto" w:line="480" w:before="0" w:after="160"/>
        <w:jc w:val="both"/>
        <w:rPr>
          <w:lang w:val="en-GB"/>
        </w:rPr>
      </w:pPr>
      <w:r>
        <w:rPr>
          <w:rFonts w:cs="Times New Roman" w:ascii="Baskerville Old Face" w:hAnsi="Baskerville Old Face"/>
          <w:lang w:val="en-GB"/>
        </w:rPr>
        <w:tab/>
        <w:t xml:space="preserve">The order in which Anselm presents the divine attributes in the </w:t>
      </w:r>
      <w:r>
        <w:rPr>
          <w:rFonts w:cs="Times New Roman" w:ascii="Baskerville Old Face" w:hAnsi="Baskerville Old Face"/>
          <w:i/>
          <w:lang w:val="en-GB"/>
        </w:rPr>
        <w:t>Proslogion</w:t>
      </w:r>
      <w:r>
        <w:rPr>
          <w:rFonts w:cs="Times New Roman" w:ascii="Baskerville Old Face" w:hAnsi="Baskerville Old Face"/>
          <w:lang w:val="en-GB"/>
        </w:rPr>
        <w:t xml:space="preserve"> is gradual, designed to facilitate the spiritual progress of the reader. After establishing God’s existence, Anselm claims God is ‘whatever it is better to be than not to be.’</w:t>
      </w:r>
      <w:r>
        <w:rPr>
          <w:rStyle w:val="FootnoteAnchor"/>
          <w:rFonts w:cs="Times New Roman" w:ascii="Baskerville Old Face" w:hAnsi="Baskerville Old Face"/>
          <w:lang w:val="en-GB"/>
        </w:rPr>
        <w:footnoteReference w:id="46"/>
      </w:r>
      <w:r>
        <w:rPr>
          <w:rFonts w:cs="Times New Roman" w:ascii="Baskerville Old Face" w:hAnsi="Baskerville Old Face"/>
          <w:lang w:val="en-GB"/>
        </w:rPr>
        <w:t xml:space="preserve"> But this general claim is complicated immediately in chapters 6-8, which ascribe sensibility, omnipotence, and impassibility to God; and again, in 9-11, which highlight the conflict between justice and mercy in God. In these chapters, the protagonist’s process of discovering what predicates befit God is also a rarification of his concepts of ordinary goods, where aspects of the ordinary concept in play are also denied of God. This process reaches a peak in chapter 12, where the whole manner in which </w:t>
      </w:r>
      <w:r>
        <w:rPr>
          <w:rFonts w:cs="Times New Roman" w:ascii="Baskerville Old Face" w:hAnsi="Baskerville Old Face"/>
          <w:i/>
          <w:lang w:val="en-GB"/>
        </w:rPr>
        <w:t xml:space="preserve">anything </w:t>
      </w:r>
      <w:r>
        <w:rPr>
          <w:rFonts w:cs="Times New Roman" w:ascii="Baskerville Old Face" w:hAnsi="Baskerville Old Face"/>
          <w:lang w:val="en-GB"/>
        </w:rPr>
        <w:t>is predicated of God is distinguished from the predication of properties of ordinary objects on account of God’s simplicity; and again in chapter 15, where even the middle term ‘that than which nothing greater can be thought’ is qualified by the claim that God is greater than can be thought. After this, the succeeding chapters become decidedly more apophatic in character.</w:t>
        <w:tab/>
      </w:r>
    </w:p>
    <w:p>
      <w:pPr>
        <w:pStyle w:val="Standard"/>
        <w:spacing w:lineRule="auto" w:line="480" w:before="0" w:after="160"/>
        <w:jc w:val="both"/>
        <w:rPr>
          <w:lang w:val="en-GB"/>
        </w:rPr>
      </w:pPr>
      <w:r>
        <w:rPr>
          <w:rFonts w:cs="Times New Roman" w:ascii="Baskerville Old Face" w:hAnsi="Baskerville Old Face"/>
          <w:lang w:val="en-GB"/>
        </w:rPr>
        <w:tab/>
        <w:t xml:space="preserve">To support his major premises, Anselm uses </w:t>
      </w:r>
      <w:r>
        <w:rPr>
          <w:rFonts w:cs="Times New Roman" w:ascii="Baskerville Old Face" w:hAnsi="Baskerville Old Face"/>
          <w:i/>
          <w:lang w:val="en-GB"/>
        </w:rPr>
        <w:t xml:space="preserve">reductio </w:t>
      </w:r>
      <w:r>
        <w:rPr>
          <w:rFonts w:cs="Times New Roman" w:ascii="Baskerville Old Face" w:hAnsi="Baskerville Old Face"/>
          <w:lang w:val="en-GB"/>
        </w:rPr>
        <w:t xml:space="preserve">proofs. All of these are cases of the middle topic </w:t>
      </w:r>
      <w:r>
        <w:rPr>
          <w:rFonts w:cs="Times New Roman" w:ascii="Baskerville Old Face" w:hAnsi="Baskerville Old Face"/>
          <w:i/>
          <w:lang w:val="en-GB"/>
        </w:rPr>
        <w:t>from division</w:t>
      </w:r>
      <w:r>
        <w:rPr>
          <w:rFonts w:cs="Times New Roman" w:ascii="Baskerville Old Face" w:hAnsi="Baskerville Old Face"/>
          <w:lang w:val="en-GB"/>
        </w:rPr>
        <w:t xml:space="preserve"> (</w:t>
      </w:r>
      <w:r>
        <w:rPr>
          <w:rFonts w:cs="Times New Roman" w:ascii="Baskerville Old Face" w:hAnsi="Baskerville Old Face"/>
          <w:i/>
          <w:lang w:val="en-GB"/>
        </w:rPr>
        <w:t>ex divisione</w:t>
      </w:r>
      <w:r>
        <w:rPr>
          <w:rFonts w:cs="Times New Roman" w:ascii="Baskerville Old Face" w:hAnsi="Baskerville Old Face"/>
          <w:lang w:val="en-GB"/>
        </w:rPr>
        <w:t>), which is similar to, but not quite the same as, disjunctive syllogism.</w:t>
      </w:r>
      <w:r>
        <w:rPr>
          <w:rStyle w:val="FootnoteAnchor"/>
          <w:rFonts w:cs="Times New Roman" w:ascii="Baskerville Old Face" w:hAnsi="Baskerville Old Face"/>
          <w:lang w:val="en-GB"/>
        </w:rPr>
        <w:footnoteReference w:id="47"/>
      </w:r>
      <w:r>
        <w:rPr>
          <w:rFonts w:cs="Times New Roman" w:ascii="Baskerville Old Face" w:hAnsi="Baskerville Old Face"/>
          <w:lang w:val="en-GB"/>
        </w:rPr>
        <w:t xml:space="preserve"> The topic </w:t>
      </w:r>
      <w:r>
        <w:rPr>
          <w:rFonts w:cs="Times New Roman" w:ascii="Baskerville Old Face" w:hAnsi="Baskerville Old Face"/>
          <w:i/>
          <w:lang w:val="en-GB"/>
        </w:rPr>
        <w:t>from division</w:t>
      </w:r>
      <w:r>
        <w:rPr>
          <w:rFonts w:cs="Times New Roman" w:ascii="Baskerville Old Face" w:hAnsi="Baskerville Old Face"/>
          <w:lang w:val="en-GB"/>
        </w:rPr>
        <w:t xml:space="preserve"> begins with a partitioning of opposing predicates with respect to a subject. From here, it can proceed either directly or indirectly. Anselm proceeds indirectly: </w:t>
      </w:r>
    </w:p>
    <w:p>
      <w:pPr>
        <w:pStyle w:val="Standard"/>
        <w:spacing w:lineRule="auto" w:line="480" w:before="0" w:after="160"/>
        <w:jc w:val="both"/>
        <w:rPr>
          <w:lang w:val="en-GB"/>
        </w:rPr>
      </w:pPr>
      <w:r>
        <w:rPr>
          <w:rFonts w:cs="Times New Roman" w:ascii="Baskerville Old Face" w:hAnsi="Baskerville Old Face"/>
          <w:lang w:val="en-GB"/>
        </w:rPr>
        <w:t>That than which nothing greater can be thought is F or G</w:t>
      </w:r>
    </w:p>
    <w:p>
      <w:pPr>
        <w:pStyle w:val="Standard"/>
        <w:spacing w:lineRule="auto" w:line="480" w:before="0" w:after="160"/>
        <w:jc w:val="both"/>
        <w:rPr>
          <w:lang w:val="en-GB"/>
        </w:rPr>
      </w:pPr>
      <w:r>
        <w:rPr>
          <w:rFonts w:cs="Times New Roman" w:ascii="Baskerville Old Face" w:hAnsi="Baskerville Old Face"/>
          <w:lang w:val="en-GB"/>
        </w:rPr>
        <w:t>Assume it’s F</w:t>
      </w:r>
    </w:p>
    <w:p>
      <w:pPr>
        <w:pStyle w:val="Standard"/>
        <w:spacing w:lineRule="auto" w:line="480" w:before="0" w:after="160"/>
        <w:jc w:val="both"/>
        <w:rPr>
          <w:lang w:val="en-GB"/>
        </w:rPr>
      </w:pPr>
      <w:r>
        <w:rPr>
          <w:rFonts w:cs="Times New Roman" w:ascii="Baskerville Old Face" w:hAnsi="Baskerville Old Face"/>
          <w:lang w:val="en-GB"/>
        </w:rPr>
        <w:t>...</w:t>
      </w:r>
    </w:p>
    <w:p>
      <w:pPr>
        <w:pStyle w:val="Standard"/>
        <w:spacing w:lineRule="auto" w:line="480" w:before="0" w:after="160"/>
        <w:jc w:val="both"/>
        <w:rPr>
          <w:lang w:val="en-GB"/>
        </w:rPr>
      </w:pPr>
      <w:r>
        <w:rPr>
          <w:rFonts w:cs="Times New Roman" w:ascii="Baskerville Old Face" w:hAnsi="Baskerville Old Face"/>
          <w:u w:val="single"/>
          <w:lang w:val="en-GB"/>
        </w:rPr>
        <w:t>It’s not F</w:t>
      </w:r>
    </w:p>
    <w:p>
      <w:pPr>
        <w:pStyle w:val="Standard"/>
        <w:spacing w:lineRule="auto" w:line="480" w:before="0" w:after="160"/>
        <w:jc w:val="both"/>
        <w:rPr>
          <w:lang w:val="en-GB"/>
        </w:rPr>
      </w:pPr>
      <w:r>
        <w:rPr>
          <w:rFonts w:cs="Times New Roman" w:ascii="Baskerville Old Face" w:hAnsi="Baskerville Old Face"/>
          <w:lang w:val="en-GB"/>
        </w:rPr>
        <w:t>Therefore, it’s G.</w:t>
      </w:r>
      <w:r>
        <w:rPr>
          <w:rStyle w:val="FootnoteAnchor"/>
          <w:rFonts w:cs="Times New Roman" w:ascii="Baskerville Old Face" w:hAnsi="Baskerville Old Face"/>
          <w:lang w:val="en-GB"/>
        </w:rPr>
        <w:footnoteReference w:id="48"/>
      </w:r>
    </w:p>
    <w:p>
      <w:pPr>
        <w:pStyle w:val="Standard"/>
        <w:spacing w:lineRule="auto" w:line="480" w:before="0" w:after="160"/>
        <w:jc w:val="both"/>
        <w:rPr>
          <w:lang w:val="en-GB"/>
        </w:rPr>
      </w:pPr>
      <w:r>
        <w:rPr>
          <w:rFonts w:cs="Times New Roman" w:ascii="Baskerville Old Face" w:hAnsi="Baskerville Old Face"/>
          <w:lang w:val="en-GB"/>
        </w:rPr>
        <w:t>The proof is indirect because it assumes the horn of the dilemma it ultimately rejects. The topic is midway between intrinsic and extrinsic because though one of the predicates follows directly from the idea ‘that than which a greater cannot be thought’, this is only made evident by comparing the two predicates to each other as lesser to greater.</w:t>
      </w:r>
    </w:p>
    <w:p>
      <w:pPr>
        <w:pStyle w:val="Standard"/>
        <w:spacing w:lineRule="auto" w:line="480" w:before="0" w:after="160"/>
        <w:ind w:firstLine="720"/>
        <w:jc w:val="both"/>
        <w:rPr>
          <w:lang w:val="en-GB"/>
        </w:rPr>
      </w:pPr>
      <w:r>
        <w:rPr>
          <w:rFonts w:cs="Times New Roman" w:ascii="Baskerville Old Face" w:hAnsi="Baskerville Old Face"/>
          <w:lang w:val="en-GB"/>
        </w:rPr>
        <w:t xml:space="preserve">Though the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forms a unity relying on a single </w:t>
      </w:r>
      <w:r>
        <w:rPr>
          <w:rFonts w:cs="Times New Roman" w:ascii="Baskerville Old Face" w:hAnsi="Baskerville Old Face"/>
          <w:i/>
          <w:lang w:val="en-GB"/>
        </w:rPr>
        <w:t>argumentum</w:t>
      </w:r>
      <w:r>
        <w:rPr>
          <w:rFonts w:cs="Times New Roman" w:ascii="Baskerville Old Face" w:hAnsi="Baskerville Old Face"/>
          <w:lang w:val="en-GB"/>
        </w:rPr>
        <w:t xml:space="preserve">, it does not provide one argument in the modern sense, but several, identical in all but the major term. Since this is so, Gaunilo’s </w:t>
      </w:r>
      <w:r>
        <w:rPr>
          <w:rFonts w:cs="Times New Roman" w:ascii="Baskerville Old Face" w:hAnsi="Baskerville Old Face"/>
          <w:i/>
          <w:lang w:val="en-GB"/>
        </w:rPr>
        <w:t>Pro insipiente</w:t>
      </w:r>
      <w:r>
        <w:rPr>
          <w:rFonts w:cs="Times New Roman" w:ascii="Baskerville Old Face" w:hAnsi="Baskerville Old Face"/>
          <w:lang w:val="en-GB"/>
        </w:rPr>
        <w:t xml:space="preserve"> is no longer merely a criticism of the argument of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2-3: it is a criticism of the entire work, since if it prevents linking the predicate ‘exists’ to that than which nothing greater can be thought, it will </w:t>
      </w:r>
      <w:r>
        <w:rPr>
          <w:rFonts w:cs="Times New Roman" w:ascii="Baskerville Old Face" w:hAnsi="Baskerville Old Face"/>
          <w:i/>
          <w:lang w:val="en-GB"/>
        </w:rPr>
        <w:t>a fortiori</w:t>
      </w:r>
      <w:r>
        <w:rPr>
          <w:rFonts w:cs="Times New Roman" w:ascii="Baskerville Old Face" w:hAnsi="Baskerville Old Face"/>
          <w:lang w:val="en-GB"/>
        </w:rPr>
        <w:t xml:space="preserve"> prevent any of the other things Anselm attempts to establish of God from being established.</w:t>
      </w:r>
      <w:r>
        <w:rPr>
          <w:rStyle w:val="FootnoteAnchor"/>
          <w:rFonts w:cs="Times New Roman" w:ascii="Baskerville Old Face" w:hAnsi="Baskerville Old Face"/>
          <w:lang w:val="en-GB"/>
        </w:rPr>
        <w:footnoteReference w:id="49"/>
      </w:r>
    </w:p>
    <w:p>
      <w:pPr>
        <w:pStyle w:val="Standard"/>
        <w:spacing w:lineRule="auto" w:line="480" w:before="0" w:after="160"/>
        <w:jc w:val="both"/>
        <w:rPr>
          <w:lang w:val="en-GB"/>
        </w:rPr>
      </w:pPr>
      <w:r>
        <w:rPr>
          <w:rFonts w:cs="Times New Roman" w:ascii="Baskerville Old Face" w:hAnsi="Baskerville Old Face"/>
          <w:lang w:val="en-GB"/>
        </w:rPr>
        <w:tab/>
        <w:t xml:space="preserve">In each argument of the </w:t>
      </w:r>
      <w:r>
        <w:rPr>
          <w:rFonts w:cs="Times New Roman" w:ascii="Baskerville Old Face" w:hAnsi="Baskerville Old Face"/>
          <w:i/>
          <w:lang w:val="en-GB"/>
        </w:rPr>
        <w:t>Proslogion</w:t>
      </w:r>
      <w:r>
        <w:rPr>
          <w:rFonts w:cs="Times New Roman" w:ascii="Baskerville Old Face" w:hAnsi="Baskerville Old Face"/>
          <w:lang w:val="en-GB"/>
        </w:rPr>
        <w:t xml:space="preserve">, the middle term is taken up as something whose holding of the minor term is immediately credible or reliable: it ‘requires nothing besides itself alone to be established.’ This is why Anselm never attempts to justify the minor premise either in the </w:t>
      </w:r>
      <w:r>
        <w:rPr>
          <w:rFonts w:cs="Times New Roman" w:ascii="Baskerville Old Face" w:hAnsi="Baskerville Old Face"/>
          <w:i/>
          <w:lang w:val="en-GB"/>
        </w:rPr>
        <w:t>Proslogion</w:t>
      </w:r>
      <w:r>
        <w:rPr>
          <w:rFonts w:cs="Times New Roman" w:ascii="Baskerville Old Face" w:hAnsi="Baskerville Old Face"/>
          <w:lang w:val="en-GB"/>
        </w:rPr>
        <w:t xml:space="preserve"> or in the response to Gaunilo.</w:t>
      </w:r>
      <w:r>
        <w:rPr>
          <w:rStyle w:val="FootnoteAnchor"/>
          <w:rFonts w:cs="Times New Roman" w:ascii="Baskerville Old Face" w:hAnsi="Baskerville Old Face"/>
          <w:lang w:val="en-GB"/>
        </w:rPr>
        <w:footnoteReference w:id="50"/>
      </w:r>
      <w:r>
        <w:rPr>
          <w:rFonts w:cs="Times New Roman" w:ascii="Baskerville Old Face" w:hAnsi="Baskerville Old Face"/>
          <w:lang w:val="en-GB"/>
        </w:rPr>
        <w:t xml:space="preserve"> Thus, when in section 4 of the </w:t>
      </w:r>
      <w:r>
        <w:rPr>
          <w:rFonts w:cs="Times New Roman" w:ascii="Baskerville Old Face" w:hAnsi="Baskerville Old Face"/>
          <w:i/>
          <w:lang w:val="en-GB"/>
        </w:rPr>
        <w:t xml:space="preserve">Liber Pro Insipiente </w:t>
      </w:r>
      <w:r>
        <w:rPr>
          <w:rFonts w:cs="Times New Roman" w:ascii="Baskerville Old Face" w:hAnsi="Baskerville Old Face"/>
          <w:lang w:val="en-GB"/>
        </w:rPr>
        <w:t>Gaunilo allows his fool to deny that that than which nothing greater can be thought is God – thereby also reconstruing Anselm’s original first-figure proof as a third-figure one – Anselm bars this line of attack. ‘I use your faith and conscience for a most sure proof of how false this is.’</w:t>
      </w:r>
      <w:r>
        <w:rPr>
          <w:rStyle w:val="FootnoteAnchor"/>
          <w:rFonts w:cs="Times New Roman" w:ascii="Baskerville Old Face" w:hAnsi="Baskerville Old Face"/>
          <w:lang w:val="en-GB"/>
        </w:rPr>
        <w:footnoteReference w:id="51"/>
      </w:r>
    </w:p>
    <w:p>
      <w:pPr>
        <w:pStyle w:val="Standard"/>
        <w:spacing w:lineRule="auto" w:line="480" w:before="0" w:after="160"/>
        <w:jc w:val="both"/>
        <w:rPr>
          <w:lang w:val="en-GB"/>
        </w:rPr>
      </w:pPr>
      <w:r>
        <w:rPr>
          <w:rFonts w:cs="Times New Roman" w:ascii="Baskerville Old Face" w:hAnsi="Baskerville Old Face"/>
          <w:lang w:val="en-GB"/>
        </w:rPr>
        <w:tab/>
        <w:t>This reading further reveals something about Anselm’s use of the term ‘fool’ (</w:t>
      </w:r>
      <w:r>
        <w:rPr>
          <w:rFonts w:cs="Times New Roman" w:ascii="Baskerville Old Face" w:hAnsi="Baskerville Old Face"/>
          <w:i/>
          <w:lang w:val="en-GB"/>
        </w:rPr>
        <w:t>insipiens</w:t>
      </w:r>
      <w:r>
        <w:rPr>
          <w:rFonts w:cs="Times New Roman" w:ascii="Baskerville Old Face" w:hAnsi="Baskerville Old Face"/>
          <w:lang w:val="en-GB"/>
        </w:rPr>
        <w:t xml:space="preserve">) as an appellative for the atheist. The minor premise of a topical argument must be </w:t>
      </w:r>
      <w:r>
        <w:rPr>
          <w:rFonts w:cs="Times New Roman" w:ascii="Baskerville Old Face" w:hAnsi="Baskerville Old Face"/>
          <w:i/>
          <w:lang w:val="en-GB"/>
        </w:rPr>
        <w:t>probabilis</w:t>
      </w:r>
      <w:r>
        <w:rPr>
          <w:rFonts w:cs="Times New Roman" w:ascii="Baskerville Old Face" w:hAnsi="Baskerville Old Face"/>
          <w:lang w:val="en-GB"/>
        </w:rPr>
        <w:t>, or reliable.</w:t>
      </w:r>
      <w:r>
        <w:rPr>
          <w:rStyle w:val="FootnoteAnchor"/>
          <w:rFonts w:cs="Times New Roman" w:ascii="Baskerville Old Face" w:hAnsi="Baskerville Old Face"/>
          <w:lang w:val="en-GB"/>
        </w:rPr>
        <w:footnoteReference w:id="52"/>
      </w:r>
      <w:r>
        <w:rPr>
          <w:rFonts w:cs="Times New Roman" w:ascii="Baskerville Old Face" w:hAnsi="Baskerville Old Face"/>
          <w:lang w:val="en-GB"/>
        </w:rPr>
        <w:t xml:space="preserve"> Boethius tells us ‘the reliable is what seems to be either to all, or to many, or to the wise; and among these [last] either to all, or many, or to those most renowned or distinguished; or to the specialist concerning his own province.’</w:t>
      </w:r>
      <w:r>
        <w:rPr>
          <w:rStyle w:val="FootnoteAnchor"/>
          <w:rFonts w:cs="Times New Roman" w:ascii="Baskerville Old Face" w:hAnsi="Baskerville Old Face"/>
          <w:lang w:val="en-GB"/>
        </w:rPr>
        <w:footnoteReference w:id="53"/>
      </w:r>
      <w:r>
        <w:rPr>
          <w:rFonts w:cs="Times New Roman" w:ascii="Baskerville Old Face" w:hAnsi="Baskerville Old Face"/>
          <w:lang w:val="en-GB"/>
        </w:rPr>
        <w:t xml:space="preserve"> God’s being something than which a greater cannot be thought fits this in several ways. First, it would have been widely assented to in Anselm’s time, and hence ‘what seems to be either to all or to many’. Second, it would have been attributable to ‘those most renowned or distinguished among the wise’, since the claim is found in Seneca the Elder, who, not always clearly distinguished in the Middle Ages from his nephew, was an authority in philosophy on par with Plato and Aristotle. Thirdly, and perhaps most interestingly, the pair wise/fool is mapped onto that between the Catholic and the non-believer, and so the claim is in this sense something known to many among the wise. This sense thus underlines the opening lines of the </w:t>
      </w:r>
      <w:r>
        <w:rPr>
          <w:rFonts w:cs="Times New Roman" w:ascii="Baskerville Old Face" w:hAnsi="Baskerville Old Face"/>
          <w:i/>
          <w:lang w:val="en-GB"/>
        </w:rPr>
        <w:t>Response</w:t>
      </w:r>
      <w:r>
        <w:rPr>
          <w:rFonts w:cs="Times New Roman" w:ascii="Baskerville Old Face" w:hAnsi="Baskerville Old Face"/>
          <w:lang w:val="en-GB"/>
        </w:rPr>
        <w:t xml:space="preserve"> to Gaunilo: ‘Since the fool himself, against whom I spoke in my little work, does not reprove me in these words, but rather one who is not a fool, and a Catholic on behalf of the fool, it suffices for me to reply to the Catholic.’</w:t>
      </w:r>
      <w:r>
        <w:rPr>
          <w:rStyle w:val="FootnoteAnchor"/>
          <w:rFonts w:cs="Times New Roman" w:ascii="Baskerville Old Face" w:hAnsi="Baskerville Old Face"/>
          <w:lang w:val="en-GB"/>
        </w:rPr>
        <w:footnoteReference w:id="54"/>
      </w:r>
      <w:r>
        <w:rPr>
          <w:rFonts w:cs="Times New Roman" w:ascii="Baskerville Old Face" w:hAnsi="Baskerville Old Face"/>
          <w:lang w:val="en-GB"/>
        </w:rPr>
        <w:t xml:space="preserve"> Here, the fool is explicitly excluded from the second round of debate as incapable of perceiving what should be plain to the Catholic responding on his behalf.</w:t>
      </w:r>
      <w:r>
        <w:rPr>
          <w:rStyle w:val="FootnoteAnchor"/>
          <w:rFonts w:cs="Times New Roman" w:ascii="Baskerville Old Face" w:hAnsi="Baskerville Old Face"/>
          <w:lang w:val="en-GB"/>
        </w:rPr>
        <w:footnoteReference w:id="55"/>
      </w:r>
      <w:r>
        <w:rPr>
          <w:rFonts w:cs="Times New Roman" w:ascii="Baskerville Old Face" w:hAnsi="Baskerville Old Face"/>
          <w:lang w:val="en-GB"/>
        </w:rPr>
        <w:t xml:space="preserve"> </w:t>
      </w:r>
    </w:p>
    <w:p>
      <w:pPr>
        <w:pStyle w:val="Standard"/>
        <w:spacing w:lineRule="auto" w:line="480" w:before="0" w:after="160"/>
        <w:ind w:firstLine="720"/>
        <w:jc w:val="both"/>
        <w:rPr>
          <w:lang w:val="en-GB"/>
        </w:rPr>
      </w:pPr>
      <w:r>
        <w:rPr>
          <w:rFonts w:cs="Times New Roman" w:ascii="Baskerville Old Face" w:hAnsi="Baskerville Old Face"/>
          <w:lang w:val="en-GB"/>
        </w:rPr>
        <w:t>Given the importance Anselm ascribes to the notion ‘that than which a greater cannot be thought’</w:t>
      </w:r>
      <w:r>
        <w:rPr>
          <w:rFonts w:cs="Times New Roman" w:ascii="Baskerville Old Face" w:hAnsi="Baskerville Old Face"/>
          <w:i/>
          <w:lang w:val="en-GB"/>
        </w:rPr>
        <w:t xml:space="preserve"> </w:t>
      </w:r>
      <w:r>
        <w:rPr>
          <w:rFonts w:cs="Times New Roman" w:ascii="Baskerville Old Face" w:hAnsi="Baskerville Old Face"/>
          <w:lang w:val="en-GB"/>
        </w:rPr>
        <w:t xml:space="preserve">as the </w:t>
      </w:r>
      <w:r>
        <w:rPr>
          <w:rFonts w:cs="Times New Roman" w:ascii="Baskerville Old Face" w:hAnsi="Baskerville Old Face"/>
          <w:i/>
          <w:lang w:val="en-GB"/>
        </w:rPr>
        <w:t xml:space="preserve">unum argumentum </w:t>
      </w:r>
      <w:r>
        <w:rPr>
          <w:rFonts w:cs="Times New Roman" w:ascii="Baskerville Old Face" w:hAnsi="Baskerville Old Face"/>
          <w:lang w:val="en-GB"/>
        </w:rPr>
        <w:t xml:space="preserve">binding the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together, it should not be surprising that Gaunilo’s first and principal objection to Anselm’s argument attacks precisely the fittingness of taking up this </w:t>
      </w:r>
      <w:r>
        <w:rPr>
          <w:rFonts w:cs="Times New Roman" w:ascii="Baskerville Old Face" w:hAnsi="Baskerville Old Face"/>
          <w:i/>
          <w:lang w:val="en-GB"/>
        </w:rPr>
        <w:t>ratio</w:t>
      </w:r>
      <w:r>
        <w:rPr>
          <w:rFonts w:cs="Times New Roman" w:ascii="Baskerville Old Face" w:hAnsi="Baskerville Old Face"/>
          <w:lang w:val="en-GB"/>
        </w:rPr>
        <w:t xml:space="preserve"> as an </w:t>
      </w:r>
      <w:r>
        <w:rPr>
          <w:rFonts w:cs="Times New Roman" w:ascii="Baskerville Old Face" w:hAnsi="Baskerville Old Face"/>
          <w:i/>
          <w:lang w:val="en-GB"/>
        </w:rPr>
        <w:t>argumentum</w:t>
      </w:r>
      <w:r>
        <w:rPr>
          <w:rFonts w:cs="Times New Roman" w:ascii="Baskerville Old Face" w:hAnsi="Baskerville Old Face"/>
          <w:lang w:val="en-GB"/>
        </w:rPr>
        <w:t>:</w:t>
      </w:r>
    </w:p>
    <w:p>
      <w:pPr>
        <w:pStyle w:val="Standard"/>
        <w:spacing w:lineRule="auto" w:line="480" w:before="0" w:after="160"/>
        <w:ind w:left="900" w:hanging="0"/>
        <w:jc w:val="both"/>
        <w:rPr>
          <w:lang w:val="en-GB"/>
        </w:rPr>
      </w:pPr>
      <w:r>
        <w:rPr>
          <w:rFonts w:cs="Times New Roman" w:ascii="Baskerville Old Face" w:hAnsi="Baskerville Old Face"/>
          <w:lang w:val="en-GB"/>
        </w:rPr>
        <w:t>Perhaps one can respond that this is now said to be in my understanding from nothing else besides that I understand what is said. Am I not likewise said to have certain false things, and even things existing in no way in themselves in mind when I would understand someone saying them, whatever he would say?</w:t>
      </w:r>
      <w:r>
        <w:rPr>
          <w:rStyle w:val="FootnoteAnchor"/>
          <w:rFonts w:cs="Times New Roman" w:ascii="Baskerville Old Face" w:hAnsi="Baskerville Old Face"/>
          <w:lang w:val="en-GB"/>
        </w:rPr>
        <w:footnoteReference w:id="56"/>
      </w:r>
      <w:r>
        <w:rPr>
          <w:rFonts w:cs="Times New Roman" w:ascii="Baskerville Old Face" w:hAnsi="Baskerville Old Face"/>
          <w:lang w:val="en-GB"/>
        </w:rPr>
        <w:t xml:space="preserve"> </w:t>
      </w:r>
    </w:p>
    <w:p>
      <w:pPr>
        <w:pStyle w:val="Standard"/>
        <w:spacing w:lineRule="auto" w:line="480" w:before="0" w:after="160"/>
        <w:jc w:val="both"/>
        <w:rPr>
          <w:lang w:val="en-GB"/>
        </w:rPr>
      </w:pPr>
      <w:r>
        <w:rPr>
          <w:rFonts w:cs="Times New Roman" w:ascii="Baskerville Old Face" w:hAnsi="Baskerville Old Face"/>
          <w:lang w:val="en-GB"/>
        </w:rPr>
        <w:t xml:space="preserve">Here, the mode of cogitation for a false concept – i.e. one failing to be instantiated in a subject – or one ‘existing in no way in itself’ – i.e. an intrinsically incoherent one – is different from that of one known to belong to a subject. But if the concept ‘that than which a greater cannot be thought’ doesn’t fit into one of these categories, then the mode of cogitation proper to it with respect to God must be that of being understood, which is different still from the previous modes. But understanding only befits a thing established by proof. Hence, if God </w:t>
      </w:r>
      <w:r>
        <w:rPr>
          <w:rFonts w:ascii="Baskerville Old Face" w:hAnsi="Baskerville Old Face"/>
          <w:lang w:val="en-GB"/>
        </w:rPr>
        <w:t xml:space="preserve">is understood in </w:t>
      </w:r>
      <w:r>
        <w:rPr>
          <w:rFonts w:ascii="Baskerville Old Face" w:hAnsi="Baskerville Old Face"/>
          <w:i/>
          <w:lang w:val="en-GB"/>
        </w:rPr>
        <w:t>this</w:t>
      </w:r>
      <w:r>
        <w:rPr>
          <w:rFonts w:ascii="Baskerville Old Face" w:hAnsi="Baskerville Old Face"/>
          <w:lang w:val="en-GB"/>
        </w:rPr>
        <w:t xml:space="preserve"> way, then ‘that than which a greater cannot be thought’ does not serve as an </w:t>
      </w:r>
      <w:r>
        <w:rPr>
          <w:rFonts w:ascii="Baskerville Old Face" w:hAnsi="Baskerville Old Face"/>
          <w:i/>
          <w:lang w:val="en-GB"/>
        </w:rPr>
        <w:t>argumentum</w:t>
      </w:r>
      <w:r>
        <w:rPr>
          <w:rFonts w:ascii="Baskerville Old Face" w:hAnsi="Baskerville Old Face"/>
          <w:lang w:val="en-GB"/>
        </w:rPr>
        <w:t xml:space="preserve">, since it does not secure a matter in doubt, but rather something already established. Put more plainly, even if this concept of God is coherent, an argument relying on it to establish God’s existence will be sound only if it is not probative, i.e. provided it proves nothing new. This is why Gaunilo says the reasoner following this argument will not move from having God in mind as </w:t>
      </w:r>
      <w:r>
        <w:rPr>
          <w:rFonts w:ascii="Baskerville Old Face" w:hAnsi="Baskerville Old Face"/>
          <w:i/>
          <w:lang w:val="en-GB"/>
        </w:rPr>
        <w:t xml:space="preserve">id quo maius cogitari non potest </w:t>
      </w:r>
      <w:r>
        <w:rPr>
          <w:rFonts w:ascii="Baskerville Old Face" w:hAnsi="Baskerville Old Face"/>
          <w:lang w:val="en-GB"/>
        </w:rPr>
        <w:t>at a preceding time to understanding him to exist at a later time.</w:t>
      </w:r>
      <w:r>
        <w:rPr>
          <w:rStyle w:val="FootnoteAnchor"/>
          <w:rFonts w:ascii="Baskerville Old Face" w:hAnsi="Baskerville Old Face"/>
          <w:lang w:val="en-GB"/>
        </w:rPr>
        <w:footnoteReference w:id="57"/>
      </w:r>
    </w:p>
    <w:p>
      <w:pPr>
        <w:pStyle w:val="Standard"/>
        <w:spacing w:lineRule="auto" w:line="480" w:before="0" w:after="160"/>
        <w:jc w:val="both"/>
        <w:rPr>
          <w:lang w:val="en-GB"/>
        </w:rPr>
      </w:pPr>
      <w:r>
        <w:rPr>
          <w:rFonts w:cs="Times New Roman" w:ascii="Baskerville Old Face" w:hAnsi="Baskerville Old Face"/>
          <w:lang w:val="en-GB"/>
        </w:rPr>
        <w:tab/>
        <w:t xml:space="preserve">But where Gaunilo insists the mode of being of the </w:t>
      </w:r>
      <w:r>
        <w:rPr>
          <w:rFonts w:cs="Times New Roman" w:ascii="Baskerville Old Face" w:hAnsi="Baskerville Old Face"/>
          <w:i/>
          <w:lang w:val="en-GB"/>
        </w:rPr>
        <w:t xml:space="preserve">cogitatum </w:t>
      </w:r>
      <w:r>
        <w:rPr>
          <w:rFonts w:cs="Times New Roman" w:ascii="Baskerville Old Face" w:hAnsi="Baskerville Old Face"/>
          <w:lang w:val="en-GB"/>
        </w:rPr>
        <w:t xml:space="preserve">‘that than which a greater cannot be thought’ must be given beforehand, thereby blocking the temporal process of moving from the premises to the conclusion of the argument, Anselm insists on the partiality of his description to safeguard this movement. We have already seen Anselm himself later qualifies his famous description of God in chapter 15 of the </w:t>
      </w:r>
      <w:r>
        <w:rPr>
          <w:rFonts w:cs="Times New Roman" w:ascii="Baskerville Old Face" w:hAnsi="Baskerville Old Face"/>
          <w:i/>
          <w:lang w:val="en-GB"/>
        </w:rPr>
        <w:t>Proslogion</w:t>
      </w:r>
      <w:r>
        <w:rPr>
          <w:rFonts w:cs="Times New Roman" w:ascii="Baskerville Old Face" w:hAnsi="Baskerville Old Face"/>
          <w:lang w:val="en-GB"/>
        </w:rPr>
        <w:t>. We can now also see that the incompleteness of the concept is vital to ensuring its accessibility to the reader meditating along with the text.</w:t>
      </w:r>
    </w:p>
    <w:p>
      <w:pPr>
        <w:pStyle w:val="Standard"/>
        <w:spacing w:lineRule="auto" w:line="480" w:before="0" w:after="160"/>
        <w:ind w:left="900" w:hanging="0"/>
        <w:jc w:val="both"/>
        <w:rPr>
          <w:lang w:val="en-GB"/>
        </w:rPr>
      </w:pPr>
      <w:r>
        <w:rPr>
          <w:rFonts w:cs="Times New Roman" w:ascii="Baskerville Old Face" w:hAnsi="Baskerville Old Face"/>
          <w:lang w:val="en-GB"/>
        </w:rPr>
        <w:t>But if you say that what is not understood completely is not understood and is not in the intellect, say that one who cannot look into the purest light of the sun does not see the light of day, which is nothing besides the light of the sun.’</w:t>
      </w:r>
      <w:r>
        <w:rPr>
          <w:rStyle w:val="FootnoteAnchor"/>
          <w:rFonts w:cs="Times New Roman" w:ascii="Baskerville Old Face" w:hAnsi="Baskerville Old Face"/>
          <w:lang w:val="en-GB"/>
        </w:rPr>
        <w:footnoteReference w:id="58"/>
      </w:r>
    </w:p>
    <w:p>
      <w:pPr>
        <w:pStyle w:val="Standard"/>
        <w:spacing w:lineRule="auto" w:line="480" w:before="0" w:after="160"/>
        <w:jc w:val="both"/>
        <w:rPr>
          <w:lang w:val="en-GB"/>
        </w:rPr>
      </w:pPr>
      <w:r>
        <w:rPr>
          <w:rFonts w:cs="Times New Roman" w:ascii="Baskerville Old Face" w:hAnsi="Baskerville Old Face"/>
          <w:lang w:val="en-GB"/>
        </w:rPr>
        <w:t>For Anselm, the meditator certainly has this concept ‘that than which a greater cannot be thought’ in mind, even though neither the attributes nor the mode of being of signified thereby need be immediately clear. Just as the light of the sun is visible, albeit not directly, so too God, than whom a greater cannot be thought, is intelligible, even if a complete understanding of the divinity escapes us.</w:t>
      </w:r>
    </w:p>
    <w:p>
      <w:pPr>
        <w:pStyle w:val="Heading1"/>
        <w:spacing w:lineRule="auto" w:line="480"/>
        <w:jc w:val="both"/>
        <w:rPr>
          <w:lang w:val="en-GB"/>
        </w:rPr>
      </w:pPr>
      <w:r>
        <w:rPr>
          <w:rFonts w:cs="Times New Roman" w:ascii="Baskerville Old Face" w:hAnsi="Baskerville Old Face"/>
          <w:b/>
          <w:color w:val="auto"/>
          <w:sz w:val="24"/>
          <w:szCs w:val="24"/>
          <w:lang w:val="en-GB"/>
        </w:rPr>
        <w:t>6 Conclusion</w:t>
      </w:r>
    </w:p>
    <w:p>
      <w:pPr>
        <w:pStyle w:val="Standard"/>
        <w:spacing w:lineRule="auto" w:line="480" w:before="0" w:after="160"/>
        <w:jc w:val="both"/>
        <w:rPr>
          <w:lang w:val="en-GB"/>
        </w:rPr>
      </w:pPr>
      <w:r>
        <w:rPr>
          <w:rFonts w:cs="Times New Roman" w:ascii="Baskerville Old Face" w:hAnsi="Baskerville Old Face"/>
          <w:lang w:val="en-GB"/>
        </w:rPr>
        <w:tab/>
        <w:t>Anselm, then, tells us that he is searching for</w:t>
      </w:r>
      <w:r>
        <w:rPr>
          <w:rFonts w:cs="Times New Roman" w:ascii="Baskerville Old Face" w:hAnsi="Baskerville Old Face"/>
          <w:i/>
          <w:iCs/>
          <w:lang w:val="en-GB"/>
        </w:rPr>
        <w:t xml:space="preserve"> </w:t>
      </w:r>
      <w:r>
        <w:rPr>
          <w:rFonts w:cs="Times New Roman" w:ascii="Baskerville Old Face" w:hAnsi="Baskerville Old Face"/>
          <w:lang w:val="en-GB"/>
        </w:rPr>
        <w:t xml:space="preserve">one notion, in contrast to the many of the </w:t>
      </w:r>
      <w:r>
        <w:rPr>
          <w:rFonts w:cs="Times New Roman" w:ascii="Baskerville Old Face" w:hAnsi="Baskerville Old Face"/>
          <w:i/>
          <w:iCs/>
          <w:lang w:val="en-GB"/>
        </w:rPr>
        <w:t>Monologion</w:t>
      </w:r>
      <w:r>
        <w:rPr>
          <w:rFonts w:cs="Times New Roman" w:ascii="Baskerville Old Face" w:hAnsi="Baskerville Old Face"/>
          <w:lang w:val="en-GB"/>
        </w:rPr>
        <w:t xml:space="preserve">, from which the many things believed of God could be derived. Thus, when Anselm prays ‘Therefore, Lord, who grants </w:t>
      </w:r>
      <w:r>
        <w:rPr>
          <w:rFonts w:cs="Times New Roman" w:ascii="Baskerville Old Face" w:hAnsi="Baskerville Old Face"/>
          <w:i/>
          <w:lang w:val="en-GB"/>
        </w:rPr>
        <w:t xml:space="preserve">intellectus </w:t>
      </w:r>
      <w:r>
        <w:rPr>
          <w:rFonts w:cs="Times New Roman" w:ascii="Baskerville Old Face" w:hAnsi="Baskerville Old Face"/>
          <w:lang w:val="en-GB"/>
        </w:rPr>
        <w:t xml:space="preserve">to </w:t>
      </w:r>
      <w:r>
        <w:rPr>
          <w:rFonts w:cs="Times New Roman" w:ascii="Baskerville Old Face" w:hAnsi="Baskerville Old Face"/>
          <w:i/>
          <w:lang w:val="en-GB"/>
        </w:rPr>
        <w:t xml:space="preserve">fides, </w:t>
      </w:r>
      <w:r>
        <w:rPr>
          <w:rFonts w:cs="Times New Roman" w:ascii="Baskerville Old Face" w:hAnsi="Baskerville Old Face"/>
          <w:lang w:val="en-GB"/>
        </w:rPr>
        <w:t>grant that I may understand that you are, as we believe, and that you are what we believe,’</w:t>
      </w:r>
      <w:r>
        <w:rPr>
          <w:rStyle w:val="FootnoteAnchor"/>
          <w:rFonts w:cs="Times New Roman" w:ascii="Baskerville Old Face" w:hAnsi="Baskerville Old Face"/>
          <w:lang w:val="en-GB"/>
        </w:rPr>
        <w:footnoteReference w:id="59"/>
      </w:r>
      <w:r>
        <w:rPr>
          <w:rFonts w:cs="Times New Roman" w:ascii="Baskerville Old Face" w:hAnsi="Baskerville Old Face"/>
          <w:lang w:val="en-GB"/>
        </w:rPr>
        <w:t xml:space="preserve"> he is certainly seeking that his faith be deepened by understanding; but his asking for this is simultaneously, and even primarily, his asking God to unravel the core sense (</w:t>
      </w:r>
      <w:r>
        <w:rPr>
          <w:rFonts w:cs="Times New Roman" w:ascii="Baskerville Old Face" w:hAnsi="Baskerville Old Face"/>
          <w:i/>
          <w:lang w:val="en-GB"/>
        </w:rPr>
        <w:t>intellectus</w:t>
      </w:r>
      <w:r>
        <w:rPr>
          <w:rFonts w:cs="Times New Roman" w:ascii="Baskerville Old Face" w:hAnsi="Baskerville Old Face"/>
          <w:lang w:val="en-GB"/>
        </w:rPr>
        <w:t>) of something making secure (</w:t>
      </w:r>
      <w:r>
        <w:rPr>
          <w:rFonts w:cs="Times New Roman" w:ascii="Baskerville Old Face" w:hAnsi="Baskerville Old Face"/>
          <w:i/>
          <w:lang w:val="en-GB"/>
        </w:rPr>
        <w:t>faciens fidem</w:t>
      </w:r>
      <w:r>
        <w:rPr>
          <w:rFonts w:cs="Times New Roman" w:ascii="Baskerville Old Face" w:hAnsi="Baskerville Old Face"/>
          <w:lang w:val="en-GB"/>
        </w:rPr>
        <w:t xml:space="preserve">), i.e. the notion ‘that than which a greater cannot be thought.’ For this reason, the </w:t>
      </w:r>
      <w:r>
        <w:rPr>
          <w:rFonts w:cs="Times New Roman" w:ascii="Baskerville Old Face" w:hAnsi="Baskerville Old Face"/>
          <w:i/>
          <w:iCs/>
          <w:lang w:val="en-GB"/>
        </w:rPr>
        <w:t xml:space="preserve">Proslogion </w:t>
      </w:r>
      <w:r>
        <w:rPr>
          <w:rFonts w:cs="Times New Roman" w:ascii="Baskerville Old Face" w:hAnsi="Baskerville Old Face"/>
          <w:lang w:val="en-GB"/>
        </w:rPr>
        <w:t>as a whole is a meditation on the substance of something worthy of belief (</w:t>
      </w:r>
      <w:r>
        <w:rPr>
          <w:rFonts w:cs="Times New Roman" w:ascii="Baskerville Old Face" w:hAnsi="Baskerville Old Face"/>
          <w:i/>
          <w:iCs/>
          <w:lang w:val="en-GB"/>
        </w:rPr>
        <w:t>ratio fidei</w:t>
      </w:r>
      <w:r>
        <w:rPr>
          <w:rFonts w:cs="Times New Roman" w:ascii="Baskerville Old Face" w:hAnsi="Baskerville Old Face"/>
          <w:lang w:val="en-GB"/>
        </w:rPr>
        <w:t xml:space="preserve">). The notion ‘that than which a greater cannot be thought’ itself serves as a medium leading to a fuller notion of God, thereby securing the divine attributes understood through this </w:t>
      </w:r>
      <w:r>
        <w:rPr>
          <w:rFonts w:cs="Times New Roman" w:ascii="Baskerville Old Face" w:hAnsi="Baskerville Old Face"/>
          <w:i/>
          <w:iCs/>
          <w:lang w:val="en-GB"/>
        </w:rPr>
        <w:t>ratio</w:t>
      </w:r>
      <w:r>
        <w:rPr>
          <w:rFonts w:cs="Times New Roman" w:ascii="Baskerville Old Face" w:hAnsi="Baskerville Old Face"/>
          <w:lang w:val="en-GB"/>
        </w:rPr>
        <w:t xml:space="preserve">. It is a consequence of this that the work also exhibits the noetic satisfaction of one holding to this faith – faith seeking understanding in the sense commonly understood. Anselm is searching for a single notion or description that can lead to its ground; he is searching for a title or name of God that can bring him closer to seeing God as he truly is. This role is filled by the notion </w:t>
      </w:r>
      <w:r>
        <w:rPr>
          <w:rFonts w:cs="Times New Roman" w:ascii="Baskerville Old Face" w:hAnsi="Baskerville Old Face"/>
          <w:i/>
          <w:iCs/>
          <w:lang w:val="en-GB"/>
        </w:rPr>
        <w:t>id quo maius cogitari non potest</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60"/>
      </w:r>
    </w:p>
    <w:p>
      <w:pPr>
        <w:pStyle w:val="Standard"/>
        <w:spacing w:lineRule="auto" w:line="480" w:before="0" w:after="160"/>
        <w:jc w:val="both"/>
        <w:rPr>
          <w:lang w:val="en-GB"/>
        </w:rPr>
      </w:pPr>
      <w:r>
        <w:rPr>
          <w:rFonts w:cs="Times New Roman" w:ascii="Baskerville Old Face" w:hAnsi="Baskerville Old Face"/>
          <w:b/>
          <w:lang w:val="en-GB"/>
        </w:rPr>
        <w:t>Bibliography and Abbreviations</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Abelson, Paul. </w:t>
      </w:r>
      <w:r>
        <w:rPr>
          <w:rFonts w:cs="Times New Roman" w:ascii="Baskerville Old Face" w:hAnsi="Baskerville Old Face"/>
          <w:i/>
          <w:lang w:val="en-GB"/>
        </w:rPr>
        <w:t>The Seven Liberal Arts: A Study in Mediaeval Culture.</w:t>
      </w:r>
      <w:r>
        <w:rPr>
          <w:rFonts w:cs="Times New Roman" w:ascii="Baskerville Old Face" w:hAnsi="Baskerville Old Face"/>
          <w:lang w:val="en-GB"/>
        </w:rPr>
        <w:t xml:space="preserve"> New York: Teachers College, Columbia University Press, 1906.</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Anselm of Canterbury, Saint. </w:t>
      </w:r>
      <w:r>
        <w:rPr>
          <w:rFonts w:cs="Times New Roman" w:ascii="Baskerville Old Face" w:hAnsi="Baskerville Old Face"/>
          <w:i/>
          <w:lang w:val="en-GB"/>
        </w:rPr>
        <w:t>De Grammatico</w:t>
      </w:r>
      <w:r>
        <w:rPr>
          <w:rFonts w:cs="Times New Roman" w:ascii="Baskerville Old Face" w:hAnsi="Baskerville Old Face"/>
          <w:lang w:val="en-GB"/>
        </w:rPr>
        <w:t>. In Henry 1974: 48-80 [</w:t>
      </w:r>
      <w:r>
        <w:rPr>
          <w:rFonts w:cs="Times New Roman" w:ascii="Baskerville Old Face" w:hAnsi="Baskerville Old Face"/>
          <w:i/>
          <w:lang w:val="en-GB"/>
        </w:rPr>
        <w:t>DG</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iCs/>
          <w:u w:val="single"/>
          <w:lang w:val="en-GB"/>
        </w:rPr>
        <w:tab/>
      </w:r>
      <w:r>
        <w:rPr>
          <w:rFonts w:cs="Times New Roman" w:ascii="Baskerville Old Face" w:hAnsi="Baskerville Old Face"/>
          <w:i/>
          <w:iCs/>
          <w:lang w:val="en-GB"/>
        </w:rPr>
        <w:t xml:space="preserve">. Liber apologeticus contra Gaunilonem respondentem pro insipiente. </w:t>
      </w:r>
      <w:r>
        <w:rPr>
          <w:rFonts w:cs="Times New Roman" w:ascii="Baskerville Old Face" w:hAnsi="Baskerville Old Face"/>
          <w:lang w:val="en-GB"/>
        </w:rPr>
        <w:t>[</w:t>
      </w:r>
      <w:r>
        <w:rPr>
          <w:rFonts w:cs="Times New Roman" w:ascii="Baskerville Old Face" w:hAnsi="Baskerville Old Face"/>
          <w:i/>
          <w:iCs/>
          <w:lang w:val="en-GB"/>
        </w:rPr>
        <w:t>Resp.</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iCs/>
          <w:u w:val="single"/>
          <w:lang w:val="en-GB"/>
        </w:rPr>
        <w:tab/>
      </w:r>
      <w:r>
        <w:rPr>
          <w:rFonts w:cs="Times New Roman" w:ascii="Baskerville Old Face" w:hAnsi="Baskerville Old Face"/>
          <w:i/>
          <w:iCs/>
          <w:lang w:val="en-GB"/>
        </w:rPr>
        <w:t>. Proslogion</w:t>
      </w:r>
      <w:r>
        <w:rPr>
          <w:rFonts w:cs="Times New Roman" w:ascii="Baskerville Old Face" w:hAnsi="Baskerville Old Face"/>
          <w:lang w:val="en-GB"/>
        </w:rPr>
        <w:t>. [</w:t>
      </w:r>
      <w:r>
        <w:rPr>
          <w:rFonts w:cs="Times New Roman" w:ascii="Baskerville Old Face" w:hAnsi="Baskerville Old Face"/>
          <w:i/>
          <w:iCs/>
          <w:lang w:val="en-GB"/>
        </w:rPr>
        <w:t>Pros.</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Cs/>
          <w:lang w:val="en-GB"/>
        </w:rPr>
        <w:t xml:space="preserve">Archambault, Jacob. ‘Aquinas, the </w:t>
      </w:r>
      <w:r>
        <w:rPr>
          <w:rFonts w:cs="Times New Roman" w:ascii="Baskerville Old Face" w:hAnsi="Baskerville Old Face"/>
          <w:i/>
          <w:iCs/>
          <w:lang w:val="en-GB"/>
        </w:rPr>
        <w:t>A Priori/A Posteriori</w:t>
      </w:r>
      <w:r>
        <w:rPr>
          <w:rFonts w:cs="Times New Roman" w:ascii="Baskerville Old Face" w:hAnsi="Baskerville Old Face"/>
          <w:iCs/>
          <w:lang w:val="en-GB"/>
        </w:rPr>
        <w:t xml:space="preserve"> Distinction, and the Kantian Dependency Thesis.’ </w:t>
      </w:r>
      <w:r>
        <w:rPr>
          <w:rFonts w:cs="Times New Roman" w:ascii="Baskerville Old Face" w:hAnsi="Baskerville Old Face"/>
          <w:i/>
          <w:iCs/>
          <w:lang w:val="en-GB"/>
        </w:rPr>
        <w:t xml:space="preserve">Religious Studies </w:t>
      </w:r>
      <w:r>
        <w:rPr>
          <w:rFonts w:cs="Times New Roman" w:ascii="Baskerville Old Face" w:hAnsi="Baskerville Old Face"/>
          <w:iCs/>
          <w:lang w:val="en-GB"/>
        </w:rPr>
        <w:t>50 (2014): 175-192.</w:t>
      </w:r>
    </w:p>
    <w:p>
      <w:pPr>
        <w:pStyle w:val="ListParagraph"/>
        <w:spacing w:lineRule="auto" w:line="480"/>
        <w:ind w:left="720" w:hanging="720"/>
        <w:jc w:val="both"/>
        <w:rPr>
          <w:lang w:val="en-GB"/>
        </w:rPr>
      </w:pPr>
      <w:r>
        <w:rPr>
          <w:rFonts w:cs="Times New Roman" w:ascii="Baskerville Old Face" w:hAnsi="Baskerville Old Face"/>
          <w:sz w:val="24"/>
          <w:szCs w:val="24"/>
          <w:lang w:val="en-GB"/>
        </w:rPr>
        <w:t xml:space="preserve">G. Lacombe </w:t>
      </w:r>
      <w:r>
        <w:rPr>
          <w:rFonts w:cs="Times New Roman" w:ascii="Baskerville Old Face" w:hAnsi="Baskerville Old Face"/>
          <w:i/>
          <w:sz w:val="24"/>
          <w:szCs w:val="24"/>
          <w:lang w:val="en-GB"/>
        </w:rPr>
        <w:t xml:space="preserve">et al., </w:t>
      </w:r>
      <w:r>
        <w:rPr>
          <w:rFonts w:cs="Times New Roman" w:ascii="Baskerville Old Face" w:hAnsi="Baskerville Old Face"/>
          <w:sz w:val="24"/>
          <w:szCs w:val="24"/>
          <w:lang w:val="en-GB"/>
        </w:rPr>
        <w:t xml:space="preserve">eds. </w:t>
      </w:r>
      <w:r>
        <w:rPr>
          <w:rFonts w:cs="Times New Roman" w:ascii="Baskerville Old Face" w:hAnsi="Baskerville Old Face"/>
          <w:i/>
          <w:sz w:val="24"/>
          <w:szCs w:val="24"/>
          <w:lang w:val="en-GB"/>
        </w:rPr>
        <w:t>Codices: Pars Prior</w:t>
      </w:r>
      <w:r>
        <w:rPr>
          <w:rFonts w:cs="Times New Roman" w:ascii="Baskerville Old Face" w:hAnsi="Baskerville Old Face"/>
          <w:sz w:val="24"/>
          <w:szCs w:val="24"/>
          <w:lang w:val="en-GB"/>
        </w:rPr>
        <w:t>, ed. Rome: La Libreria dello Stato, 1939. [</w:t>
      </w:r>
      <w:r>
        <w:rPr>
          <w:rFonts w:cs="Times New Roman" w:ascii="Baskerville Old Face" w:hAnsi="Baskerville Old Face"/>
          <w:i/>
          <w:sz w:val="24"/>
          <w:szCs w:val="24"/>
          <w:lang w:val="en-GB"/>
        </w:rPr>
        <w:t>Aristoteles Latinus</w:t>
      </w:r>
      <w:r>
        <w:rPr>
          <w:rFonts w:cs="Times New Roman" w:ascii="Baskerville Old Face" w:hAnsi="Baskerville Old Face"/>
          <w:sz w:val="24"/>
          <w:szCs w:val="24"/>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Barth, Karl. </w:t>
      </w:r>
      <w:r>
        <w:rPr>
          <w:rFonts w:cs="Times New Roman" w:ascii="Baskerville Old Face" w:hAnsi="Baskerville Old Face"/>
          <w:i/>
          <w:lang w:val="en-GB"/>
        </w:rPr>
        <w:t>Anselm: Fides Quaerens Intellectum</w:t>
      </w:r>
      <w:r>
        <w:rPr>
          <w:rFonts w:cs="Times New Roman" w:ascii="Baskerville Old Face" w:hAnsi="Baskerville Old Face"/>
          <w:lang w:val="en-GB"/>
        </w:rPr>
        <w:t>. Translated by Ian W. Robertson. London: SCM Press, 1960.</w:t>
      </w:r>
    </w:p>
    <w:p>
      <w:pPr>
        <w:pStyle w:val="Standard"/>
        <w:spacing w:lineRule="auto" w:line="480" w:before="0" w:after="160"/>
        <w:ind w:left="720" w:hanging="720"/>
        <w:jc w:val="both"/>
        <w:rPr>
          <w:lang w:val="en-GB"/>
        </w:rPr>
      </w:pPr>
      <w:r>
        <w:rPr>
          <w:rFonts w:cs="Times New Roman" w:ascii="Baskerville Old Face" w:hAnsi="Baskerville Old Face"/>
          <w:strike w:val="false"/>
          <w:dstrike w:val="false"/>
          <w:lang w:val="en-GB"/>
        </w:rPr>
        <w:t xml:space="preserve">Beach, Alison I., and Isabelle Cochelin, eds. </w:t>
      </w:r>
      <w:r>
        <w:rPr>
          <w:rFonts w:cs="Times New Roman" w:ascii="Baskerville Old Face" w:hAnsi="Baskerville Old Face"/>
          <w:i/>
          <w:iCs/>
          <w:strike w:val="false"/>
          <w:dstrike w:val="false"/>
          <w:lang w:val="en-GB"/>
        </w:rPr>
        <w:t>The Cambridge History of Medieval Monasticism in the Latin West</w:t>
      </w:r>
      <w:r>
        <w:rPr>
          <w:rFonts w:cs="Times New Roman" w:ascii="Baskerville Old Face" w:hAnsi="Baskerville Old Face"/>
          <w:i w:val="false"/>
          <w:iCs w:val="false"/>
          <w:strike w:val="false"/>
          <w:dstrike w:val="false"/>
          <w:lang w:val="en-GB"/>
        </w:rPr>
        <w:t>. Cambridge: Cambridge University Press, 2020. doi:10.1017/9781107323742.</w:t>
      </w:r>
    </w:p>
    <w:p>
      <w:pPr>
        <w:pStyle w:val="Standard"/>
        <w:spacing w:lineRule="auto" w:line="480" w:before="0" w:after="160"/>
        <w:ind w:left="720" w:hanging="720"/>
        <w:jc w:val="both"/>
        <w:rPr>
          <w:lang w:val="en-GB"/>
        </w:rPr>
      </w:pPr>
      <w:r>
        <w:rPr>
          <w:rFonts w:cs="Times New Roman" w:ascii="Baskerville Old Face" w:hAnsi="Baskerville Old Face"/>
          <w:strike w:val="false"/>
          <w:dstrike w:val="false"/>
          <w:lang w:val="en-GB"/>
        </w:rPr>
        <w:t>Becker</w:t>
      </w:r>
      <w:r>
        <w:rPr>
          <w:rFonts w:cs="Times New Roman" w:ascii="Baskerville Old Face" w:hAnsi="Baskerville Old Face"/>
          <w:lang w:val="en-GB"/>
        </w:rPr>
        <w:t xml:space="preserve">, Gustav Heinrich. </w:t>
      </w:r>
      <w:r>
        <w:rPr>
          <w:rFonts w:cs="Times New Roman" w:ascii="Baskerville Old Face" w:hAnsi="Baskerville Old Face"/>
          <w:i/>
          <w:lang w:val="en-GB"/>
        </w:rPr>
        <w:t>Catalogi Bibliothecarum Antiqui</w:t>
      </w:r>
      <w:r>
        <w:rPr>
          <w:rFonts w:cs="Times New Roman" w:ascii="Baskerville Old Face" w:hAnsi="Baskerville Old Face"/>
          <w:lang w:val="en-GB"/>
        </w:rPr>
        <w:t xml:space="preserve">. Bonn: M. Cohen et filium, 1885.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Bencivenga, Ermanno. </w:t>
      </w:r>
      <w:r>
        <w:rPr>
          <w:rFonts w:cs="Times New Roman" w:ascii="Baskerville Old Face" w:hAnsi="Baskerville Old Face"/>
          <w:i/>
          <w:lang w:val="en-GB"/>
        </w:rPr>
        <w:t>Logic and Other Nonsense: The Case of Anselm and His God.</w:t>
      </w:r>
      <w:r>
        <w:rPr>
          <w:rFonts w:cs="Times New Roman" w:ascii="Baskerville Old Face" w:hAnsi="Baskerville Old Face"/>
          <w:lang w:val="en-GB"/>
        </w:rPr>
        <w:t xml:space="preserve"> Princeton: Princeton University Press, 1993.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Boethius. </w:t>
      </w:r>
      <w:r>
        <w:rPr>
          <w:rFonts w:cs="Times New Roman" w:ascii="Baskerville Old Face" w:hAnsi="Baskerville Old Face"/>
          <w:i/>
          <w:lang w:val="en-GB"/>
        </w:rPr>
        <w:t>De Differentiis Topicis</w:t>
      </w:r>
      <w:r>
        <w:rPr>
          <w:rFonts w:cs="Times New Roman" w:ascii="Baskerville Old Face" w:hAnsi="Baskerville Old Face"/>
          <w:lang w:val="en-GB"/>
        </w:rPr>
        <w:t xml:space="preserve">. In </w:t>
      </w:r>
      <w:r>
        <w:rPr>
          <w:rFonts w:cs="Times New Roman" w:ascii="Baskerville Old Face" w:hAnsi="Baskerville Old Face"/>
          <w:i/>
          <w:lang w:val="en-GB"/>
        </w:rPr>
        <w:t>PL 64</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1173-1216. [</w:t>
      </w:r>
      <w:r>
        <w:rPr>
          <w:rFonts w:cs="Times New Roman" w:ascii="Baskerville Old Face" w:hAnsi="Baskerville Old Face"/>
          <w:i/>
          <w:lang w:val="en-GB"/>
        </w:rPr>
        <w:t>BDT</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w:t>
      </w:r>
      <w:r>
        <w:rPr>
          <w:rFonts w:cs="Times New Roman" w:ascii="Baskerville Old Face" w:hAnsi="Baskerville Old Face"/>
          <w:i/>
          <w:lang w:val="en-GB"/>
        </w:rPr>
        <w:t>In Categorias Aristotelis libri quatuor</w:t>
      </w:r>
      <w:r>
        <w:rPr>
          <w:rFonts w:cs="Times New Roman" w:ascii="Baskerville Old Face" w:hAnsi="Baskerville Old Face"/>
          <w:lang w:val="en-GB"/>
        </w:rPr>
        <w:t xml:space="preserve">. In </w:t>
      </w:r>
      <w:r>
        <w:rPr>
          <w:rFonts w:cs="Times New Roman" w:ascii="Baskerville Old Face" w:hAnsi="Baskerville Old Face"/>
          <w:i/>
          <w:lang w:val="en-GB"/>
        </w:rPr>
        <w:t>PL</w:t>
      </w:r>
      <w:r>
        <w:rPr>
          <w:rFonts w:cs="Times New Roman" w:ascii="Baskerville Old Face" w:hAnsi="Baskerville Old Face"/>
          <w:lang w:val="en-GB"/>
        </w:rPr>
        <w:t xml:space="preserve"> 64, 159-254. [</w:t>
      </w:r>
      <w:r>
        <w:rPr>
          <w:rFonts w:cs="Times New Roman" w:ascii="Baskerville Old Face" w:hAnsi="Baskerville Old Face"/>
          <w:i/>
          <w:lang w:val="en-GB"/>
        </w:rPr>
        <w:t>BC</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In Librum Aristotelis De Interpretatione Libri Duo</w:t>
      </w:r>
      <w:r>
        <w:rPr>
          <w:rFonts w:cs="Times New Roman" w:ascii="Baskerville Old Face" w:hAnsi="Baskerville Old Face"/>
          <w:lang w:val="en-GB"/>
        </w:rPr>
        <w:t xml:space="preserve">. </w:t>
      </w:r>
      <w:r>
        <w:rPr>
          <w:rFonts w:cs="Times New Roman" w:ascii="Baskerville Old Face" w:hAnsi="Baskerville Old Face"/>
          <w:i/>
          <w:lang w:val="en-GB"/>
        </w:rPr>
        <w:t xml:space="preserve">Editio Prima, Seu Minora Commentaria. </w:t>
      </w:r>
      <w:r>
        <w:rPr>
          <w:rFonts w:cs="Times New Roman" w:ascii="Baskerville Old Face" w:hAnsi="Baskerville Old Face"/>
          <w:lang w:val="en-GB"/>
        </w:rPr>
        <w:t xml:space="preserve">In </w:t>
      </w:r>
      <w:r>
        <w:rPr>
          <w:rFonts w:cs="Times New Roman" w:ascii="Baskerville Old Face" w:hAnsi="Baskerville Old Face"/>
          <w:i/>
          <w:lang w:val="en-GB"/>
        </w:rPr>
        <w:t xml:space="preserve">PL </w:t>
      </w:r>
      <w:r>
        <w:rPr>
          <w:rFonts w:cs="Times New Roman" w:ascii="Baskerville Old Face" w:hAnsi="Baskerville Old Face"/>
          <w:lang w:val="en-GB"/>
        </w:rPr>
        <w:t>64, 293-392. [</w:t>
      </w:r>
      <w:r>
        <w:rPr>
          <w:rFonts w:cs="Times New Roman" w:ascii="Baskerville Old Face" w:hAnsi="Baskerville Old Face"/>
          <w:i/>
          <w:lang w:val="en-GB"/>
        </w:rPr>
        <w:t>BDIL</w:t>
      </w:r>
      <w:r>
        <w:rPr>
          <w:rFonts w:cs="Times New Roman" w:ascii="Baskerville Old Face" w:hAnsi="Baskerville Old Face"/>
          <w:lang w:val="en-GB"/>
        </w:rPr>
        <w:t xml:space="preserve">] </w:t>
      </w:r>
    </w:p>
    <w:p>
      <w:pPr>
        <w:pStyle w:val="Standard"/>
        <w:bidi w:val="0"/>
        <w:spacing w:lineRule="auto" w:line="480" w:before="0" w:after="160"/>
        <w:ind w:left="720" w:hanging="720"/>
        <w:jc w:val="both"/>
        <w:rPr>
          <w:lang w:val="en-GB"/>
        </w:rPr>
      </w:pPr>
      <w:r>
        <w:rPr>
          <w:rFonts w:ascii="Baskerville Old Face" w:hAnsi="Baskerville Old Face"/>
          <w:u w:val="single"/>
          <w:lang w:val="en-GB"/>
        </w:rPr>
        <w:tab/>
      </w:r>
      <w:r>
        <w:rPr>
          <w:rFonts w:ascii="Baskerville Old Face" w:hAnsi="Baskerville Old Face"/>
          <w:u w:val="none"/>
          <w:lang w:val="en-GB"/>
        </w:rPr>
        <w:t xml:space="preserve">. </w:t>
      </w:r>
      <w:r>
        <w:rPr>
          <w:rFonts w:ascii="Baskerville Old Face" w:hAnsi="Baskerville Old Face"/>
          <w:i/>
          <w:iCs/>
          <w:u w:val="none"/>
          <w:lang w:val="en-GB"/>
        </w:rPr>
        <w:t>Commentarii in Librum Aristotelis Peri Hermeneias. Pars Posterior</w:t>
      </w:r>
      <w:r>
        <w:rPr>
          <w:rFonts w:ascii="Baskerville Old Face" w:hAnsi="Baskerville Old Face"/>
          <w:i w:val="false"/>
          <w:iCs w:val="false"/>
          <w:u w:val="none"/>
          <w:lang w:val="en-GB"/>
        </w:rPr>
        <w:t>. Edited by Karl Meiser. Leipzig: Teubner, 1880. [</w:t>
      </w:r>
      <w:r>
        <w:rPr>
          <w:rFonts w:ascii="Baskerville Old Face" w:hAnsi="Baskerville Old Face"/>
          <w:i/>
          <w:iCs/>
          <w:u w:val="none"/>
          <w:lang w:val="en-GB"/>
        </w:rPr>
        <w:t>BDIG</w:t>
      </w:r>
      <w:r>
        <w:rPr>
          <w:rFonts w:ascii="Baskerville Old Face" w:hAnsi="Baskerville Old Face"/>
          <w:i w:val="false"/>
          <w:iCs w:val="false"/>
          <w:u w:val="non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In Topica Ciceronis Commentariorum Libri Sex</w:t>
      </w:r>
      <w:r>
        <w:rPr>
          <w:rFonts w:cs="Times New Roman" w:ascii="Baskerville Old Face" w:hAnsi="Baskerville Old Face"/>
          <w:lang w:val="en-GB"/>
        </w:rPr>
        <w:t xml:space="preserve">. In </w:t>
      </w:r>
      <w:r>
        <w:rPr>
          <w:rFonts w:cs="Times New Roman" w:ascii="Baskerville Old Face" w:hAnsi="Baskerville Old Face"/>
          <w:i/>
          <w:lang w:val="en-GB"/>
        </w:rPr>
        <w:t xml:space="preserve">PL </w:t>
      </w:r>
      <w:r>
        <w:rPr>
          <w:rFonts w:cs="Times New Roman" w:ascii="Baskerville Old Face" w:hAnsi="Baskerville Old Face"/>
          <w:lang w:val="en-GB"/>
        </w:rPr>
        <w:t>64, 1039-1174. [</w:t>
      </w:r>
      <w:r>
        <w:rPr>
          <w:rFonts w:cs="Times New Roman" w:ascii="Baskerville Old Face" w:hAnsi="Baskerville Old Face"/>
          <w:i/>
          <w:lang w:val="en-GB"/>
        </w:rPr>
        <w:t>BTC</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Commentaria In Porphyrium a se translatum</w:t>
      </w:r>
      <w:r>
        <w:rPr>
          <w:rFonts w:cs="Times New Roman" w:ascii="Baskerville Old Face" w:hAnsi="Baskerville Old Face"/>
          <w:lang w:val="en-GB"/>
        </w:rPr>
        <w:t xml:space="preserve">. In </w:t>
      </w:r>
      <w:r>
        <w:rPr>
          <w:rFonts w:cs="Times New Roman" w:ascii="Baskerville Old Face" w:hAnsi="Baskerville Old Face"/>
          <w:i/>
          <w:lang w:val="en-GB"/>
        </w:rPr>
        <w:t>PL</w:t>
      </w:r>
      <w:r>
        <w:rPr>
          <w:rFonts w:cs="Times New Roman" w:ascii="Baskerville Old Face" w:hAnsi="Baskerville Old Face"/>
          <w:lang w:val="en-GB"/>
        </w:rPr>
        <w:t xml:space="preserve"> 64, 71-158. [</w:t>
      </w:r>
      <w:r>
        <w:rPr>
          <w:rFonts w:cs="Times New Roman" w:ascii="Baskerville Old Face" w:hAnsi="Baskerville Old Face"/>
          <w:i/>
          <w:lang w:val="en-GB"/>
        </w:rPr>
        <w:t>BCP</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val="false"/>
          <w:iCs w:val="false"/>
          <w:u w:val="none"/>
          <w:lang w:val="en-GB"/>
        </w:rPr>
        <w:t>Bonaventure.</w:t>
      </w:r>
      <w:r>
        <w:rPr>
          <w:rFonts w:cs="Times New Roman" w:ascii="Baskerville Old Face" w:hAnsi="Baskerville Old Face"/>
          <w:i/>
          <w:u w:val="none"/>
          <w:lang w:val="en-GB"/>
        </w:rPr>
        <w:t xml:space="preserve"> </w:t>
      </w:r>
      <w:r>
        <w:rPr>
          <w:rFonts w:cs="Times New Roman" w:ascii="Baskerville Old Face" w:hAnsi="Baskerville Old Face"/>
          <w:i/>
          <w:lang w:val="en-GB"/>
        </w:rPr>
        <w:t>Quaestiones Disputatae de Mysterio Trinitatis</w:t>
      </w:r>
      <w:r>
        <w:rPr>
          <w:rFonts w:cs="Times New Roman" w:ascii="Baskerville Old Face" w:hAnsi="Baskerville Old Face"/>
          <w:lang w:val="en-GB"/>
        </w:rPr>
        <w:t xml:space="preserve">. In </w:t>
      </w:r>
      <w:r>
        <w:rPr>
          <w:rFonts w:cs="Times New Roman" w:ascii="Baskerville Old Face" w:hAnsi="Baskerville Old Face"/>
          <w:i/>
          <w:lang w:val="en-GB"/>
        </w:rPr>
        <w:t>Opera Omnia</w:t>
      </w:r>
      <w:r>
        <w:rPr>
          <w:rFonts w:cs="Times New Roman" w:ascii="Baskerville Old Face" w:hAnsi="Baskerville Old Face"/>
          <w:lang w:val="en-GB"/>
        </w:rPr>
        <w:t>, tom. V.  Quaracchi, 1891.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Bosman, Bianca. ‘The Roots of the Notion of Containment in Theories of Consequence.’ </w:t>
      </w:r>
      <w:r>
        <w:rPr>
          <w:rFonts w:cs="Times New Roman" w:ascii="Baskerville Old Face" w:hAnsi="Baskerville Old Face"/>
          <w:i/>
          <w:iCs/>
          <w:lang w:val="en-GB"/>
        </w:rPr>
        <w:t xml:space="preserve">Vivarium </w:t>
      </w:r>
      <w:r>
        <w:rPr>
          <w:rFonts w:cs="Times New Roman" w:ascii="Baskerville Old Face" w:hAnsi="Baskerville Old Face"/>
          <w:i w:val="false"/>
          <w:iCs w:val="false"/>
          <w:lang w:val="en-GB"/>
        </w:rPr>
        <w:t>56 (2018): 63-72.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Cicero, Marcus Tullius. </w:t>
      </w:r>
      <w:r>
        <w:rPr>
          <w:rFonts w:cs="Times New Roman" w:ascii="Baskerville Old Face" w:hAnsi="Baskerville Old Face"/>
          <w:i/>
          <w:iCs/>
          <w:lang w:val="en-GB"/>
        </w:rPr>
        <w:t>Topica</w:t>
      </w:r>
      <w:r>
        <w:rPr>
          <w:rFonts w:cs="Times New Roman" w:ascii="Baskerville Old Face" w:hAnsi="Baskerville Old Face"/>
          <w:lang w:val="en-GB"/>
        </w:rPr>
        <w:t>. Edited and translated with an introduction and commentary by Tobias Reinhardt. Oxford: Oxford University Press, 2003. [</w:t>
      </w:r>
      <w:r>
        <w:rPr>
          <w:rFonts w:cs="Times New Roman" w:ascii="Baskerville Old Face" w:hAnsi="Baskerville Old Face"/>
          <w:i/>
          <w:iCs/>
          <w:lang w:val="en-GB"/>
        </w:rPr>
        <w:t>Topica</w:t>
      </w:r>
      <w:r>
        <w:rPr>
          <w:rFonts w:cs="Times New Roman" w:ascii="Baskerville Old Face" w:hAnsi="Baskerville Old Face"/>
          <w:lang w:val="en-GB"/>
        </w:rPr>
        <w:t>]</w:t>
      </w:r>
    </w:p>
    <w:p>
      <w:pPr>
        <w:pStyle w:val="Standard"/>
        <w:bidi w:val="0"/>
        <w:spacing w:lineRule="auto" w:line="480" w:before="0" w:after="160"/>
        <w:ind w:left="720" w:hanging="720"/>
        <w:jc w:val="both"/>
        <w:rPr>
          <w:lang w:val="en-GB"/>
        </w:rPr>
      </w:pPr>
      <w:r>
        <w:rPr>
          <w:rFonts w:cs="Times New Roman" w:ascii="Baskerville Old Face" w:hAnsi="Baskerville Old Face"/>
          <w:lang w:val="en-GB"/>
        </w:rPr>
        <w:t xml:space="preserve">Colish, Marcia L.. </w:t>
      </w:r>
      <w:r>
        <w:rPr>
          <w:rFonts w:cs="Times New Roman" w:ascii="Baskerville Old Face" w:hAnsi="Baskerville Old Face"/>
          <w:i/>
          <w:iCs/>
          <w:lang w:val="en-GB"/>
        </w:rPr>
        <w:t>The Stoic Tradition from Antiquity to the Early Middle Ages: Stoicism in classical Latin literature</w:t>
      </w:r>
      <w:r>
        <w:rPr>
          <w:rFonts w:cs="Times New Roman" w:ascii="Baskerville Old Face" w:hAnsi="Baskerville Old Face"/>
          <w:lang w:val="en-GB"/>
        </w:rPr>
        <w:t xml:space="preserve">. Leiden: E.J. Brill, 1990.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Eadmer. </w:t>
      </w:r>
      <w:r>
        <w:rPr>
          <w:rFonts w:cs="Times New Roman" w:ascii="Baskerville Old Face" w:hAnsi="Baskerville Old Face"/>
          <w:i/>
          <w:lang w:val="en-GB"/>
        </w:rPr>
        <w:t>Vita Anselmi</w:t>
      </w:r>
      <w:r>
        <w:rPr>
          <w:rFonts w:cs="Times New Roman" w:ascii="Baskerville Old Face" w:hAnsi="Baskerville Old Face"/>
          <w:lang w:val="en-GB"/>
        </w:rPr>
        <w:t xml:space="preserve">. In </w:t>
      </w:r>
      <w:r>
        <w:rPr>
          <w:rFonts w:cs="Times New Roman" w:ascii="Baskerville Old Face" w:hAnsi="Baskerville Old Face"/>
          <w:i/>
          <w:lang w:val="en-GB"/>
        </w:rPr>
        <w:t xml:space="preserve">PL </w:t>
      </w:r>
      <w:r>
        <w:rPr>
          <w:rFonts w:cs="Times New Roman" w:ascii="Baskerville Old Face" w:hAnsi="Baskerville Old Face"/>
          <w:lang w:val="en-GB"/>
        </w:rPr>
        <w:t>158, 49-118. [</w:t>
      </w:r>
      <w:r>
        <w:rPr>
          <w:rFonts w:cs="Times New Roman" w:ascii="Baskerville Old Face" w:hAnsi="Baskerville Old Face"/>
          <w:i/>
          <w:lang w:val="en-GB"/>
        </w:rPr>
        <w:t>VA</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Gasper, Giles. </w:t>
      </w:r>
      <w:r>
        <w:rPr>
          <w:rFonts w:cs="Times New Roman" w:ascii="Baskerville Old Face" w:hAnsi="Baskerville Old Face"/>
          <w:i/>
          <w:lang w:val="en-GB"/>
        </w:rPr>
        <w:t>Anselm of Canterbury and his Theological Inheritance.</w:t>
      </w:r>
      <w:r>
        <w:rPr>
          <w:rFonts w:cs="Times New Roman" w:ascii="Baskerville Old Face" w:hAnsi="Baskerville Old Face"/>
          <w:lang w:val="en-GB"/>
        </w:rPr>
        <w:t xml:space="preserve"> Aldershot: Ashgate, 2004.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Gaunilo. </w:t>
      </w:r>
      <w:r>
        <w:rPr>
          <w:rFonts w:cs="Times New Roman" w:ascii="Baskerville Old Face" w:hAnsi="Baskerville Old Face"/>
          <w:i/>
          <w:iCs/>
          <w:lang w:val="en-GB"/>
        </w:rPr>
        <w:t xml:space="preserve">Liber pro insipiente adversus S. Anselmi in proslogio ratiocinationem. </w:t>
      </w:r>
      <w:r>
        <w:rPr>
          <w:rFonts w:cs="Times New Roman" w:ascii="Baskerville Old Face" w:hAnsi="Baskerville Old Face"/>
          <w:lang w:val="en-GB"/>
        </w:rPr>
        <w:t>[</w:t>
      </w:r>
      <w:r>
        <w:rPr>
          <w:rFonts w:cs="Times New Roman" w:ascii="Baskerville Old Face" w:hAnsi="Baskerville Old Face"/>
          <w:i/>
          <w:iCs/>
          <w:lang w:val="en-GB"/>
        </w:rPr>
        <w:t>Pro Ins.</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Gilson, Etienne. </w:t>
      </w:r>
      <w:r>
        <w:rPr>
          <w:rFonts w:cs="Times New Roman" w:ascii="Baskerville Old Face" w:hAnsi="Baskerville Old Face"/>
          <w:i/>
          <w:lang w:val="en-GB"/>
        </w:rPr>
        <w:t>Reason and Revelation in the Middle Ages.</w:t>
      </w:r>
      <w:r>
        <w:rPr>
          <w:rFonts w:cs="Times New Roman" w:ascii="Baskerville Old Face" w:hAnsi="Baskerville Old Face"/>
          <w:lang w:val="en-GB"/>
        </w:rPr>
        <w:t xml:space="preserve"> New York: Scribner, 1951.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Green-Pedersen, Niels J. </w:t>
      </w:r>
      <w:r>
        <w:rPr>
          <w:rFonts w:cs="Times New Roman" w:ascii="Baskerville Old Face" w:hAnsi="Baskerville Old Face"/>
          <w:i/>
          <w:iCs/>
          <w:lang w:val="en-GB"/>
        </w:rPr>
        <w:t>The Tradition of the Topics in the Middle Ages: Commentaries on Aristotle's and Boethius' 'Topics'.</w:t>
      </w:r>
      <w:r>
        <w:rPr>
          <w:rFonts w:cs="Times New Roman" w:ascii="Baskerville Old Face" w:hAnsi="Baskerville Old Face"/>
          <w:lang w:val="en-GB"/>
        </w:rPr>
        <w:t xml:space="preserve"> Munich: Philosophia Verlag, 1984.</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Henry, Desmond Paul. </w:t>
      </w:r>
      <w:r>
        <w:rPr>
          <w:rFonts w:cs="Times New Roman" w:ascii="Baskerville Old Face" w:hAnsi="Baskerville Old Face"/>
          <w:i/>
          <w:lang w:val="en-GB"/>
        </w:rPr>
        <w:t>Commentary on De Grammatico: The Historical-Logical Dimensions of a Dialogue of St. Anselm’s.</w:t>
      </w:r>
      <w:r>
        <w:rPr>
          <w:rFonts w:cs="Times New Roman" w:ascii="Baskerville Old Face" w:hAnsi="Baskerville Old Face"/>
          <w:lang w:val="en-GB"/>
        </w:rPr>
        <w:t xml:space="preserve"> Dordrecht: D. Reidel, 1974.</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Hine, H. M. ‘The Manuscript Tradition of Seneca’s Natural Questions: Some Manuscripts Related to Z.’ </w:t>
      </w:r>
      <w:r>
        <w:rPr>
          <w:rFonts w:cs="Times New Roman" w:ascii="Baskerville Old Face" w:hAnsi="Baskerville Old Face"/>
          <w:i/>
          <w:iCs/>
          <w:lang w:val="en-GB"/>
        </w:rPr>
        <w:t xml:space="preserve">Promethius </w:t>
      </w:r>
      <w:r>
        <w:rPr>
          <w:rFonts w:cs="Times New Roman" w:ascii="Baskerville Old Face" w:hAnsi="Baskerville Old Face"/>
          <w:i w:val="false"/>
          <w:iCs w:val="false"/>
          <w:lang w:val="en-GB"/>
        </w:rPr>
        <w:t>5 (1979): 63-72.</w:t>
      </w:r>
    </w:p>
    <w:p>
      <w:pPr>
        <w:pStyle w:val="Standard"/>
        <w:bidi w:val="0"/>
        <w:spacing w:lineRule="auto" w:line="480" w:before="0" w:after="160"/>
        <w:ind w:left="720" w:hanging="720"/>
        <w:jc w:val="both"/>
        <w:rPr>
          <w:lang w:val="en-GB"/>
        </w:rPr>
      </w:pPr>
      <w:r>
        <w:rPr>
          <w:rFonts w:ascii="Baskerville Old Face" w:hAnsi="Baskerville Old Face"/>
          <w:u w:val="single"/>
          <w:lang w:val="en-GB"/>
        </w:rPr>
        <w:tab/>
      </w:r>
      <w:r>
        <w:rPr>
          <w:rFonts w:ascii="Baskerville Old Face" w:hAnsi="Baskerville Old Face"/>
          <w:u w:val="none"/>
          <w:lang w:val="en-GB"/>
        </w:rPr>
        <w:t xml:space="preserve">. ‘The Manuscript Tradition of Seneca’s Natural Questions: Addenda.’ </w:t>
      </w:r>
      <w:r>
        <w:rPr>
          <w:rFonts w:ascii="Baskerville Old Face" w:hAnsi="Baskerville Old Face"/>
          <w:i/>
          <w:iCs/>
          <w:u w:val="none"/>
          <w:lang w:val="en-GB"/>
        </w:rPr>
        <w:t xml:space="preserve">The Classical Quarterly </w:t>
      </w:r>
      <w:r>
        <w:rPr>
          <w:rFonts w:ascii="Baskerville Old Face" w:hAnsi="Baskerville Old Face"/>
          <w:i w:val="false"/>
          <w:iCs w:val="false"/>
          <w:u w:val="none"/>
          <w:lang w:val="en-GB"/>
        </w:rPr>
        <w:t>42, no. 2 (1992): 558-62. doi:10.1017/S0009838800016232.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Holopainen, Toivo. ‘Anselm’s </w:t>
      </w:r>
      <w:r>
        <w:rPr>
          <w:rFonts w:cs="Times New Roman" w:ascii="Baskerville Old Face" w:hAnsi="Baskerville Old Face"/>
          <w:i/>
          <w:lang w:val="en-GB"/>
        </w:rPr>
        <w:t>Argumentum</w:t>
      </w:r>
      <w:r>
        <w:rPr>
          <w:rFonts w:cs="Times New Roman" w:ascii="Baskerville Old Face" w:hAnsi="Baskerville Old Face"/>
          <w:lang w:val="en-GB"/>
        </w:rPr>
        <w:t xml:space="preserve"> and the Early Medieval Theory of Argument.’ </w:t>
      </w:r>
      <w:r>
        <w:rPr>
          <w:rFonts w:cs="Times New Roman" w:ascii="Baskerville Old Face" w:hAnsi="Baskerville Old Face"/>
          <w:i/>
          <w:lang w:val="en-GB"/>
        </w:rPr>
        <w:t xml:space="preserve">Vivarium </w:t>
      </w:r>
      <w:r>
        <w:rPr>
          <w:rFonts w:cs="Times New Roman" w:ascii="Baskerville Old Face" w:hAnsi="Baskerville Old Face"/>
          <w:lang w:val="en-GB"/>
        </w:rPr>
        <w:t>45 (2007): 1-29.</w:t>
      </w:r>
    </w:p>
    <w:p>
      <w:pPr>
        <w:pStyle w:val="Standard"/>
        <w:spacing w:lineRule="auto" w:line="480" w:before="0" w:after="160"/>
        <w:ind w:left="720" w:hanging="720"/>
        <w:jc w:val="both"/>
        <w:rPr>
          <w:lang w:val="en-GB"/>
        </w:rPr>
      </w:pPr>
      <w:r>
        <w:rPr>
          <w:rFonts w:eastAsia="Times New Roman" w:cs="Times New Roman" w:ascii="Baskerville Old Face" w:hAnsi="Baskerville Old Face"/>
          <w:lang w:val="en-GB"/>
        </w:rPr>
        <w:t>Klima, Gyula</w:t>
      </w:r>
      <w:r>
        <w:rPr>
          <w:rFonts w:cs="Times New Roman" w:ascii="Baskerville Old Face" w:hAnsi="Baskerville Old Face"/>
          <w:lang w:val="en-GB"/>
        </w:rPr>
        <w:t xml:space="preserve">. ‘The Medieval Problem of Universals,’ </w:t>
      </w:r>
      <w:r>
        <w:rPr>
          <w:rFonts w:cs="Times New Roman" w:ascii="Baskerville Old Face" w:hAnsi="Baskerville Old Face"/>
          <w:i/>
          <w:lang w:val="en-GB"/>
        </w:rPr>
        <w:t xml:space="preserve">The Stanford Encyclopedia of Philosophy </w:t>
      </w:r>
      <w:r>
        <w:rPr>
          <w:rFonts w:cs="Times New Roman" w:ascii="Baskerville Old Face" w:hAnsi="Baskerville Old Face"/>
          <w:lang w:val="en-GB"/>
        </w:rPr>
        <w:t>(Fall 2013 edition). Edited by Edward N. Zalta. URL = http://plato.stanford.edu/archives/fall2013/entries/universals-medieval/&gt;.</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‘Two Summulae, Two Ways of Doing Logic: Peter of Spain’s ‘realism’ and John Buridan’s ‘nominalism’.’ in </w:t>
      </w:r>
      <w:r>
        <w:rPr>
          <w:rFonts w:cs="Times New Roman" w:ascii="Baskerville Old Face" w:hAnsi="Baskerville Old Face"/>
          <w:i/>
          <w:lang w:val="en-GB"/>
        </w:rPr>
        <w:t>Methods and Methodologies: Aristotelian logic East and West, 500-1500</w:t>
      </w:r>
      <w:r>
        <w:rPr>
          <w:rFonts w:cs="Times New Roman" w:ascii="Baskerville Old Face" w:hAnsi="Baskerville Old Face"/>
          <w:lang w:val="en-GB"/>
        </w:rPr>
        <w:t xml:space="preserve">, edited by Margaret Cameron and John Marenbon, 109-126. Leiden: Brill, 2011. </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‘Saint Anselm’s Proof: A Problem of Reference, Intentional Identity and Mutual Understanding,’ in </w:t>
      </w:r>
      <w:r>
        <w:rPr>
          <w:rFonts w:cs="Times New Roman" w:ascii="Baskerville Old Face" w:hAnsi="Baskerville Old Face"/>
          <w:i/>
          <w:lang w:val="en-GB"/>
        </w:rPr>
        <w:t>Medieval Philosophy and Modern Times</w:t>
      </w:r>
      <w:r>
        <w:rPr>
          <w:rFonts w:cs="Times New Roman" w:ascii="Baskerville Old Face" w:hAnsi="Baskerville Old Face"/>
          <w:lang w:val="en-GB"/>
        </w:rPr>
        <w:t>, edited by</w:t>
      </w:r>
      <w:r>
        <w:rPr>
          <w:rFonts w:cs="Times New Roman" w:ascii="Baskerville Old Face" w:hAnsi="Baskerville Old Face"/>
          <w:i/>
          <w:lang w:val="en-GB"/>
        </w:rPr>
        <w:t xml:space="preserve"> </w:t>
      </w:r>
      <w:r>
        <w:rPr>
          <w:rFonts w:cs="Times New Roman" w:ascii="Baskerville Old Face" w:hAnsi="Baskerville Old Face"/>
          <w:lang w:val="en-GB"/>
        </w:rPr>
        <w:t xml:space="preserve">G. Hintikka, 69-87. The Netherlands: Kluwer, 2000. </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w:t>
      </w:r>
      <w:r>
        <w:rPr>
          <w:rFonts w:cs="Times New Roman" w:ascii="Baskerville Old Face" w:hAnsi="Baskerville Old Face"/>
          <w:i/>
          <w:lang w:val="en-GB"/>
        </w:rPr>
        <w:t>Ancilla Theologiae</w:t>
      </w:r>
      <w:r>
        <w:rPr>
          <w:rFonts w:cs="Times New Roman" w:ascii="Baskerville Old Face" w:hAnsi="Baskerville Old Face"/>
          <w:lang w:val="en-GB"/>
        </w:rPr>
        <w:t xml:space="preserve"> vs. </w:t>
      </w:r>
      <w:r>
        <w:rPr>
          <w:rFonts w:cs="Times New Roman" w:ascii="Baskerville Old Face" w:hAnsi="Baskerville Old Face"/>
          <w:i/>
          <w:lang w:val="en-GB"/>
        </w:rPr>
        <w:t>Domina Philosophorum</w:t>
      </w:r>
      <w:r>
        <w:rPr>
          <w:rFonts w:cs="Times New Roman" w:ascii="Baskerville Old Face" w:hAnsi="Baskerville Old Face"/>
          <w:lang w:val="en-GB"/>
        </w:rPr>
        <w:t xml:space="preserve">: Thomas Aquinas, Latin Averroism, and the Autonomy of Philosophy.’ In </w:t>
      </w:r>
      <w:r>
        <w:rPr>
          <w:rFonts w:cs="Times New Roman" w:ascii="Baskerville Old Face" w:hAnsi="Baskerville Old Face"/>
          <w:i/>
          <w:lang w:val="en-GB"/>
        </w:rPr>
        <w:t>What is Philosophy in the Middle Ages? Proceedings of the Tenth International Congress of Medieval Philosophy</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edited</w:t>
      </w:r>
      <w:r>
        <w:rPr>
          <w:rFonts w:cs="Times New Roman" w:ascii="Baskerville Old Face" w:hAnsi="Baskerville Old Face"/>
          <w:i/>
          <w:lang w:val="en-GB"/>
        </w:rPr>
        <w:t xml:space="preserve"> </w:t>
      </w:r>
      <w:r>
        <w:rPr>
          <w:rFonts w:cs="Times New Roman" w:ascii="Baskerville Old Face" w:hAnsi="Baskerville Old Face"/>
          <w:lang w:val="en-GB"/>
        </w:rPr>
        <w:t>by J. Aertsen and A. Speer, 393-402. Berlin: Walter de Gruyter, 1998.</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Leff, Michael C. ‘Boethius and the History of Medieval Rhetoric.’ </w:t>
      </w:r>
      <w:r>
        <w:rPr>
          <w:rFonts w:cs="Times New Roman" w:ascii="Baskerville Old Face" w:hAnsi="Baskerville Old Face"/>
          <w:i/>
          <w:lang w:val="en-GB"/>
        </w:rPr>
        <w:t>Central States Speech Journal</w:t>
      </w:r>
      <w:r>
        <w:rPr>
          <w:rFonts w:cs="Times New Roman" w:ascii="Baskerville Old Face" w:hAnsi="Baskerville Old Face"/>
          <w:lang w:val="en-GB"/>
        </w:rPr>
        <w:t xml:space="preserve"> 25 (1974): 135-141.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Migne, J. P. (1841-55). </w:t>
      </w:r>
      <w:r>
        <w:rPr>
          <w:rFonts w:cs="Times New Roman" w:ascii="Baskerville Old Face" w:hAnsi="Baskerville Old Face"/>
          <w:i/>
          <w:lang w:val="en-GB"/>
        </w:rPr>
        <w:t>Patrologia Latina [PL]</w:t>
      </w:r>
      <w:r>
        <w:rPr>
          <w:rFonts w:cs="Times New Roman" w:ascii="Baskerville Old Face" w:hAnsi="Baskerville Old Face"/>
          <w:lang w:val="en-GB"/>
        </w:rPr>
        <w:t xml:space="preserve">.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Nelis, Suzanne J. ‘What Lanfranc Taught, What Anselm Learned.’ </w:t>
      </w:r>
      <w:r>
        <w:rPr>
          <w:rFonts w:cs="Times New Roman" w:ascii="Baskerville Old Face" w:hAnsi="Baskerville Old Face"/>
          <w:i/>
          <w:iCs/>
          <w:lang w:val="en-GB"/>
        </w:rPr>
        <w:t xml:space="preserve">Haskins Society Journal </w:t>
      </w:r>
      <w:r>
        <w:rPr>
          <w:rFonts w:cs="Times New Roman" w:ascii="Baskerville Old Face" w:hAnsi="Baskerville Old Face"/>
          <w:i w:val="false"/>
          <w:iCs w:val="false"/>
          <w:lang w:val="en-GB"/>
        </w:rPr>
        <w:t>2 (1990): 75-82.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Priscian of Caesarea. </w:t>
      </w:r>
      <w:r>
        <w:rPr>
          <w:rFonts w:cs="Times New Roman" w:ascii="Baskerville Old Face" w:hAnsi="Baskerville Old Face"/>
          <w:i/>
          <w:lang w:val="en-GB"/>
        </w:rPr>
        <w:t xml:space="preserve">Opera. </w:t>
      </w:r>
      <w:r>
        <w:rPr>
          <w:rFonts w:cs="Times New Roman" w:ascii="Baskerville Old Face" w:hAnsi="Baskerville Old Face"/>
          <w:lang w:val="en-GB"/>
        </w:rPr>
        <w:t xml:space="preserve">Edited by August Krehl. Leipzig: Weidmann, 1819-20.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Remigius of Auxerre. </w:t>
      </w:r>
      <w:r>
        <w:rPr>
          <w:rFonts w:cs="Times New Roman" w:ascii="Baskerville Old Face" w:hAnsi="Baskerville Old Face"/>
          <w:i/>
          <w:lang w:val="en-GB"/>
        </w:rPr>
        <w:t>Commentum in Martianum Capellam, Libri I-II</w:t>
      </w:r>
      <w:r>
        <w:rPr>
          <w:rFonts w:cs="Times New Roman" w:ascii="Baskerville Old Face" w:hAnsi="Baskerville Old Face"/>
          <w:lang w:val="en-GB"/>
        </w:rPr>
        <w:t>. Edited by Cora E. Lutz. Leiden: Brill, 1962.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Scotus, John Duns. </w:t>
      </w:r>
      <w:r>
        <w:rPr>
          <w:rFonts w:cs="Times New Roman" w:ascii="Baskerville Old Face" w:hAnsi="Baskerville Old Face"/>
          <w:i/>
          <w:lang w:val="en-GB"/>
        </w:rPr>
        <w:t>A Treatise on God as First Principle</w:t>
      </w:r>
      <w:r>
        <w:rPr>
          <w:rFonts w:cs="Times New Roman" w:ascii="Baskerville Old Face" w:hAnsi="Baskerville Old Face"/>
          <w:lang w:val="en-GB"/>
        </w:rPr>
        <w:t xml:space="preserve">. Translated by A. B. Wolter. Chicago: Franciscan Herald Press, 1966. </w:t>
      </w:r>
    </w:p>
    <w:p>
      <w:pPr>
        <w:pStyle w:val="Standard"/>
        <w:bidi w:val="0"/>
        <w:spacing w:lineRule="auto" w:line="480" w:before="0" w:after="160"/>
        <w:ind w:left="720" w:hanging="720"/>
        <w:jc w:val="both"/>
        <w:rPr>
          <w:lang w:val="en-GB"/>
        </w:rPr>
      </w:pPr>
      <w:r>
        <w:rPr>
          <w:rFonts w:cs="Times New Roman" w:ascii="Baskerville Old Face" w:hAnsi="Baskerville Old Face"/>
          <w:i w:val="false"/>
          <w:iCs w:val="false"/>
          <w:u w:val="none"/>
          <w:lang w:val="en-GB"/>
        </w:rPr>
        <w:t xml:space="preserve">Smith, Andrew (trans.). </w:t>
      </w:r>
      <w:r>
        <w:rPr>
          <w:rFonts w:cs="Times New Roman" w:ascii="Baskerville Old Face" w:hAnsi="Baskerville Old Face"/>
          <w:i/>
          <w:iCs/>
          <w:u w:val="none"/>
          <w:lang w:val="en-GB"/>
        </w:rPr>
        <w:t xml:space="preserve">Boethius: </w:t>
      </w:r>
      <w:r>
        <w:rPr>
          <w:rFonts w:cs="Times New Roman" w:ascii="Baskerville Old Face" w:hAnsi="Baskerville Old Face"/>
          <w:i/>
          <w:iCs/>
          <w:lang w:val="en-GB"/>
        </w:rPr>
        <w:t>On Aristotle On Interpretation 1-3</w:t>
      </w:r>
      <w:r>
        <w:rPr>
          <w:rFonts w:cs="Times New Roman" w:ascii="Baskerville Old Face" w:hAnsi="Baskerville Old Face"/>
          <w:lang w:val="en-GB"/>
        </w:rPr>
        <w:t xml:space="preserve">. London: Bloomsbury Academic, 2010. </w:t>
      </w:r>
    </w:p>
    <w:p>
      <w:pPr>
        <w:pStyle w:val="Standard"/>
        <w:spacing w:lineRule="auto" w:line="480" w:before="0" w:after="160"/>
        <w:ind w:left="720" w:hanging="720"/>
        <w:jc w:val="both"/>
        <w:rPr>
          <w:lang w:val="en-GB"/>
        </w:rPr>
      </w:pPr>
      <w:r>
        <w:rPr>
          <w:rFonts w:cs="Times New Roman" w:ascii="Baskerville Old Face" w:hAnsi="Baskerville Old Face"/>
          <w:lang w:val="en-GB"/>
        </w:rPr>
        <w:t>Southern, R. W. ‘</w:t>
      </w:r>
      <w:r>
        <w:rPr>
          <w:rFonts w:cs="Times New Roman" w:ascii="Baskerville Old Face" w:hAnsi="Baskerville Old Face"/>
          <w:i w:val="false"/>
          <w:iCs w:val="false"/>
          <w:lang w:val="en-GB"/>
        </w:rPr>
        <w:t xml:space="preserve">Lanfranc of Bec and Berengar of Tours.’ </w:t>
      </w:r>
      <w:r>
        <w:rPr>
          <w:rFonts w:cs="Times New Roman" w:ascii="Baskerville Old Face" w:hAnsi="Baskerville Old Face"/>
          <w:i/>
          <w:iCs/>
          <w:lang w:val="en-GB"/>
        </w:rPr>
        <w:t>Studies in medieval history presented to Frederick Maurice Powicke</w:t>
      </w:r>
      <w:r>
        <w:rPr>
          <w:rFonts w:cs="Times New Roman" w:ascii="Baskerville Old Face" w:hAnsi="Baskerville Old Face"/>
          <w:i w:val="false"/>
          <w:iCs w:val="false"/>
          <w:lang w:val="en-GB"/>
        </w:rPr>
        <w:t xml:space="preserve"> (1948): 27-48.</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Southern, R. W. </w:t>
      </w:r>
      <w:r>
        <w:rPr>
          <w:rFonts w:cs="Times New Roman" w:ascii="Baskerville Old Face" w:hAnsi="Baskerville Old Face"/>
          <w:i/>
          <w:lang w:val="en-GB"/>
        </w:rPr>
        <w:t>Saint Anselm and His Biographer: A Study of Monastic Life and Thought.</w:t>
      </w:r>
      <w:r>
        <w:rPr>
          <w:rFonts w:cs="Times New Roman" w:ascii="Baskerville Old Face" w:hAnsi="Baskerville Old Face"/>
          <w:lang w:val="en-GB"/>
        </w:rPr>
        <w:t xml:space="preserve"> Cambridge: Cambridge University Press, 1963.</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Sweeney, Eileen C. </w:t>
      </w:r>
      <w:r>
        <w:rPr>
          <w:rFonts w:cs="Times New Roman" w:ascii="Baskerville Old Face" w:hAnsi="Baskerville Old Face"/>
          <w:bCs/>
          <w:i/>
          <w:lang w:val="en-GB"/>
        </w:rPr>
        <w:t xml:space="preserve">Anselm of Canterbury and the Desire for the Word. </w:t>
      </w:r>
      <w:r>
        <w:rPr>
          <w:rFonts w:cs="Times New Roman" w:ascii="Baskerville Old Face" w:hAnsi="Baskerville Old Face"/>
          <w:bCs/>
          <w:lang w:val="en-GB"/>
        </w:rPr>
        <w:t>Washington, DC: CUA Press, 2012.</w:t>
      </w:r>
    </w:p>
    <w:p>
      <w:pPr>
        <w:pStyle w:val="Standard"/>
        <w:spacing w:lineRule="auto" w:line="480" w:before="0" w:after="160"/>
        <w:ind w:left="720" w:hanging="720"/>
        <w:jc w:val="both"/>
        <w:rPr>
          <w:lang w:val="en-GB"/>
        </w:rPr>
      </w:pPr>
      <w:r>
        <w:rPr>
          <w:rFonts w:cs="Times New Roman" w:ascii="Baskerville Old Face" w:hAnsi="Baskerville Old Face"/>
          <w:bCs/>
          <w:u w:val="single"/>
          <w:lang w:val="en-GB"/>
        </w:rPr>
        <w:tab/>
      </w:r>
      <w:r>
        <w:rPr>
          <w:rFonts w:cs="Times New Roman" w:ascii="Baskerville Old Face" w:hAnsi="Baskerville Old Face"/>
          <w:bCs/>
          <w:lang w:val="en-GB"/>
        </w:rPr>
        <w:t xml:space="preserve">. ‘Anselm’s ‘Proslogion’: The Desire for the Word.’ </w:t>
      </w:r>
      <w:r>
        <w:rPr>
          <w:rFonts w:cs="Times New Roman" w:ascii="Baskerville Old Face" w:hAnsi="Baskerville Old Face"/>
          <w:bCs/>
          <w:i/>
          <w:lang w:val="en-GB"/>
        </w:rPr>
        <w:t xml:space="preserve">The Saint Anselm Journal </w:t>
      </w:r>
      <w:r>
        <w:rPr>
          <w:rFonts w:cs="Times New Roman" w:ascii="Baskerville Old Face" w:hAnsi="Baskerville Old Face"/>
          <w:bCs/>
          <w:lang w:val="en-GB"/>
        </w:rPr>
        <w:t>1 (2003): 17-31.</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Thomas Aquinas. </w:t>
      </w:r>
      <w:r>
        <w:rPr>
          <w:rFonts w:cs="Times New Roman" w:ascii="Baskerville Old Face" w:hAnsi="Baskerville Old Face"/>
          <w:bCs/>
          <w:i/>
          <w:iCs/>
          <w:lang w:val="en-GB"/>
        </w:rPr>
        <w:t>Summa Theologiae</w:t>
      </w:r>
      <w:r>
        <w:rPr>
          <w:rFonts w:cs="Times New Roman" w:ascii="Baskerville Old Face" w:hAnsi="Baskerville Old Face"/>
          <w:bCs/>
          <w:lang w:val="en-GB"/>
        </w:rPr>
        <w:t xml:space="preserve">, </w:t>
      </w:r>
      <w:r>
        <w:rPr>
          <w:rFonts w:cs="Times New Roman" w:ascii="Baskerville Old Face" w:hAnsi="Baskerville Old Face"/>
          <w:bCs/>
          <w:i/>
          <w:iCs/>
          <w:lang w:val="en-GB"/>
        </w:rPr>
        <w:t xml:space="preserve">Prima Pars. </w:t>
      </w:r>
      <w:r>
        <w:rPr>
          <w:rFonts w:cs="Times New Roman" w:ascii="Baskerville Old Face" w:hAnsi="Baskerville Old Face"/>
          <w:bCs/>
          <w:lang w:val="en-GB"/>
        </w:rPr>
        <w:t>Ottawa: Studii Generalis O. Pr., 1941.</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Wippel, John. F., and Allan B. Wolter, eds. </w:t>
      </w:r>
      <w:r>
        <w:rPr>
          <w:rFonts w:cs="Times New Roman" w:ascii="Baskerville Old Face" w:hAnsi="Baskerville Old Face"/>
          <w:bCs/>
          <w:i/>
          <w:lang w:val="en-GB"/>
        </w:rPr>
        <w:t>Medieval Philosophy: from St. Augustine to Nicholas of Cusa</w:t>
      </w:r>
      <w:r>
        <w:rPr>
          <w:rFonts w:cs="Times New Roman" w:ascii="Baskerville Old Face" w:hAnsi="Baskerville Old Face"/>
          <w:bCs/>
          <w:lang w:val="en-GB"/>
        </w:rPr>
        <w:t xml:space="preserve">. New York: The Free Press, 1969. </w:t>
      </w:r>
    </w:p>
    <w:sectPr>
      <w:footnotePr>
        <w:numFmt w:val="decimal"/>
      </w:footnote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Baskerville Old Face">
    <w:charset w:val="01"/>
    <w:family w:val="roman"/>
    <w:pitch w:val="variable"/>
  </w:font>
  <w:font w:name="Baskerville">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Sweeney 2012, 4-5. At ibid., 5-6, Sweeney cites Gilson and Barth as examples of ‘philosophizing’ and ‘spiritualizing’ interpretations of Anselm’s work. See Barth 1960, 55-59; Gilson 1951, 26.</w:t>
      </w:r>
    </w:p>
    <w:p>
      <w:pPr>
        <w:pStyle w:val="Footnote"/>
        <w:jc w:val="both"/>
        <w:rPr>
          <w:lang w:val="en-GB"/>
        </w:rPr>
      </w:pPr>
      <w:r>
        <w:rPr>
          <w:rFonts w:cs="Times New Roman" w:ascii="Baskerville Old Face" w:hAnsi="Baskerville Old Face"/>
          <w:lang w:val="en-GB"/>
        </w:rPr>
        <w:t xml:space="preserve">While Sweeney should be commended for drawing attention to this division, I do not think her work successfully transcends it. Sweeney sees Anselm’s thought as a </w:t>
      </w:r>
      <w:r>
        <w:rPr>
          <w:rFonts w:cs="Times New Roman" w:ascii="Baskerville Old Face" w:hAnsi="Baskerville Old Face"/>
          <w:i/>
          <w:iCs/>
          <w:lang w:val="en-GB"/>
        </w:rPr>
        <w:t>coincidentia oppositorum</w:t>
      </w:r>
      <w:r>
        <w:rPr>
          <w:rFonts w:cs="Times New Roman" w:ascii="Baskerville Old Face" w:hAnsi="Baskerville Old Face"/>
          <w:lang w:val="en-GB"/>
        </w:rPr>
        <w:t xml:space="preserve"> of logic and rhetoric, reason and desire. ‘Anselm’s project in the </w:t>
      </w:r>
      <w:r>
        <w:rPr>
          <w:rFonts w:cs="Times New Roman" w:ascii="Baskerville Old Face" w:hAnsi="Baskerville Old Face"/>
          <w:i/>
          <w:lang w:val="en-GB"/>
        </w:rPr>
        <w:t>Proslogion</w:t>
      </w:r>
      <w:r>
        <w:rPr>
          <w:rFonts w:cs="Times New Roman" w:ascii="Baskerville Old Face" w:hAnsi="Baskerville Old Face"/>
          <w:lang w:val="en-GB"/>
        </w:rPr>
        <w:t xml:space="preserve"> is one that Anselm himself views as both necessary and paradoxical’ (Sweeney 2003, 17). But such a reading merely entrenches the dichotomies and assumptions brought to the table by the above mentioned rival groups; the attempt to balance these opposing elements without questioning their internal content effects a mere reconfiguration of concepts, instead of leading to an improved understanding of those concepts. </w:t>
      </w:r>
    </w:p>
  </w:footnote>
  <w:footnote w:id="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To paint the situation a bit more accurately, what is studied is </w:t>
      </w:r>
      <w:r>
        <w:rPr>
          <w:rFonts w:cs="Times New Roman" w:ascii="Baskerville Old Face" w:hAnsi="Baskerville Old Face"/>
          <w:i/>
          <w:lang w:val="en-GB"/>
        </w:rPr>
        <w:t xml:space="preserve">theories of </w:t>
      </w:r>
      <w:r>
        <w:rPr>
          <w:rFonts w:cs="Times New Roman" w:ascii="Baskerville Old Face" w:hAnsi="Baskerville Old Face"/>
          <w:lang w:val="en-GB"/>
        </w:rPr>
        <w:t xml:space="preserve">mental content, thereby effecting a redoubling of the primacy of the subject putting forth these theories. </w:t>
      </w:r>
    </w:p>
  </w:footnote>
  <w:footnote w:id="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At least, this is how the story is told. For reasons to think the story isn’t quite as simple as its retelling, see Klima 1998.</w:t>
      </w:r>
    </w:p>
  </w:footnote>
  <w:footnote w:id="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Becker</w:t>
      </w:r>
      <w:r>
        <w:rPr>
          <w:rFonts w:cs="Times New Roman" w:ascii="Baskerville Old Face" w:hAnsi="Baskerville Old Face"/>
          <w:color w:val="FF0000"/>
          <w:lang w:val="en-GB"/>
        </w:rPr>
        <w:t xml:space="preserve"> </w:t>
      </w:r>
      <w:r>
        <w:rPr>
          <w:rFonts w:cs="Times New Roman" w:ascii="Baskerville Old Face" w:hAnsi="Baskerville Old Face"/>
          <w:lang w:val="en-GB"/>
        </w:rPr>
        <w:t>1885, 266</w:t>
      </w:r>
      <w:r>
        <w:rPr>
          <w:rFonts w:cs="Times New Roman" w:ascii="Baskerville Old Face" w:hAnsi="Baskerville Old Face"/>
          <w:b/>
          <w:lang w:val="en-GB"/>
        </w:rPr>
        <w:t>.</w:t>
      </w:r>
    </w:p>
  </w:footnote>
  <w:footnote w:id="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division of the work has some justification, since it is only the first two books of the </w:t>
      </w:r>
      <w:r>
        <w:rPr>
          <w:rFonts w:cs="Times New Roman" w:ascii="Baskerville Old Face" w:hAnsi="Baskerville Old Face"/>
          <w:i/>
          <w:lang w:val="en-GB"/>
        </w:rPr>
        <w:t xml:space="preserve">de nuptiis </w:t>
      </w:r>
      <w:r>
        <w:rPr>
          <w:rFonts w:cs="Times New Roman" w:ascii="Baskerville Old Face" w:hAnsi="Baskerville Old Face"/>
          <w:lang w:val="en-GB"/>
        </w:rPr>
        <w:t xml:space="preserve">that tell the myth of the marriage of the god Mercury to philology. Each of the remaining books introduces a personification of one of the liberal arts, expounding their content, in the following order: Grammar, Dialectic, Rhetoric, Geometry, Arithmetic, Astronomy, and Harmony, i.e. music. </w:t>
      </w:r>
    </w:p>
  </w:footnote>
  <w:footnote w:id="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The eight parts of speech are 1) nouns, 2) pronouns, 3) verbs, 4) adverbs, 5) participles, 6) conjunctions, 7) prepositions, and 8) interjections. Cf. Martianus Capella, lib. III, par. 279-88.</w:t>
      </w:r>
      <w:r>
        <w:rPr>
          <w:rFonts w:cs="Times New Roman" w:ascii="Baskerville Old Face" w:hAnsi="Baskerville Old Face"/>
          <w:color w:val="FF0000"/>
          <w:lang w:val="en-GB"/>
        </w:rPr>
        <w:t xml:space="preserve"> </w:t>
      </w:r>
      <w:r>
        <w:rPr>
          <w:rFonts w:cs="Times New Roman" w:ascii="Baskerville Old Face" w:hAnsi="Baskerville Old Face"/>
          <w:lang w:val="en-GB"/>
        </w:rPr>
        <w:t>In Priscian, each of these parts (with the exception of the interjection) is introduced by the formulaic phrase ‘</w:t>
      </w:r>
      <w:r>
        <w:rPr>
          <w:rFonts w:cs="Times New Roman" w:ascii="Baskerville Old Face" w:hAnsi="Baskerville Old Face"/>
          <w:i/>
          <w:lang w:val="en-GB"/>
        </w:rPr>
        <w:t>n</w:t>
      </w:r>
      <w:r>
        <w:rPr>
          <w:rFonts w:cs="Times New Roman" w:ascii="Baskerville Old Face" w:hAnsi="Baskerville Old Face"/>
          <w:lang w:val="en-GB"/>
        </w:rPr>
        <w:t xml:space="preserve"> est pars orationis…’, followed by a further specification: nouns in book two, verbs in book eight, participles in book eleven, pronouns in book twelve, prepositions in book fourteen, adverbs in book fifteen, conjunctions in book sixteen; the final two books of the work, books seventeen and eighteen, shift from treating parts of speech to treating constructions. </w:t>
      </w:r>
    </w:p>
  </w:footnote>
  <w:footnote w:id="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assumes that the reading ‘utraque rhetorica ii’ is taken in the composite sense, i.e. ‘both rhetorics, two [books] (total)’, rather than ‘both rhetorics, two books (each)’. If the latter reading is preferred, then a third possibility would be Cicero’s </w:t>
      </w:r>
      <w:r>
        <w:rPr>
          <w:rFonts w:cs="Times New Roman" w:ascii="Baskerville Old Face" w:hAnsi="Baskerville Old Face"/>
          <w:i/>
          <w:iCs/>
          <w:lang w:val="en-GB"/>
        </w:rPr>
        <w:t>De inventione</w:t>
      </w:r>
      <w:r>
        <w:rPr>
          <w:rFonts w:cs="Times New Roman" w:ascii="Baskerville Old Face" w:hAnsi="Baskerville Old Face"/>
          <w:i w:val="false"/>
          <w:iCs w:val="false"/>
          <w:lang w:val="en-GB"/>
        </w:rPr>
        <w:t xml:space="preserve">, which was in two books and also known as </w:t>
      </w:r>
      <w:r>
        <w:rPr>
          <w:rFonts w:cs="Times New Roman" w:ascii="Baskerville Old Face" w:hAnsi="Baskerville Old Face"/>
          <w:i/>
          <w:iCs/>
          <w:lang w:val="en-GB"/>
        </w:rPr>
        <w:t>Rhetorica libri</w:t>
      </w:r>
      <w:r>
        <w:rPr>
          <w:rFonts w:cs="Times New Roman" w:ascii="Baskerville Old Face" w:hAnsi="Baskerville Old Face"/>
          <w:i w:val="false"/>
          <w:iCs w:val="false"/>
          <w:lang w:val="en-GB"/>
        </w:rPr>
        <w:t>. I thank Ian Logan for this last point.</w:t>
      </w:r>
    </w:p>
  </w:footnote>
  <w:footnote w:id="9">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the middle ages, the first three books of the </w:t>
      </w:r>
      <w:r>
        <w:rPr>
          <w:rFonts w:cs="Times New Roman" w:ascii="Baskerville Old Face" w:hAnsi="Baskerville Old Face"/>
          <w:i/>
          <w:lang w:val="en-GB"/>
        </w:rPr>
        <w:t>De Differentiis Topicis</w:t>
      </w:r>
      <w:r>
        <w:rPr>
          <w:rFonts w:cs="Times New Roman" w:ascii="Baskerville Old Face" w:hAnsi="Baskerville Old Face"/>
          <w:lang w:val="en-GB"/>
        </w:rPr>
        <w:t xml:space="preserve"> were occasionally regarded as topically distinct from the fourth: the first three books were on dialectic, while the final book was on rhetorical theory (see Leff 1974). This distinction in how the material was viewed provided the impetus for treating the first three books as a single work, and occasionally for excluding the fourth from a codex (e.g. Orleans, Bib. Mun. 265; Tours, Bib. Mun. 678) or for circulating the fourth separately (e.g. Paris, Bib. Nat. Lat. 16709). See </w:t>
      </w:r>
      <w:r>
        <w:rPr>
          <w:rFonts w:cs="Times New Roman" w:ascii="Baskerville Old Face" w:hAnsi="Baskerville Old Face"/>
          <w:i/>
          <w:lang w:val="en-GB"/>
        </w:rPr>
        <w:t>Aristoteles Latinus</w:t>
      </w:r>
      <w:r>
        <w:rPr>
          <w:rFonts w:cs="Times New Roman" w:ascii="Baskerville Old Face" w:hAnsi="Baskerville Old Face"/>
          <w:lang w:val="en-GB"/>
        </w:rPr>
        <w:t xml:space="preserve"> 1939. Furthermore, no extant commentary on the </w:t>
      </w:r>
      <w:r>
        <w:rPr>
          <w:rFonts w:cs="Times New Roman" w:ascii="Baskerville Old Face" w:hAnsi="Baskerville Old Face"/>
          <w:i/>
          <w:lang w:val="en-GB"/>
        </w:rPr>
        <w:t>De Differentiis Topicis</w:t>
      </w:r>
      <w:r>
        <w:rPr>
          <w:rFonts w:cs="Times New Roman" w:ascii="Baskerville Old Face" w:hAnsi="Baskerville Old Face"/>
          <w:lang w:val="en-GB"/>
        </w:rPr>
        <w:t xml:space="preserve"> from the 12</w:t>
      </w:r>
      <w:r>
        <w:rPr>
          <w:rFonts w:cs="Times New Roman" w:ascii="Baskerville Old Face" w:hAnsi="Baskerville Old Face"/>
          <w:vertAlign w:val="superscript"/>
          <w:lang w:val="en-GB"/>
        </w:rPr>
        <w:t>th</w:t>
      </w:r>
      <w:r>
        <w:rPr>
          <w:rFonts w:cs="Times New Roman" w:ascii="Baskerville Old Face" w:hAnsi="Baskerville Old Face"/>
          <w:lang w:val="en-GB"/>
        </w:rPr>
        <w:t xml:space="preserve"> century or earlier comments on book IV of the text (Green-Pedersen 1984, Appendix B). Our scribe’s loose tendency to name books by their contents rather than their titles – as he does for Priscian and Martianus Capella – combined with the wide circulation of the </w:t>
      </w:r>
      <w:r>
        <w:rPr>
          <w:rFonts w:cs="Times New Roman" w:ascii="Baskerville Old Face" w:hAnsi="Baskerville Old Face"/>
          <w:i/>
          <w:lang w:val="en-GB"/>
        </w:rPr>
        <w:t xml:space="preserve">De Differentiis Topicis </w:t>
      </w:r>
      <w:r>
        <w:rPr>
          <w:rFonts w:cs="Times New Roman" w:ascii="Baskerville Old Face" w:hAnsi="Baskerville Old Face"/>
          <w:lang w:val="en-GB"/>
        </w:rPr>
        <w:t xml:space="preserve">during Anselm’s </w:t>
      </w:r>
      <w:r>
        <w:rPr>
          <w:rFonts w:cs="Times New Roman" w:ascii="Baskerville" w:hAnsi="Baskerville"/>
          <w:lang w:val="en-GB"/>
        </w:rPr>
        <w:t xml:space="preserve">time and the absence of any other dialectic in three books with which the entry could be identified, thus makes it probable the work referenced at Bec under the simple title </w:t>
      </w:r>
      <w:r>
        <w:rPr>
          <w:rFonts w:cs="Times New Roman" w:ascii="Baskerville" w:hAnsi="Baskerville"/>
          <w:i/>
          <w:lang w:val="en-GB"/>
        </w:rPr>
        <w:t>de dialectica</w:t>
      </w:r>
      <w:r>
        <w:rPr>
          <w:rFonts w:cs="Times New Roman" w:ascii="Baskerville" w:hAnsi="Baskerville"/>
          <w:lang w:val="en-GB"/>
        </w:rPr>
        <w:t xml:space="preserve"> is the aforementioned one of Boethius.   </w:t>
      </w:r>
      <w:r>
        <w:rPr>
          <w:rFonts w:cs="Times New Roman" w:ascii="Baskerville" w:hAnsi="Baskerville"/>
          <w:lang w:val="en-GB"/>
        </w:rPr>
        <w:t>But cf. (</w:t>
      </w:r>
      <w:r>
        <w:rPr>
          <w:rFonts w:cs="Times New Roman" w:ascii="Baskerville" w:hAnsi="Baskerville"/>
          <w:lang w:val="en-GB"/>
        </w:rPr>
        <w:t xml:space="preserve">Nelis </w:t>
      </w:r>
      <w:r>
        <w:rPr>
          <w:rFonts w:cs="Times New Roman" w:ascii="Baskerville" w:hAnsi="Baskerville"/>
          <w:lang w:val="en-GB"/>
        </w:rPr>
        <w:t xml:space="preserve">1990, 78), which </w:t>
      </w:r>
      <w:r>
        <w:rPr>
          <w:rFonts w:cs="Times New Roman" w:ascii="Baskerville" w:hAnsi="Baskerville"/>
          <w:lang w:val="en-GB"/>
        </w:rPr>
        <w:t xml:space="preserve">identifies the text mentioned here with Boethius’ </w:t>
      </w:r>
      <w:r>
        <w:rPr>
          <w:rFonts w:cs="Times New Roman" w:ascii="Baskerville" w:hAnsi="Baskerville"/>
          <w:i/>
          <w:iCs/>
          <w:lang w:val="en-GB"/>
        </w:rPr>
        <w:t>De syllogismo hypothetico</w:t>
      </w:r>
      <w:r>
        <w:rPr>
          <w:rFonts w:cs="Times New Roman" w:ascii="Baskerville" w:hAnsi="Baskerville"/>
          <w:i w:val="false"/>
          <w:iCs w:val="false"/>
          <w:lang w:val="en-GB"/>
        </w:rPr>
        <w:t xml:space="preserve">. </w:t>
      </w:r>
    </w:p>
  </w:footnote>
  <w:footnote w:id="1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Southern 1963, 14. The quotation is from anti-pope Clement III. See Southern 1948, 30. The works in the volume listed are standard for studying the </w:t>
      </w:r>
      <w:r>
        <w:rPr>
          <w:rFonts w:cs="Times New Roman" w:ascii="Baskerville Old Face" w:hAnsi="Baskerville Old Face"/>
          <w:i/>
          <w:lang w:val="en-GB"/>
        </w:rPr>
        <w:t xml:space="preserve">trivium </w:t>
      </w:r>
      <w:r>
        <w:rPr>
          <w:rFonts w:cs="Times New Roman" w:ascii="Baskerville Old Face" w:hAnsi="Baskerville Old Face"/>
          <w:lang w:val="en-GB"/>
        </w:rPr>
        <w:t xml:space="preserve">through much of the middle ages. See Abelson 1906, 74-75. Abelson, however, repeats the medieval misattribution of Victorinus’ </w:t>
      </w:r>
      <w:r>
        <w:rPr>
          <w:rFonts w:cs="Times New Roman" w:ascii="Baskerville Old Face" w:hAnsi="Baskerville Old Face"/>
          <w:i/>
          <w:iCs/>
          <w:lang w:val="en-GB"/>
        </w:rPr>
        <w:t xml:space="preserve">De definitione </w:t>
      </w:r>
      <w:r>
        <w:rPr>
          <w:rFonts w:cs="Times New Roman" w:ascii="Baskerville Old Face" w:hAnsi="Baskerville Old Face"/>
          <w:i w:val="false"/>
          <w:iCs w:val="false"/>
          <w:lang w:val="en-GB"/>
        </w:rPr>
        <w:t>to Boethius.</w:t>
      </w:r>
    </w:p>
  </w:footnote>
  <w:footnote w:id="1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DG </w:t>
      </w:r>
      <w:r>
        <w:rPr>
          <w:rFonts w:cs="Times New Roman" w:ascii="Baskerville Old Face" w:hAnsi="Baskerville Old Face"/>
          <w:lang w:val="en-GB"/>
        </w:rPr>
        <w:t>XVI and XVII.</w:t>
      </w:r>
    </w:p>
  </w:footnote>
  <w:footnote w:id="1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Henry 1974, 92, 100.</w:t>
      </w:r>
    </w:p>
  </w:footnote>
  <w:footnote w:id="1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Seneca’s passage reads as follows: ‘Quid est Deus? Quod vides totum et quod non vides totum. Sic demum magnitudo sua illi redditur, qua nihil maius excogitari potest.’ Quoted in Southern 1963, 59, n. 3.</w:t>
      </w:r>
    </w:p>
  </w:footnote>
  <w:footnote w:id="14">
    <w:p>
      <w:pPr>
        <w:pStyle w:val="Footnote"/>
        <w:bidi w:val="0"/>
        <w:jc w:val="both"/>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val="false"/>
          <w:iCs w:val="false"/>
          <w:lang w:val="en-GB"/>
        </w:rPr>
        <w:t xml:space="preserve">Colish 1990 dates the rediscovery of the </w:t>
      </w:r>
      <w:r>
        <w:rPr>
          <w:rFonts w:cs="Times New Roman" w:ascii="Baskerville Old Face" w:hAnsi="Baskerville Old Face"/>
          <w:i/>
          <w:iCs/>
          <w:lang w:val="en-GB"/>
        </w:rPr>
        <w:t xml:space="preserve">Quaestiones Naturales </w:t>
      </w:r>
      <w:r>
        <w:rPr>
          <w:rFonts w:cs="Times New Roman" w:ascii="Baskerville Old Face" w:hAnsi="Baskerville Old Face"/>
          <w:i w:val="false"/>
          <w:iCs w:val="false"/>
          <w:lang w:val="en-GB"/>
        </w:rPr>
        <w:t>to the ‘12</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revival of scientific thought’ (18). But this is strictly speaking incorrect, and should instead be taken to refer to the ‘long twelfth century’ (See Beach and Cochelin 2020, 647-920). Hine’s dating of Leiden, Bibliotheek der Rijksuniversiteit, Voss. Lat. 0.55,  to the beginning of the 12</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(Hine 1979, 63), for instance, has since been revised to the second half of the 11</w:t>
      </w:r>
      <w:r>
        <w:rPr>
          <w:rFonts w:cs="Times New Roman" w:ascii="Baskerville Old Face" w:hAnsi="Baskerville Old Face"/>
          <w:i w:val="false"/>
          <w:iCs w:val="false"/>
          <w:vertAlign w:val="superscript"/>
          <w:lang w:val="en-GB"/>
        </w:rPr>
        <w:t xml:space="preserve">th </w:t>
      </w:r>
      <w:r>
        <w:rPr>
          <w:rFonts w:cs="Times New Roman" w:ascii="Baskerville Old Face" w:hAnsi="Baskerville Old Face"/>
          <w:i w:val="false"/>
          <w:iCs w:val="false"/>
          <w:lang w:val="en-GB"/>
        </w:rPr>
        <w:t>(</w:t>
      </w:r>
      <w:hyperlink r:id="rId1">
        <w:r>
          <w:rPr>
            <w:rStyle w:val="InternetLink"/>
            <w:rFonts w:cs="Times New Roman" w:ascii="Baskerville Old Face" w:hAnsi="Baskerville Old Face"/>
            <w:i w:val="false"/>
            <w:iCs w:val="false"/>
            <w:lang w:val="en-GB"/>
          </w:rPr>
          <w:t>https://primarysources.brillonline.com/browse/vossiani-latini/vlq-055-vita-liudgeri-cartularium-werthinense/manuscript;vossianivlq05501vlq055source</w:t>
        </w:r>
      </w:hyperlink>
      <w:r>
        <w:rPr>
          <w:rFonts w:cs="Times New Roman" w:ascii="Baskerville Old Face" w:hAnsi="Baskerville Old Face"/>
          <w:i w:val="false"/>
          <w:iCs w:val="false"/>
          <w:lang w:val="en-GB"/>
        </w:rPr>
        <w:t>), and Seneca’s work circulated in excerpts from at least the later 9</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(Hine 1992). While the resemblance of Anselm’s phrase to that of Seneca makes direct influence plausible, it’s also not strictly necessary for the argument pursued here.</w:t>
      </w:r>
    </w:p>
    <w:p>
      <w:pPr>
        <w:pStyle w:val="Footnote"/>
        <w:jc w:val="both"/>
        <w:rPr>
          <w:lang w:val="en-GB"/>
        </w:rPr>
      </w:pPr>
      <w:r>
        <w:rPr>
          <w:rFonts w:cs="Times New Roman" w:ascii="Baskerville Old Face" w:hAnsi="Baskerville Old Face"/>
          <w:lang w:val="en-GB"/>
        </w:rPr>
        <w:t xml:space="preserve">Direct influence also need not entail Anselm was conscious of this influence: he could have found the phrase in Seneca, forgotten about it, and then had it return to him weeks or months later. In this way, the assumption of the argument’s origin is compatible with that given by Eadmer at </w:t>
      </w:r>
      <w:r>
        <w:rPr>
          <w:rFonts w:cs="Times New Roman" w:ascii="Baskerville Old Face" w:hAnsi="Baskerville Old Face"/>
          <w:i/>
          <w:lang w:val="en-GB"/>
        </w:rPr>
        <w:t xml:space="preserve">VA </w:t>
      </w:r>
      <w:r>
        <w:rPr>
          <w:rFonts w:cs="Times New Roman" w:ascii="Baskerville Old Face" w:hAnsi="Baskerville Old Face"/>
          <w:lang w:val="en-GB"/>
        </w:rPr>
        <w:t>I, xix.</w:t>
      </w:r>
      <w:r>
        <w:rPr>
          <w:rFonts w:cs="Times New Roman" w:ascii="Baskerville Old Face" w:hAnsi="Baskerville Old Face"/>
          <w:i w:val="false"/>
          <w:iCs w:val="false"/>
          <w:lang w:val="en-GB"/>
        </w:rPr>
        <w:t xml:space="preserve"> </w:t>
      </w:r>
    </w:p>
  </w:footnote>
  <w:footnote w:id="1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Henry 1974, 88: ‘Hence it here appears that for Boethius one could speak of </w:t>
      </w:r>
      <w:r>
        <w:rPr>
          <w:rFonts w:cs="Times New Roman" w:ascii="Baskerville Old Face" w:hAnsi="Baskerville Old Face"/>
          <w:i/>
          <w:lang w:val="en-GB"/>
        </w:rPr>
        <w:t>things</w:t>
      </w:r>
      <w:r>
        <w:rPr>
          <w:rFonts w:cs="Times New Roman" w:ascii="Baskerville Old Face" w:hAnsi="Baskerville Old Face"/>
          <w:lang w:val="en-GB"/>
        </w:rPr>
        <w:t xml:space="preserve"> being asserted in a certain fashion (e.g. denominatively, paronymously). Hence the whole sentence with which we are now concerned is perfectly coherent with the Boethian pattern, and the modern compulsion to insert quotation marks around ‘</w:t>
      </w:r>
      <w:r>
        <w:rPr>
          <w:rFonts w:cs="Times New Roman" w:ascii="Baskerville Old Face" w:hAnsi="Baskerville Old Face"/>
          <w:i/>
          <w:lang w:val="en-GB"/>
        </w:rPr>
        <w:t>grammatico</w:t>
      </w:r>
      <w:r>
        <w:rPr>
          <w:rFonts w:cs="Times New Roman" w:ascii="Baskerville Old Face" w:hAnsi="Baskerville Old Face"/>
          <w:lang w:val="en-GB"/>
        </w:rPr>
        <w:t xml:space="preserve">’/‘literate’ thereby removed.’ </w:t>
      </w:r>
    </w:p>
  </w:footnote>
  <w:footnote w:id="1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BC</w:t>
      </w:r>
      <w:r>
        <w:rPr>
          <w:rFonts w:cs="Times New Roman" w:ascii="Baskerville Old Face" w:hAnsi="Baskerville Old Face"/>
          <w:lang w:val="en-GB"/>
        </w:rPr>
        <w:t xml:space="preserve"> 167D-168A, alt.:</w:t>
      </w:r>
    </w:p>
    <w:p>
      <w:pPr>
        <w:pStyle w:val="Footnote"/>
        <w:ind w:left="900" w:hanging="0"/>
        <w:jc w:val="both"/>
        <w:rPr>
          <w:lang w:val="en-GB"/>
        </w:rPr>
      </w:pPr>
      <w:r>
        <w:rPr>
          <w:rFonts w:cs="Times New Roman" w:ascii="Baskerville Old Face" w:hAnsi="Baskerville Old Face"/>
          <w:lang w:val="en-GB"/>
        </w:rPr>
        <w:t>Atque ideo quotiescunque aliqua res alia participat, ipsa participatio sicut rem,</w:t>
      </w:r>
      <w:r>
        <w:rPr>
          <w:rFonts w:cs="Times New Roman" w:ascii="Baskerville Old Face" w:hAnsi="Baskerville Old Face"/>
          <w:color w:val="FF0000"/>
          <w:lang w:val="en-GB"/>
        </w:rPr>
        <w:t xml:space="preserve"> </w:t>
      </w:r>
      <w:r>
        <w:rPr>
          <w:rFonts w:cs="Times New Roman" w:ascii="Baskerville Old Face" w:hAnsi="Baskerville Old Face"/>
          <w:lang w:val="en-GB"/>
        </w:rPr>
        <w:t>ita quoque nomen adipiscitur, ut quidam homo, quia iustitia participat et rem quoque inde trahit et nomen, dicitur enim iustus.</w:t>
      </w:r>
    </w:p>
    <w:p>
      <w:pPr>
        <w:pStyle w:val="Footnote"/>
        <w:bidi w:val="0"/>
        <w:ind w:hanging="0"/>
        <w:jc w:val="both"/>
        <w:rPr>
          <w:lang w:val="en-GB"/>
        </w:rPr>
      </w:pPr>
      <w:r>
        <w:rPr>
          <w:rFonts w:cs="Times New Roman" w:ascii="Baskerville Old Face" w:hAnsi="Baskerville Old Face"/>
          <w:lang w:val="en-GB"/>
        </w:rPr>
        <w:t>The PL text has ‘participatione’, but ‘participatio’ is required to preserve Boethius’ intended parallel in the accusative: ‘sicut rem, ita quoque nomen’; reading ‘nomen’ as the subject deprives the transitive deponent ‘adipiscitur’ of an accusative.</w:t>
      </w:r>
    </w:p>
  </w:footnote>
  <w:footnote w:id="17">
    <w:p>
      <w:pPr>
        <w:pStyle w:val="Normal"/>
        <w:spacing w:lineRule="auto" w:line="240" w:before="0" w:after="0"/>
        <w:jc w:val="both"/>
        <w:rPr>
          <w:lang w:val="en-GB"/>
        </w:rPr>
      </w:pPr>
      <w:r>
        <w:rPr>
          <w:rStyle w:val="FootnoteCharacters"/>
        </w:rPr>
        <w:footnoteRef/>
      </w:r>
      <w:r>
        <w:rPr>
          <w:rFonts w:cs="Times New Roman" w:ascii="Baskerville Old Face" w:hAnsi="Baskerville Old Face"/>
          <w:sz w:val="20"/>
          <w:szCs w:val="20"/>
          <w:lang w:val="en-GB"/>
        </w:rPr>
        <w:t xml:space="preserve"> </w:t>
      </w:r>
      <w:r>
        <w:rPr>
          <w:rFonts w:cs="Times New Roman" w:ascii="Baskerville Old Face" w:hAnsi="Baskerville Old Face"/>
          <w:i/>
          <w:sz w:val="20"/>
          <w:szCs w:val="20"/>
          <w:lang w:val="en-GB"/>
        </w:rPr>
        <w:t xml:space="preserve">DG </w:t>
      </w:r>
      <w:r>
        <w:rPr>
          <w:rFonts w:cs="Times New Roman" w:ascii="Baskerville Old Face" w:hAnsi="Baskerville Old Face"/>
          <w:sz w:val="20"/>
          <w:szCs w:val="20"/>
          <w:lang w:val="en-GB"/>
        </w:rPr>
        <w:t>V = Henry 1974, 53</w:t>
      </w:r>
      <w:r>
        <w:rPr>
          <w:rFonts w:cs="Times New Roman" w:ascii="Baskerville Old Face" w:hAnsi="Baskerville Old Face"/>
          <w:color w:val="FF0000"/>
          <w:sz w:val="20"/>
          <w:szCs w:val="20"/>
          <w:lang w:val="en-GB"/>
        </w:rPr>
        <w:t xml:space="preserve"> </w:t>
      </w:r>
      <w:r>
        <w:rPr>
          <w:rFonts w:cs="Times New Roman" w:ascii="Baskerville Old Face" w:hAnsi="Baskerville Old Face"/>
          <w:sz w:val="20"/>
          <w:szCs w:val="20"/>
          <w:lang w:val="en-GB"/>
        </w:rPr>
        <w:t>(alt.):</w:t>
      </w:r>
    </w:p>
    <w:p>
      <w:pPr>
        <w:pStyle w:val="Normal"/>
        <w:spacing w:lineRule="auto" w:line="240" w:before="0" w:after="0"/>
        <w:ind w:left="900" w:hanging="0"/>
        <w:jc w:val="both"/>
        <w:rPr>
          <w:lang w:val="en-GB"/>
        </w:rPr>
      </w:pPr>
      <w:r>
        <w:rPr>
          <w:rFonts w:cs="Times New Roman" w:ascii="Baskerville Old Face" w:hAnsi="Baskerville Old Face"/>
          <w:sz w:val="20"/>
          <w:szCs w:val="20"/>
          <w:lang w:val="en-GB"/>
        </w:rPr>
        <w:t>Qui dicit: omnis homo potest intelligi homo sine grammatica; et nullus grammaticus potest intelligi grammaticus sine grammatica, nonne hoc significat quia esse hominis non indiget grammatica, et esse grammatici indiget grammatica?</w:t>
      </w:r>
      <w:r>
        <w:rPr>
          <w:rFonts w:cs="Times New Roman" w:ascii="Baskerville Old Face" w:hAnsi="Baskerville Old Face"/>
          <w:i/>
          <w:sz w:val="20"/>
          <w:szCs w:val="20"/>
          <w:lang w:val="en-GB"/>
        </w:rPr>
        <w:t xml:space="preserve"> </w:t>
      </w:r>
    </w:p>
  </w:footnote>
  <w:footnote w:id="1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Hence, in no way can Anselm’s project be construed, a la Wittgenstein, as giving a linguistic analysis of the meaning of the term ‘God’. Cf. Gasper 2004, 107-143</w:t>
      </w:r>
      <w:r>
        <w:rPr>
          <w:rFonts w:cs="Times New Roman" w:ascii="Baskerville Old Face" w:hAnsi="Baskerville Old Face"/>
          <w:b/>
          <w:lang w:val="en-GB"/>
        </w:rPr>
        <w:t xml:space="preserve">. </w:t>
      </w:r>
    </w:p>
    <w:p>
      <w:pPr>
        <w:pStyle w:val="Footnote"/>
        <w:jc w:val="both"/>
        <w:rPr>
          <w:lang w:val="en-GB"/>
        </w:rPr>
      </w:pPr>
      <w:r>
        <w:rPr>
          <w:rFonts w:cs="Times New Roman" w:ascii="Baskerville Old Face" w:hAnsi="Baskerville Old Face"/>
          <w:lang w:val="en-GB"/>
        </w:rPr>
        <w:t>This attitude towards names remains standard even for Aquinas. cf. Archambault 2014, 185-90.</w:t>
      </w:r>
    </w:p>
  </w:footnote>
  <w:footnote w:id="19">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Boethius makes the point forcefully in the case of the relation between arguing and argument at </w:t>
      </w:r>
      <w:r>
        <w:rPr>
          <w:rFonts w:cs="Times New Roman" w:ascii="Baskerville Old Face" w:hAnsi="Baskerville Old Face"/>
          <w:i/>
          <w:lang w:val="en-GB"/>
        </w:rPr>
        <w:t xml:space="preserve">BDT </w:t>
      </w:r>
      <w:r>
        <w:rPr>
          <w:rFonts w:cs="Times New Roman" w:ascii="Baskerville Old Face" w:hAnsi="Baskerville Old Face"/>
          <w:lang w:val="en-GB"/>
        </w:rPr>
        <w:t xml:space="preserve">1174C: </w:t>
      </w:r>
    </w:p>
    <w:p>
      <w:pPr>
        <w:pStyle w:val="Footnote"/>
        <w:ind w:left="900" w:hanging="0"/>
        <w:jc w:val="both"/>
        <w:rPr>
          <w:lang w:val="en-GB"/>
        </w:rPr>
      </w:pPr>
      <w:r>
        <w:rPr>
          <w:rFonts w:cs="Times New Roman" w:ascii="Baskerville Old Face" w:hAnsi="Baskerville Old Face"/>
          <w:lang w:val="en-GB"/>
        </w:rPr>
        <w:t>Non vero idem est argumentum et argumentatio: nam vis sententiae ratioque ea quae clauditur oratione cum aliquid probatur ambiguum, argumentum vocatur; ipsa vero argumenti elocutio, argumentatio dicitur. Quo fit ut argumentum quidem virtus, et mens argumentationis sit atque sententia; argumentatio vero, argumenti per orationem explicatio.</w:t>
      </w:r>
    </w:p>
    <w:p>
      <w:pPr>
        <w:pStyle w:val="Footnote"/>
        <w:ind w:left="900" w:hanging="0"/>
        <w:jc w:val="both"/>
        <w:rPr>
          <w:rFonts w:ascii="Baskerville Old Face" w:hAnsi="Baskerville Old Face" w:cs="Times New Roman"/>
          <w:lang w:val="en-GB"/>
        </w:rPr>
      </w:pPr>
      <w:r>
        <w:rPr>
          <w:rFonts w:cs="Times New Roman" w:ascii="Baskerville Old Face" w:hAnsi="Baskerville Old Face"/>
          <w:lang w:val="en-GB"/>
        </w:rPr>
      </w:r>
    </w:p>
    <w:p>
      <w:pPr>
        <w:pStyle w:val="Footnote"/>
        <w:ind w:left="900" w:hanging="0"/>
        <w:jc w:val="both"/>
        <w:rPr>
          <w:lang w:val="en-GB"/>
        </w:rPr>
      </w:pPr>
      <w:r>
        <w:rPr>
          <w:rFonts w:cs="Times New Roman" w:ascii="Baskerville Old Face" w:hAnsi="Baskerville Old Face"/>
          <w:lang w:val="en-GB"/>
        </w:rPr>
        <w:t>An argument is not the same thing as argumentation: for both the ground of a judgment and the reason contained in a speech when something uncertain is proven are called ‘arguments’; while the actual speaking of the argument is called an ‘argumentation’. By this, it happens that an argument is in a way the power and principle as well as the meaning of an argumentation; while an argumentation is the explication of an argument through speech.</w:t>
      </w:r>
    </w:p>
    <w:p>
      <w:pPr>
        <w:pStyle w:val="Footnote"/>
        <w:bidi w:val="0"/>
        <w:ind w:hanging="0"/>
        <w:jc w:val="both"/>
        <w:rPr>
          <w:lang w:val="en-GB"/>
        </w:rPr>
      </w:pPr>
      <w:r>
        <w:rPr>
          <w:rFonts w:ascii="Baskerville Old Face" w:hAnsi="Baskerville Old Face"/>
          <w:lang w:val="en-GB"/>
        </w:rPr>
        <w:t xml:space="preserve">Cf. </w:t>
      </w:r>
      <w:r>
        <w:rPr>
          <w:rFonts w:ascii="Baskerville Old Face" w:hAnsi="Baskerville Old Face"/>
          <w:i/>
          <w:iCs/>
          <w:lang w:val="en-GB"/>
        </w:rPr>
        <w:t xml:space="preserve">BTC </w:t>
      </w:r>
      <w:r>
        <w:rPr>
          <w:rFonts w:ascii="Baskerville Old Face" w:hAnsi="Baskerville Old Face"/>
          <w:i w:val="false"/>
          <w:iCs w:val="false"/>
          <w:lang w:val="en-GB"/>
        </w:rPr>
        <w:t xml:space="preserve">1053BC, where Boethius provides four different parsings of the difference between </w:t>
      </w:r>
      <w:r>
        <w:rPr>
          <w:rFonts w:ascii="Baskerville Old Face" w:hAnsi="Baskerville Old Face"/>
          <w:i/>
          <w:iCs/>
          <w:lang w:val="en-GB"/>
        </w:rPr>
        <w:t>argumentatio</w:t>
      </w:r>
      <w:r>
        <w:rPr>
          <w:rFonts w:ascii="Baskerville Old Face" w:hAnsi="Baskerville Old Face"/>
          <w:i w:val="false"/>
          <w:iCs w:val="false"/>
          <w:lang w:val="en-GB"/>
        </w:rPr>
        <w:t xml:space="preserve"> and </w:t>
      </w:r>
      <w:r>
        <w:rPr>
          <w:rFonts w:ascii="Baskerville Old Face" w:hAnsi="Baskerville Old Face"/>
          <w:i/>
          <w:iCs/>
          <w:lang w:val="en-GB"/>
        </w:rPr>
        <w:t xml:space="preserve">argumentum </w:t>
      </w:r>
      <w:r>
        <w:rPr>
          <w:rFonts w:ascii="Baskerville Old Face" w:hAnsi="Baskerville Old Face"/>
          <w:i w:val="false"/>
          <w:iCs w:val="false"/>
          <w:lang w:val="en-GB"/>
        </w:rPr>
        <w:t>beginning with the version provided above. Across all divisions, however, the meaning of the former term is that more broadly associated with the expression of the argument, the latter with its content.</w:t>
      </w:r>
    </w:p>
  </w:footnote>
  <w:footnote w:id="2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These examples are used by Anselm in </w:t>
      </w:r>
      <w:r>
        <w:rPr>
          <w:rFonts w:cs="Times New Roman" w:ascii="Baskerville Old Face" w:hAnsi="Baskerville Old Face"/>
          <w:i/>
          <w:lang w:val="en-GB"/>
        </w:rPr>
        <w:t xml:space="preserve">DG XIV. </w:t>
      </w:r>
      <w:r>
        <w:rPr>
          <w:rFonts w:cs="Times New Roman" w:ascii="Baskerville Old Face" w:hAnsi="Baskerville Old Face"/>
          <w:lang w:val="en-GB"/>
        </w:rPr>
        <w:t>Here, knowing is regarded as a way of having, the appropriate one for things like grammar.</w:t>
      </w:r>
    </w:p>
  </w:footnote>
  <w:footnote w:id="2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So the primary sense of </w:t>
      </w:r>
      <w:r>
        <w:rPr>
          <w:rFonts w:cs="Times New Roman" w:ascii="Baskerville Old Face" w:hAnsi="Baskerville Old Face"/>
          <w:i/>
          <w:lang w:val="en-GB"/>
        </w:rPr>
        <w:t xml:space="preserve">intellectum </w:t>
      </w:r>
      <w:r>
        <w:rPr>
          <w:rFonts w:cs="Times New Roman" w:ascii="Baskerville Old Face" w:hAnsi="Baskerville Old Face"/>
          <w:lang w:val="en-GB"/>
        </w:rPr>
        <w:t xml:space="preserve">in </w:t>
      </w:r>
      <w:r>
        <w:rPr>
          <w:rFonts w:cs="Times New Roman" w:ascii="Baskerville Old Face" w:hAnsi="Baskerville Old Face"/>
          <w:i/>
          <w:lang w:val="en-GB"/>
        </w:rPr>
        <w:t>fides quaerens intellectum</w:t>
      </w:r>
      <w:r>
        <w:rPr>
          <w:rFonts w:cs="Times New Roman" w:ascii="Baskerville Old Face" w:hAnsi="Baskerville Old Face"/>
          <w:lang w:val="en-GB"/>
        </w:rPr>
        <w:t xml:space="preserve"> cannot, </w:t>
      </w:r>
      <w:r>
        <w:rPr>
          <w:rFonts w:cs="Times New Roman" w:ascii="Baskerville Old Face" w:hAnsi="Baskerville Old Face"/>
          <w:i/>
          <w:lang w:val="en-GB"/>
        </w:rPr>
        <w:t xml:space="preserve">pace </w:t>
      </w:r>
      <w:r>
        <w:rPr>
          <w:rFonts w:cs="Times New Roman" w:ascii="Baskerville Old Face" w:hAnsi="Baskerville Old Face"/>
          <w:lang w:val="en-GB"/>
        </w:rPr>
        <w:t xml:space="preserve">Bencivenga, be identified with the state of satisfaction achieved by the subject who understands (though normally, nothing prevents this from being present as well—as, for instance, in </w:t>
      </w:r>
      <w:r>
        <w:rPr>
          <w:rFonts w:cs="Times New Roman" w:ascii="Baskerville Old Face" w:hAnsi="Baskerville Old Face"/>
          <w:i/>
          <w:lang w:val="en-GB"/>
        </w:rPr>
        <w:t>VA</w:t>
      </w:r>
      <w:r>
        <w:rPr>
          <w:rFonts w:cs="Times New Roman" w:ascii="Baskerville Old Face" w:hAnsi="Baskerville Old Face"/>
          <w:lang w:val="en-GB"/>
        </w:rPr>
        <w:t xml:space="preserve"> I, xix), but rather is </w:t>
      </w:r>
      <w:r>
        <w:rPr>
          <w:rFonts w:cs="Times New Roman" w:ascii="Baskerville Old Face" w:hAnsi="Baskerville Old Face"/>
          <w:i/>
          <w:lang w:val="en-GB"/>
        </w:rPr>
        <w:t xml:space="preserve">what </w:t>
      </w:r>
      <w:r>
        <w:rPr>
          <w:rFonts w:cs="Times New Roman" w:ascii="Baskerville Old Face" w:hAnsi="Baskerville Old Face"/>
          <w:lang w:val="en-GB"/>
        </w:rPr>
        <w:t xml:space="preserve">the intellect has </w:t>
      </w:r>
      <w:r>
        <w:rPr>
          <w:rFonts w:cs="Times New Roman" w:ascii="Baskerville Old Face" w:hAnsi="Baskerville Old Face"/>
          <w:i/>
          <w:lang w:val="en-GB"/>
        </w:rPr>
        <w:t xml:space="preserve">when </w:t>
      </w:r>
      <w:r>
        <w:rPr>
          <w:rFonts w:cs="Times New Roman" w:ascii="Baskerville Old Face" w:hAnsi="Baskerville Old Face"/>
          <w:lang w:val="en-GB"/>
        </w:rPr>
        <w:t xml:space="preserve">it is in this state. See Bencivenga 1993, 33. </w:t>
      </w:r>
    </w:p>
  </w:footnote>
  <w:footnote w:id="2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BCP </w:t>
      </w:r>
      <w:r>
        <w:rPr>
          <w:rFonts w:cs="Times New Roman" w:ascii="Baskerville Old Face" w:hAnsi="Baskerville Old Face"/>
          <w:lang w:val="en-GB"/>
        </w:rPr>
        <w:t xml:space="preserve">82AB: </w:t>
      </w:r>
    </w:p>
    <w:p>
      <w:pPr>
        <w:pStyle w:val="Footnote"/>
        <w:ind w:left="900" w:hanging="0"/>
        <w:jc w:val="both"/>
        <w:rPr>
          <w:lang w:val="en-GB"/>
        </w:rPr>
      </w:pPr>
      <w:r>
        <w:rPr>
          <w:rFonts w:cs="Times New Roman" w:ascii="Baskerville Old Face" w:hAnsi="Baskerville Old Face"/>
          <w:lang w:val="en-GB"/>
        </w:rPr>
        <w:t xml:space="preserve">Mox de generibus et speciebus illud quidem, sive subsistant, sive in solis nudis intellectibus posita sint, sive subsistentia corporalia sint an incorporalia, et utrum separata a sensibilibus an in sensibilibus posita: et circa haec consistentia dicere recusabo. </w:t>
      </w:r>
    </w:p>
    <w:p>
      <w:pPr>
        <w:pStyle w:val="Footnote"/>
        <w:jc w:val="both"/>
        <w:rPr>
          <w:lang w:val="en-GB"/>
        </w:rPr>
      </w:pPr>
      <w:r>
        <w:rPr>
          <w:rFonts w:cs="Times New Roman" w:ascii="Baskerville Old Face" w:hAnsi="Baskerville Old Face"/>
          <w:lang w:val="en-GB"/>
        </w:rPr>
        <w:t xml:space="preserve">I translate Porphyry’s passage as follows: </w:t>
      </w:r>
    </w:p>
    <w:p>
      <w:pPr>
        <w:pStyle w:val="Footnote"/>
        <w:ind w:left="810" w:hanging="0"/>
        <w:jc w:val="both"/>
        <w:rPr>
          <w:lang w:val="en-GB"/>
        </w:rPr>
      </w:pPr>
      <w:r>
        <w:rPr>
          <w:rFonts w:cs="Times New Roman" w:ascii="Baskerville Old Face" w:hAnsi="Baskerville Old Face"/>
          <w:lang w:val="en-GB"/>
        </w:rPr>
        <w:t xml:space="preserve">Now concerning genera and species: I won’t say 1) whether they subsist [in the realm of nature] or 2) are placed in separated ideas, unobscured [i.e. by admixture with matter]; or 1a) if subsisting, whether corporeal or incorporeal; or 2a) if separate, whether set [forth] </w:t>
      </w:r>
      <w:r>
        <w:rPr>
          <w:rFonts w:cs="Times New Roman" w:ascii="Baskerville Old Face" w:hAnsi="Baskerville Old Face"/>
          <w:i/>
          <w:lang w:val="en-GB"/>
        </w:rPr>
        <w:t xml:space="preserve">in </w:t>
      </w:r>
      <w:r>
        <w:rPr>
          <w:rFonts w:cs="Times New Roman" w:ascii="Baskerville Old Face" w:hAnsi="Baskerville Old Face"/>
          <w:lang w:val="en-GB"/>
        </w:rPr>
        <w:t xml:space="preserve">sensibilia or </w:t>
      </w:r>
      <w:r>
        <w:rPr>
          <w:rFonts w:cs="Times New Roman" w:ascii="Baskerville Old Face" w:hAnsi="Baskerville Old Face"/>
          <w:i/>
          <w:lang w:val="en-GB"/>
        </w:rPr>
        <w:t>from</w:t>
      </w:r>
      <w:r>
        <w:rPr>
          <w:rFonts w:cs="Times New Roman" w:ascii="Baskerville Old Face" w:hAnsi="Baskerville Old Face"/>
          <w:lang w:val="en-GB"/>
        </w:rPr>
        <w:t xml:space="preserve"> them; and [I won’t speak] about how such things belong together.</w:t>
      </w:r>
    </w:p>
    <w:p>
      <w:pPr>
        <w:pStyle w:val="Footnote"/>
        <w:jc w:val="both"/>
        <w:rPr>
          <w:lang w:val="en-GB"/>
        </w:rPr>
      </w:pPr>
      <w:r>
        <w:rPr>
          <w:rFonts w:cs="Times New Roman" w:ascii="Baskerville Old Face" w:hAnsi="Baskerville Old Face"/>
          <w:lang w:val="en-GB"/>
        </w:rPr>
        <w:t>Note that when translated thus, the notion that universals exist only in the mind of a human subject is not even mentioned as an option. The main options laid out in the first clause are that genera and species are 1) natural/physical or 2) supernatural/metaphysical, i.e. existing apart from the realm of earthly things.</w:t>
      </w:r>
    </w:p>
  </w:footnote>
  <w:footnote w:id="2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BCP </w:t>
      </w:r>
      <w:r>
        <w:rPr>
          <w:rFonts w:cs="Times New Roman" w:ascii="Baskerville Old Face" w:hAnsi="Baskerville Old Face"/>
          <w:lang w:val="en-GB"/>
        </w:rPr>
        <w:t>64, 82BC:</w:t>
      </w:r>
    </w:p>
    <w:p>
      <w:pPr>
        <w:pStyle w:val="Footnote"/>
        <w:ind w:left="900" w:hanging="0"/>
        <w:jc w:val="both"/>
        <w:rPr>
          <w:lang w:val="en-GB"/>
        </w:rPr>
      </w:pPr>
      <w:r>
        <w:rPr>
          <w:rFonts w:cs="Times New Roman" w:ascii="Baskerville Old Face" w:hAnsi="Baskerville Old Face"/>
          <w:lang w:val="en-GB"/>
        </w:rPr>
        <w:t xml:space="preserve">Quarum prima [harum quaestionum] est huiusmodi: Omne quod intelligit animus, aut id quod est in rerum natura constitutum intellectu concipit et sibimet ratione describit, aut id quod non est vacua sibi imaginatione depingit. Ergo intellectus generis et caeterorum cuiusmodi sit quaeritur, utrumne ita intelligamus species et genera ut ea quae sunt et ex quibus verum capimus intellectum, an nosmetipsos eludimus cum ea quae non sunt nobis cassa imaginatione formamus. </w:t>
      </w:r>
    </w:p>
  </w:footnote>
  <w:footnote w:id="2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translation is not entirely novel, even in Anselm scholarship. See Holopainen 2007, 18, where the translation is consistently used for a text of Abelard, and ibid., 21, where Holopainen uses the English ‘meaning’ to translate all of </w:t>
      </w:r>
      <w:r>
        <w:rPr>
          <w:rFonts w:cs="Times New Roman" w:ascii="Baskerville Old Face" w:hAnsi="Baskerville Old Face"/>
          <w:i/>
          <w:iCs/>
          <w:lang w:val="en-GB"/>
        </w:rPr>
        <w:t>sententia</w:t>
      </w:r>
      <w:r>
        <w:rPr>
          <w:rFonts w:cs="Times New Roman" w:ascii="Baskerville Old Face" w:hAnsi="Baskerville Old Face"/>
          <w:i w:val="false"/>
          <w:iCs w:val="false"/>
          <w:lang w:val="en-GB"/>
        </w:rPr>
        <w:t xml:space="preserve">, </w:t>
      </w:r>
      <w:r>
        <w:rPr>
          <w:rFonts w:cs="Times New Roman" w:ascii="Baskerville Old Face" w:hAnsi="Baskerville Old Face"/>
          <w:i/>
          <w:iCs/>
          <w:lang w:val="en-GB"/>
        </w:rPr>
        <w:t>sensus</w:t>
      </w:r>
      <w:r>
        <w:rPr>
          <w:rFonts w:cs="Times New Roman" w:ascii="Baskerville Old Face" w:hAnsi="Baskerville Old Face"/>
          <w:i w:val="false"/>
          <w:iCs w:val="false"/>
          <w:lang w:val="en-GB"/>
        </w:rPr>
        <w:t xml:space="preserve">, and </w:t>
      </w:r>
      <w:r>
        <w:rPr>
          <w:rFonts w:cs="Times New Roman" w:ascii="Baskerville Old Face" w:hAnsi="Baskerville Old Face"/>
          <w:i/>
          <w:iCs/>
          <w:lang w:val="en-GB"/>
        </w:rPr>
        <w:t xml:space="preserve">intellectus </w:t>
      </w:r>
      <w:r>
        <w:rPr>
          <w:rFonts w:cs="Times New Roman" w:ascii="Baskerville Old Face" w:hAnsi="Baskerville Old Face"/>
          <w:i w:val="false"/>
          <w:iCs w:val="false"/>
          <w:lang w:val="en-GB"/>
        </w:rPr>
        <w:t xml:space="preserve">in a passage from Anselm’s </w:t>
      </w:r>
      <w:r>
        <w:rPr>
          <w:rFonts w:cs="Times New Roman" w:ascii="Baskerville Old Face" w:hAnsi="Baskerville Old Face"/>
          <w:i/>
          <w:iCs/>
          <w:lang w:val="en-GB"/>
        </w:rPr>
        <w:t xml:space="preserve">De Grammatico </w:t>
      </w:r>
      <w:r>
        <w:rPr>
          <w:rFonts w:cs="Times New Roman" w:ascii="Baskerville Old Face" w:hAnsi="Baskerville Old Face"/>
          <w:i w:val="false"/>
          <w:iCs w:val="false"/>
          <w:lang w:val="en-GB"/>
        </w:rPr>
        <w:t>IV whose reasoning arguably requires the three terms be taken as synonyms</w:t>
      </w:r>
      <w:r>
        <w:rPr>
          <w:rFonts w:cs="Times New Roman" w:ascii="Baskerville Old Face" w:hAnsi="Baskerville Old Face"/>
          <w:lang w:val="en-GB"/>
        </w:rPr>
        <w:t>.</w:t>
      </w:r>
    </w:p>
  </w:footnote>
  <w:footnote w:id="2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BDIL </w:t>
      </w:r>
      <w:r>
        <w:rPr>
          <w:rFonts w:cs="Times New Roman" w:ascii="Baskerville Old Face" w:hAnsi="Baskerville Old Face"/>
          <w:lang w:val="en-GB"/>
        </w:rPr>
        <w:t xml:space="preserve">297B: </w:t>
      </w:r>
    </w:p>
    <w:p>
      <w:pPr>
        <w:pStyle w:val="Footnote"/>
        <w:ind w:left="900" w:hanging="0"/>
        <w:jc w:val="both"/>
        <w:rPr>
          <w:lang w:val="en-GB"/>
        </w:rPr>
      </w:pPr>
      <w:r>
        <w:rPr>
          <w:rFonts w:cs="Times New Roman" w:ascii="Baskerville Old Face" w:hAnsi="Baskerville Old Face"/>
          <w:lang w:val="en-GB"/>
        </w:rPr>
        <w:t xml:space="preserve">Tria sunt ex quibus omnis collocutio disputatioque perficitur: res, intellectus, voces. Res sunt quas animi ratione percipimus, intellectuque discernimus. Intellectus vero quibus res ipsas addiscimus. Voces quibus id quod intellectu capimus, significamus. </w:t>
      </w:r>
    </w:p>
  </w:footnote>
  <w:footnote w:id="2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Representational realism is typically regarded as a position in the philosophy of mind. What I call the </w:t>
      </w:r>
      <w:r>
        <w:rPr>
          <w:rFonts w:cs="Times New Roman" w:ascii="Baskerville Old Face" w:hAnsi="Baskerville Old Face"/>
          <w:i/>
          <w:lang w:val="en-GB"/>
        </w:rPr>
        <w:t>metaphysics</w:t>
      </w:r>
      <w:r>
        <w:rPr>
          <w:rFonts w:cs="Times New Roman" w:ascii="Baskerville Old Face" w:hAnsi="Baskerville Old Face"/>
          <w:lang w:val="en-GB"/>
        </w:rPr>
        <w:t xml:space="preserve"> of representational realism, though, is the understanding of being presupposed in that position, the dominant traits of which are 1) the treatment of the distinction between mind and world, the mental and the physical as a distinction between two distinct spheres of reality (or, if ‘reality’ has already been co-opted to refer to one half of the dichotomy, the reader may choose another term </w:t>
      </w:r>
      <w:r>
        <w:rPr>
          <w:rFonts w:cs="Times New Roman" w:ascii="Baskerville Old Face" w:hAnsi="Baskerville Old Face"/>
          <w:i/>
          <w:lang w:val="en-GB"/>
        </w:rPr>
        <w:t>ad placitum</w:t>
      </w:r>
      <w:r>
        <w:rPr>
          <w:rFonts w:cs="Times New Roman" w:ascii="Baskerville Old Face" w:hAnsi="Baskerville Old Face"/>
          <w:lang w:val="en-GB"/>
        </w:rPr>
        <w:t xml:space="preserve">), and 2) the corresponding search for a medium by which this chasm is to be traversed, typically found in the </w:t>
      </w:r>
      <w:r>
        <w:rPr>
          <w:rFonts w:cs="Times New Roman" w:ascii="Baskerville Old Face" w:hAnsi="Baskerville Old Face"/>
          <w:i/>
          <w:lang w:val="en-GB"/>
        </w:rPr>
        <w:t>idea</w:t>
      </w:r>
      <w:r>
        <w:rPr>
          <w:rFonts w:cs="Times New Roman" w:ascii="Baskerville Old Face" w:hAnsi="Baskerville Old Face"/>
          <w:lang w:val="en-GB"/>
        </w:rPr>
        <w:t xml:space="preserve">. </w:t>
      </w:r>
    </w:p>
  </w:footnote>
  <w:footnote w:id="27">
    <w:p>
      <w:pPr>
        <w:pStyle w:val="Footnote"/>
        <w:rPr>
          <w:lang w:val="en-GB"/>
        </w:rPr>
      </w:pPr>
      <w:r>
        <w:rPr>
          <w:rStyle w:val="FootnoteCharacters"/>
        </w:rPr>
        <w:footnoteRef/>
      </w:r>
      <w:r>
        <w:rPr>
          <w:lang w:val="en-GB"/>
        </w:rPr>
        <w:t xml:space="preserve"> </w:t>
      </w:r>
      <w:r>
        <w:rPr>
          <w:rFonts w:cs="Times New Roman" w:ascii="Baskerville" w:hAnsi="Baskerville"/>
          <w:lang w:val="en-GB"/>
        </w:rPr>
        <w:t xml:space="preserve">See </w:t>
      </w:r>
      <w:r>
        <w:rPr>
          <w:rFonts w:cs="Times New Roman" w:ascii="Baskerville" w:hAnsi="Baskerville"/>
          <w:i/>
          <w:lang w:val="en-GB"/>
        </w:rPr>
        <w:t xml:space="preserve">BDIG </w:t>
      </w:r>
      <w:r>
        <w:rPr>
          <w:rFonts w:cs="Times New Roman" w:ascii="Baskerville" w:hAnsi="Baskerville"/>
          <w:i w:val="false"/>
          <w:iCs w:val="false"/>
          <w:lang w:val="en-GB"/>
        </w:rPr>
        <w:t>71.3-74.31</w:t>
      </w:r>
      <w:r>
        <w:rPr>
          <w:rFonts w:cs="Times New Roman" w:ascii="Baskerville" w:hAnsi="Baskerville"/>
          <w:lang w:val="en-GB"/>
        </w:rPr>
        <w:t xml:space="preserve">, where the phrase is used throughout. Anselm uses it at </w:t>
      </w:r>
      <w:r>
        <w:rPr>
          <w:rFonts w:cs="Times New Roman" w:ascii="Baskerville" w:hAnsi="Baskerville"/>
          <w:i/>
          <w:lang w:val="en-GB"/>
        </w:rPr>
        <w:t xml:space="preserve">DG </w:t>
      </w:r>
      <w:r>
        <w:rPr>
          <w:rFonts w:cs="Times New Roman" w:ascii="Baskerville" w:hAnsi="Baskerville"/>
          <w:lang w:val="en-GB"/>
        </w:rPr>
        <w:t>XIV.</w:t>
      </w:r>
    </w:p>
  </w:footnote>
  <w:footnote w:id="28">
    <w:p>
      <w:pPr>
        <w:pStyle w:val="Footnote"/>
        <w:rPr>
          <w:lang w:val="en-GB"/>
        </w:rPr>
      </w:pPr>
      <w:r>
        <w:rPr>
          <w:rStyle w:val="FootnoteCharacters"/>
        </w:rPr>
        <w:footnoteRef/>
      </w:r>
      <w:r>
        <w:rPr>
          <w:lang w:val="en-GB"/>
        </w:rPr>
        <w:t xml:space="preserve"> </w:t>
      </w:r>
      <w:r>
        <w:rPr>
          <w:rFonts w:ascii="Baskerville Old Face" w:hAnsi="Baskerville Old Face"/>
          <w:i/>
          <w:iCs/>
          <w:lang w:val="en-GB"/>
        </w:rPr>
        <w:t>BDIG</w:t>
      </w:r>
      <w:r>
        <w:rPr>
          <w:rFonts w:ascii="Baskerville Old Face" w:hAnsi="Baskerville Old Face"/>
          <w:lang w:val="en-GB"/>
        </w:rPr>
        <w:t xml:space="preserve"> 34.21-26.</w:t>
      </w:r>
    </w:p>
  </w:footnote>
  <w:footnote w:id="29">
    <w:p>
      <w:pPr>
        <w:pStyle w:val="Footnote"/>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Smith 2010, 33. Enumeration mine.</w:t>
      </w:r>
    </w:p>
  </w:footnote>
  <w:footnote w:id="30">
    <w:p>
      <w:pPr>
        <w:pStyle w:val="Footnote"/>
        <w:rPr>
          <w:rFonts w:ascii="Baskerville Old Face" w:hAnsi="Baskerville Old Face"/>
        </w:rPr>
      </w:pPr>
      <w:r>
        <w:rPr>
          <w:rStyle w:val="FootnoteCharacters"/>
        </w:rPr>
        <w:footnoteRef/>
      </w:r>
      <w:r>
        <w:rPr>
          <w:rFonts w:ascii="Baskerville Old Face" w:hAnsi="Baskerville Old Face"/>
          <w:lang w:val="en-GB"/>
        </w:rPr>
        <w:t xml:space="preserve"> </w:t>
      </w:r>
      <w:r>
        <w:rPr>
          <w:rFonts w:ascii="Baskerville Old Face" w:hAnsi="Baskerville Old Face"/>
          <w:lang w:val="en-GB"/>
        </w:rPr>
        <w:t xml:space="preserve">See also </w:t>
      </w:r>
      <w:r>
        <w:rPr>
          <w:rFonts w:ascii="Baskerville Old Face" w:hAnsi="Baskerville Old Face"/>
          <w:i/>
          <w:iCs/>
          <w:lang w:val="en-GB"/>
        </w:rPr>
        <w:t xml:space="preserve">BDIG </w:t>
      </w:r>
      <w:r>
        <w:rPr>
          <w:rFonts w:ascii="Baskerville Old Face" w:hAnsi="Baskerville Old Face"/>
          <w:i w:val="false"/>
          <w:iCs w:val="false"/>
          <w:lang w:val="en-GB"/>
        </w:rPr>
        <w:t>35.15-16: ‘quare quoniam passiones animae quas intellectus vocavit...”</w:t>
      </w:r>
    </w:p>
  </w:footnote>
  <w:footnote w:id="3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In what follows, I leave several key terms untranslated to encourage the reader to think through these terms from their use rather than from received interpretations.</w:t>
      </w:r>
    </w:p>
  </w:footnote>
  <w:footnote w:id="32">
    <w:p>
      <w:pPr>
        <w:pStyle w:val="End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Cs/>
          <w:lang w:val="en-GB"/>
        </w:rPr>
        <w:t>Itaque licet definire locum esse argumenti sedem, argumentum autem rationem quae rei dubiae faciat fidem’</w:t>
      </w:r>
      <w:r>
        <w:rPr>
          <w:rFonts w:cs="Times New Roman" w:ascii="Baskerville Old Face" w:hAnsi="Baskerville Old Face"/>
          <w:i/>
          <w:iCs/>
          <w:lang w:val="en-GB"/>
        </w:rPr>
        <w:t xml:space="preserve"> Topica</w:t>
      </w:r>
      <w:r>
        <w:rPr>
          <w:rFonts w:cs="Times New Roman" w:ascii="Baskerville Old Face" w:hAnsi="Baskerville Old Face"/>
          <w:lang w:val="en-GB"/>
        </w:rPr>
        <w:t xml:space="preserve"> Chapter 8, lines 27-28. </w:t>
      </w:r>
    </w:p>
  </w:footnote>
  <w:footnote w:id="3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BTC </w:t>
      </w:r>
      <w:r>
        <w:rPr>
          <w:rFonts w:cs="Times New Roman" w:ascii="Baskerville Old Face" w:hAnsi="Baskerville Old Face"/>
          <w:lang w:val="en-GB"/>
        </w:rPr>
        <w:t xml:space="preserve">1048BC: </w:t>
      </w:r>
    </w:p>
    <w:p>
      <w:pPr>
        <w:pStyle w:val="Footnote"/>
        <w:ind w:left="900" w:hanging="0"/>
        <w:jc w:val="both"/>
        <w:rPr>
          <w:lang w:val="en-GB"/>
        </w:rPr>
      </w:pPr>
      <w:r>
        <w:rPr>
          <w:rFonts w:cs="Times New Roman" w:ascii="Baskerville Old Face" w:hAnsi="Baskerville Old Face"/>
          <w:lang w:val="en-GB"/>
        </w:rPr>
        <w:t>Multa enim sunt quae faciunt fidem, sed quia rationes non sunt, ne argumenta quidem esse possunt, ut visus facit fidem his quae videntur, sed quia ratio non est visus, ne argumentum quidem esse potest. Differentiam vero unam sumpsit, eam quae faciat fidem, omne enim argumentum facit fidem. Si igitur iunxerimus genus ac differentiam, et id esse argumentum dicamus… num tota argumenti natura monstrata sit? Minime … argumentum namque est quod rem arguit, id est probat, nihil vero probari, nisi dubium, potest… Addita igitur alia differentia quae est rei dubiae, facta est integra definitio argumenti, ex genere et duabus differentiis constans, genere quidem, ratione: una vero differentia, quod faciat fidem; altera vero, quod rei dubiae est.</w:t>
      </w:r>
    </w:p>
  </w:footnote>
  <w:footnote w:id="3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1174C, given in a prior footnote.</w:t>
      </w:r>
    </w:p>
  </w:footnote>
  <w:footnote w:id="3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See Holopainen 2007.</w:t>
      </w:r>
    </w:p>
  </w:footnote>
  <w:footnote w:id="3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Cf. Klima 2013, sec. 7: </w:t>
      </w:r>
    </w:p>
    <w:p>
      <w:pPr>
        <w:pStyle w:val="Footnote"/>
        <w:ind w:left="900" w:hanging="0"/>
        <w:jc w:val="both"/>
        <w:rPr/>
      </w:pPr>
      <w:r>
        <w:rPr>
          <w:rFonts w:cs="Times New Roman" w:ascii="Baskerville Old Face" w:hAnsi="Baskerville Old Face"/>
          <w:lang w:val="en-GB"/>
        </w:rPr>
        <w:t xml:space="preserve">So, a common nature or essence according to its absolute consideration abstracts from all existence, both in the singulars and in the mind. Yet, and this is the important point, it is </w:t>
      </w:r>
      <w:r>
        <w:rPr>
          <w:rStyle w:val="Emphasis"/>
          <w:rFonts w:cs="Times New Roman" w:ascii="Baskerville Old Face" w:hAnsi="Baskerville Old Face"/>
          <w:lang w:val="en-GB"/>
        </w:rPr>
        <w:t xml:space="preserve">the same </w:t>
      </w:r>
      <w:r>
        <w:rPr>
          <w:rFonts w:cs="Times New Roman" w:ascii="Baskerville Old Face" w:hAnsi="Baskerville Old Face"/>
          <w:lang w:val="en-GB"/>
        </w:rPr>
        <w:t>nature that informs both the singulars that have this nature and the minds conceiving of them in terms of this nature.</w:t>
      </w:r>
    </w:p>
  </w:footnote>
  <w:footnote w:id="3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Aristotelian syllogistic, the major term of a syllogism is the term that also serves as the predicate in the conclusion, while the minor term is the term that serves as the subject of the conclusion. </w:t>
      </w:r>
    </w:p>
  </w:footnote>
  <w:footnote w:id="3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However,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hold in this way of the </w:t>
      </w:r>
      <w:r>
        <w:rPr>
          <w:rFonts w:cs="Times New Roman" w:ascii="Baskerville Old Face" w:hAnsi="Baskerville Old Face"/>
          <w:i/>
          <w:lang w:val="en-GB"/>
        </w:rPr>
        <w:t xml:space="preserve">minor </w:t>
      </w:r>
      <w:r>
        <w:rPr>
          <w:rFonts w:cs="Times New Roman" w:ascii="Baskerville Old Face" w:hAnsi="Baskerville Old Face"/>
          <w:lang w:val="en-GB"/>
        </w:rPr>
        <w:t xml:space="preserve">term: the sentence joining these two need only be </w:t>
      </w:r>
      <w:r>
        <w:rPr>
          <w:rFonts w:cs="Times New Roman" w:ascii="Baskerville Old Face" w:hAnsi="Baskerville Old Face"/>
          <w:i/>
          <w:lang w:val="en-GB"/>
        </w:rPr>
        <w:t>probabilis</w:t>
      </w:r>
      <w:r>
        <w:rPr>
          <w:rFonts w:cs="Times New Roman" w:ascii="Baskerville Old Face" w:hAnsi="Baskerville Old Face"/>
          <w:lang w:val="en-GB"/>
        </w:rPr>
        <w:t xml:space="preserve">, i.e. worthy of esteem, something believed by the multitude or by the wise. Note that a topical argument does not primarily seek to establish the credibility of the </w:t>
      </w:r>
      <w:r>
        <w:rPr>
          <w:rFonts w:cs="Times New Roman" w:ascii="Baskerville Old Face" w:hAnsi="Baskerville Old Face"/>
          <w:i/>
          <w:lang w:val="en-GB"/>
        </w:rPr>
        <w:t>sentence</w:t>
      </w:r>
      <w:r>
        <w:rPr>
          <w:rFonts w:cs="Times New Roman" w:ascii="Baskerville Old Face" w:hAnsi="Baskerville Old Face"/>
          <w:lang w:val="en-GB"/>
        </w:rPr>
        <w:t xml:space="preserve"> concluded to by the syllogism, but the credibility of the predicate of the conclusion’s holding of the subject. Though in any sensible logic, an assertible predication of a subject should entail the assertibility of the </w:t>
      </w:r>
      <w:r>
        <w:rPr>
          <w:rFonts w:cs="Times New Roman" w:ascii="Baskerville Old Face" w:hAnsi="Baskerville Old Face"/>
          <w:i/>
          <w:lang w:val="en-GB"/>
        </w:rPr>
        <w:t>statement</w:t>
      </w:r>
      <w:r>
        <w:rPr>
          <w:rFonts w:cs="Times New Roman" w:ascii="Baskerville Old Face" w:hAnsi="Baskerville Old Face"/>
          <w:lang w:val="en-GB"/>
        </w:rPr>
        <w:t xml:space="preserve"> wherein the predicate is predicated of that subject, it seems that the earlier medieval analysis took dyadic predicates like ‘true of’ and ‘credible of’, taking a subject and predicate as arguments, to be in some sense prior to the monadic ‘true’ or ‘credible’, taking (the name of) a sentence as argument. Cf. Bosman 2018. </w:t>
      </w:r>
    </w:p>
  </w:footnote>
  <w:footnote w:id="39">
    <w:p>
      <w:pPr>
        <w:pStyle w:val="Footnote"/>
        <w:bidi w:val="0"/>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The latter case follows from the need for the second </w:t>
      </w:r>
      <w:r>
        <w:rPr>
          <w:rFonts w:cs="Times New Roman" w:ascii="Baskerville Old Face" w:hAnsi="Baskerville Old Face"/>
          <w:i/>
          <w:iCs/>
          <w:lang w:val="en-GB"/>
        </w:rPr>
        <w:t>differentia</w:t>
      </w:r>
      <w:r>
        <w:rPr>
          <w:rFonts w:cs="Times New Roman" w:ascii="Baskerville Old Face" w:hAnsi="Baskerville Old Face"/>
          <w:i w:val="false"/>
          <w:iCs w:val="false"/>
          <w:lang w:val="en-GB"/>
        </w:rPr>
        <w:t xml:space="preserve"> on pain of redundancy. </w:t>
      </w:r>
    </w:p>
  </w:footnote>
  <w:footnote w:id="40">
    <w:p>
      <w:pPr>
        <w:pStyle w:val="Endnote"/>
        <w:jc w:val="both"/>
        <w:rPr>
          <w:lang w:val="en-GB"/>
        </w:rPr>
      </w:pPr>
      <w:r>
        <w:rPr>
          <w:rStyle w:val="FootnoteCharacters"/>
        </w:rPr>
        <w:footnoteRef/>
      </w:r>
      <w:r>
        <w:rPr>
          <w:rFonts w:cs="Times New Roman" w:ascii="Baskerville Old Face" w:hAnsi="Baskerville Old Face"/>
          <w:i/>
          <w:iCs/>
          <w:lang w:val="en-GB"/>
        </w:rPr>
        <w:t>Pros. proemium</w:t>
      </w:r>
      <w:r>
        <w:rPr>
          <w:rFonts w:cs="Times New Roman" w:ascii="Baskerville Old Face" w:hAnsi="Baskerville Old Face"/>
          <w:lang w:val="en-GB"/>
        </w:rPr>
        <w:t>.</w:t>
      </w:r>
    </w:p>
  </w:footnote>
  <w:footnote w:id="41">
    <w:p>
      <w:pPr>
        <w:pStyle w:val="End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Pros. proemium</w:t>
      </w:r>
      <w:r>
        <w:rPr>
          <w:rFonts w:cs="Times New Roman" w:ascii="Baskerville Old Face" w:hAnsi="Baskerville Old Face"/>
          <w:lang w:val="en-GB"/>
        </w:rPr>
        <w:t>: Coepi mecum quaerere si forte posset inveniri unum argumentum, quod nullo alio ad se probandum, quam se solo indigeret; et solum ad astruendum quia Deus vere est, et quia est summum bonum nullo alio indigens, et quo omnia indigent ut sint et bene sint; et quaecunque credimus de divina substantia.</w:t>
      </w:r>
    </w:p>
  </w:footnote>
  <w:footnote w:id="42">
    <w:p>
      <w:pPr>
        <w:pStyle w:val="Endnote"/>
        <w:jc w:val="both"/>
        <w:rPr>
          <w:lang w:val="en-GB"/>
        </w:rPr>
      </w:pPr>
      <w:r>
        <w:rPr>
          <w:rStyle w:val="FootnoteCharacters"/>
        </w:rPr>
        <w:footnoteRef/>
      </w:r>
      <w:r>
        <w:rPr>
          <w:rFonts w:cs="Times New Roman" w:ascii="Baskerville Old Face" w:hAnsi="Baskerville Old Face"/>
          <w:lang w:val="en-GB"/>
        </w:rPr>
        <w:t>Ibid.</w:t>
      </w:r>
    </w:p>
  </w:footnote>
  <w:footnote w:id="4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 xml:space="preserve">1187B-1187D. </w:t>
      </w:r>
    </w:p>
  </w:footnote>
  <w:footnote w:id="4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needn’t imply the existence of real distinct accidents inhering in God. But this point has to wait until </w:t>
      </w:r>
      <w:r>
        <w:rPr>
          <w:rFonts w:cs="Times New Roman" w:ascii="Baskerville Old Face" w:hAnsi="Baskerville Old Face"/>
          <w:i/>
          <w:lang w:val="en-GB"/>
        </w:rPr>
        <w:t xml:space="preserve">Proslogion </w:t>
      </w:r>
      <w:r>
        <w:rPr>
          <w:rFonts w:cs="Times New Roman" w:ascii="Baskerville Old Face" w:hAnsi="Baskerville Old Face"/>
          <w:lang w:val="en-GB"/>
        </w:rPr>
        <w:t>12, and so isn’t yet present at the beginning of Anselm’s treatise.</w:t>
      </w:r>
    </w:p>
  </w:footnote>
  <w:footnote w:id="4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On extrinsic topics, see </w:t>
      </w:r>
      <w:r>
        <w:rPr>
          <w:rFonts w:cs="Times New Roman" w:ascii="Baskerville Old Face" w:hAnsi="Baskerville Old Face"/>
          <w:i/>
          <w:lang w:val="en-GB"/>
        </w:rPr>
        <w:t xml:space="preserve">BDT </w:t>
      </w:r>
      <w:r>
        <w:rPr>
          <w:rFonts w:cs="Times New Roman" w:ascii="Baskerville Old Face" w:hAnsi="Baskerville Old Face"/>
          <w:lang w:val="en-GB"/>
        </w:rPr>
        <w:t>1190B-1192B.</w:t>
      </w:r>
    </w:p>
  </w:footnote>
  <w:footnote w:id="46">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Pros. </w:t>
      </w:r>
      <w:r>
        <w:rPr>
          <w:rFonts w:ascii="Baskerville Old Face" w:hAnsi="Baskerville Old Face"/>
          <w:lang w:val="en-GB"/>
        </w:rPr>
        <w:t>5.</w:t>
      </w:r>
    </w:p>
  </w:footnote>
  <w:footnote w:id="4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1192C-1193D.</w:t>
      </w:r>
    </w:p>
  </w:footnote>
  <w:footnote w:id="4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This format is especially prominent in Scotus’ reformulation of the proof. See Scotus 1966.</w:t>
      </w:r>
    </w:p>
  </w:footnote>
  <w:footnote w:id="49">
    <w:p>
      <w:pPr>
        <w:pStyle w:val="Footnote"/>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 xml:space="preserve">This may help explain Anselm’s sometimes acerbic tone in the </w:t>
      </w:r>
      <w:r>
        <w:rPr>
          <w:rFonts w:ascii="Baskerville Old Face" w:hAnsi="Baskerville Old Face"/>
          <w:i/>
          <w:lang w:val="en-GB"/>
        </w:rPr>
        <w:t>Responsio</w:t>
      </w:r>
      <w:r>
        <w:rPr>
          <w:rFonts w:ascii="Baskerville Old Face" w:hAnsi="Baskerville Old Face"/>
          <w:lang w:val="en-GB"/>
        </w:rPr>
        <w:t xml:space="preserve">: he rightly read Gaunilo’s praise at the end of the </w:t>
      </w:r>
      <w:r>
        <w:rPr>
          <w:rFonts w:ascii="Baskerville Old Face" w:hAnsi="Baskerville Old Face"/>
          <w:i/>
          <w:lang w:val="en-GB"/>
        </w:rPr>
        <w:t>Pro Insipiente</w:t>
      </w:r>
      <w:r>
        <w:rPr>
          <w:rFonts w:ascii="Baskerville Old Face" w:hAnsi="Baskerville Old Face"/>
          <w:lang w:val="en-GB"/>
        </w:rPr>
        <w:t xml:space="preserve"> as tongue-in-cheek.</w:t>
      </w:r>
    </w:p>
  </w:footnote>
  <w:footnote w:id="5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Cf. Aquinas’ criticism of the argument at ST. Ia, q. 2, art. 1. There, Aquinas attacks the evidential status of the minor premise, and thereby the fittingness of taking it up into the context of a dialectical disputation: ‘It is possible that who hears the name ‘God’ does not understand it to signify something than which a greater cannot be thought, since some would believe God is a body.’</w:t>
      </w:r>
    </w:p>
  </w:footnote>
  <w:footnote w:id="51">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Resp. </w:t>
      </w:r>
      <w:r>
        <w:rPr>
          <w:rFonts w:ascii="Baskerville Old Face" w:hAnsi="Baskerville Old Face"/>
          <w:lang w:val="en-GB"/>
        </w:rPr>
        <w:t>1: ‘Quod quam falsum sit, fide et conscientia tua pro firmissimo utor argumento’</w:t>
      </w:r>
    </w:p>
  </w:footnote>
  <w:footnote w:id="52">
    <w:p>
      <w:pPr>
        <w:pStyle w:val="Footnote"/>
        <w:jc w:val="both"/>
        <w:rPr>
          <w:lang w:val="en-GB"/>
        </w:rPr>
      </w:pPr>
      <w:r>
        <w:rPr>
          <w:rStyle w:val="FootnoteCharacters"/>
        </w:rPr>
        <w:footnoteRef/>
      </w:r>
      <w:r>
        <w:rPr>
          <w:rFonts w:ascii="Baskerville Old Face" w:hAnsi="Baskerville Old Face"/>
          <w:lang w:val="en-GB"/>
        </w:rPr>
        <w:t xml:space="preserve"> </w:t>
      </w:r>
      <w:r>
        <w:rPr>
          <w:rFonts w:cs="Times New Roman" w:ascii="Baskerville Old Face" w:hAnsi="Baskerville Old Face"/>
          <w:i w:val="false"/>
          <w:iCs w:val="false"/>
          <w:lang w:val="en-GB"/>
        </w:rPr>
        <w:t xml:space="preserve">On the meaning of </w:t>
      </w:r>
      <w:r>
        <w:rPr>
          <w:rFonts w:cs="Times New Roman" w:ascii="Baskerville Old Face" w:hAnsi="Baskerville Old Face"/>
          <w:i/>
          <w:iCs w:val="false"/>
          <w:lang w:val="en-GB"/>
        </w:rPr>
        <w:t>probabilis</w:t>
      </w:r>
      <w:r>
        <w:rPr>
          <w:rFonts w:cs="Times New Roman" w:ascii="Baskerville Old Face" w:hAnsi="Baskerville Old Face"/>
          <w:i w:val="false"/>
          <w:iCs w:val="false"/>
          <w:lang w:val="en-GB"/>
        </w:rPr>
        <w:t xml:space="preserve"> in Boethius’ theory of the topics, see </w:t>
      </w:r>
      <w:r>
        <w:rPr>
          <w:rFonts w:cs="Times New Roman" w:ascii="Baskerville Old Face" w:hAnsi="Baskerville Old Face"/>
          <w:i/>
          <w:iCs w:val="false"/>
          <w:lang w:val="en-GB"/>
        </w:rPr>
        <w:t xml:space="preserve">BDT </w:t>
      </w:r>
      <w:r>
        <w:rPr>
          <w:rFonts w:cs="Times New Roman" w:ascii="Baskerville Old Face" w:hAnsi="Baskerville Old Face"/>
          <w:i w:val="false"/>
          <w:iCs w:val="false"/>
          <w:lang w:val="en-GB"/>
        </w:rPr>
        <w:t xml:space="preserve">1180C-1182C. </w:t>
      </w:r>
      <w:r>
        <w:rPr>
          <w:rFonts w:ascii="Baskerville Old Face" w:hAnsi="Baskerville Old Face"/>
          <w:lang w:val="en-GB"/>
        </w:rPr>
        <w:t xml:space="preserve">The sense is not that of something being probable in the mathematical sense, which only arose with the work of Pascal and others many centuries later. Rather, the root of the term is the Latin </w:t>
      </w:r>
      <w:r>
        <w:rPr>
          <w:rFonts w:ascii="Baskerville Old Face" w:hAnsi="Baskerville Old Face"/>
          <w:i/>
          <w:iCs/>
          <w:lang w:val="en-GB"/>
        </w:rPr>
        <w:t>probo</w:t>
      </w:r>
      <w:r>
        <w:rPr>
          <w:rFonts w:ascii="Baskerville Old Face" w:hAnsi="Baskerville Old Face"/>
          <w:i w:val="false"/>
          <w:iCs w:val="false"/>
          <w:lang w:val="en-GB"/>
        </w:rPr>
        <w:t>, to prove or test – hence the sense of something’s having been tested, and consequently trustworthy or reliable, albeit not necessarily infallibly so.</w:t>
      </w:r>
    </w:p>
  </w:footnote>
  <w:footnote w:id="5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BDT </w:t>
      </w:r>
      <w:r>
        <w:rPr>
          <w:rFonts w:cs="Times New Roman" w:ascii="Baskerville Old Face" w:hAnsi="Baskerville Old Face"/>
          <w:lang w:val="en-GB"/>
        </w:rPr>
        <w:t>1180CD: ‘Probabile vero est quod videtur vel omnibus, vel pluribus, vel sapientibus, et his vel omnibus, vel pluribus, vel maxime notis atque praecipuis; vel quod unicuique artifici secundum propriam facultatem.’</w:t>
      </w:r>
    </w:p>
  </w:footnote>
  <w:footnote w:id="5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Resp. proemium</w:t>
      </w:r>
      <w:r>
        <w:rPr>
          <w:rFonts w:cs="Times New Roman" w:ascii="Baskerville Old Face" w:hAnsi="Baskerville Old Face"/>
          <w:lang w:val="en-GB"/>
        </w:rPr>
        <w:t>.</w:t>
      </w:r>
    </w:p>
  </w:footnote>
  <w:footnote w:id="5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This strategy for excluding the fool from the disputation is retained as the environment for the proof shifts from monastic to scholastic. Witness Bonaventure: ‘the intellect has in itself … sufficient light to repel this doubt and to extricate itself from its folly. Whence the foolish mind voluntarily rather than by constraint considers the matter in a deficient manner, so that the defect is on the part of the intellect itself and not because of any deficiency on the part of the thing known.’ Trans. of Bonaventure 1891, 50, from Wippel and Wolter 1969, 310.</w:t>
      </w:r>
    </w:p>
  </w:footnote>
  <w:footnote w:id="56">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 Ins. </w:t>
      </w:r>
      <w:r>
        <w:rPr>
          <w:rFonts w:ascii="Baskerville Old Face" w:hAnsi="Baskerville Old Face"/>
          <w:lang w:val="en-GB"/>
        </w:rPr>
        <w:t>2: ‘Respondere forsitan potest, quod hoc jam esse dicitur in intellectu meo, non ob aliud, nisi quia id quod dicitur intelligo. Nonne et quaecunque falsa, ac nullo prorsus modo in seipsis existentia, in intellectu habere similiter dici possem cum ea, dicente aliquot, quaecumque ille diceret, ego intelligerem?’</w:t>
      </w:r>
    </w:p>
  </w:footnote>
  <w:footnote w:id="57">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 Ins. </w:t>
      </w:r>
      <w:r>
        <w:rPr>
          <w:rFonts w:ascii="Baskerville Old Face" w:hAnsi="Baskerville Old Face"/>
          <w:lang w:val="en-GB"/>
        </w:rPr>
        <w:t>2: ‘Sed si hoc est: primo quidem non hic erit aliud, idemque tempore praecedens, habere rem in intellectu; et aliud, idemque tempore sequens, intelligere rem esse.’</w:t>
      </w:r>
    </w:p>
  </w:footnote>
  <w:footnote w:id="58">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Resp. </w:t>
      </w:r>
      <w:r>
        <w:rPr>
          <w:rFonts w:ascii="Baskerville Old Face" w:hAnsi="Baskerville Old Face"/>
          <w:lang w:val="en-GB"/>
        </w:rPr>
        <w:t>1: ‘Quod si dicis non intelligi et non esse in intellectu, quod non penitus intelligitur; dic quia qui non potest intueri purissimam lucem solis, non videt lucem diei, quae non est nisi lux solis.’</w:t>
      </w:r>
    </w:p>
  </w:footnote>
  <w:footnote w:id="59">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Pros. </w:t>
      </w:r>
      <w:r>
        <w:rPr>
          <w:rFonts w:cs="Times New Roman" w:ascii="Baskerville Old Face" w:hAnsi="Baskerville Old Face"/>
          <w:lang w:val="en-GB"/>
        </w:rPr>
        <w:t xml:space="preserve">2: ‘Ergo, Domine, qui das fidei intellectum, da mihi, ut … intelligam quia es, sicut credimus, et hoc es, quod credimus.’ </w:t>
      </w:r>
    </w:p>
  </w:footnote>
  <w:footnote w:id="60">
    <w:p>
      <w:pPr>
        <w:pStyle w:val="Footnote"/>
        <w:rPr>
          <w:rFonts w:ascii="Baskerville Old Face" w:hAnsi="Baskerville Old Face"/>
        </w:rPr>
      </w:pPr>
      <w:r>
        <w:rPr>
          <w:rStyle w:val="FootnoteCharacters"/>
        </w:rPr>
        <w:footnoteRef/>
      </w:r>
      <w:r>
        <w:rPr>
          <w:rFonts w:ascii="Baskerville Old Face" w:hAnsi="Baskerville Old Face"/>
        </w:rPr>
        <w:t>Thanks to Ian Logan for comments on an earlier draft of this essay.</w:t>
      </w:r>
    </w:p>
  </w:footnote>
</w:footnotes>
</file>

<file path=word/settings.xml><?xml version="1.0" encoding="utf-8"?>
<w:settings xmlns:w="http://schemas.openxmlformats.org/wordprocessingml/2006/main">
  <w:zoom w:percent="125"/>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ef0c45"/>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725c0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f0c45"/>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f0c45"/>
    <w:rPr>
      <w:rFonts w:eastAsia="" w:eastAsiaTheme="minorEastAsia"/>
      <w:color w:val="5A5A5A" w:themeColor="text1" w:themeTint="a5"/>
      <w:spacing w:val="15"/>
    </w:rPr>
  </w:style>
  <w:style w:type="character" w:styleId="Heading1Char" w:customStyle="1">
    <w:name w:val="Heading 1 Char"/>
    <w:basedOn w:val="DefaultParagraphFont"/>
    <w:link w:val="Heading1"/>
    <w:uiPriority w:val="9"/>
    <w:qFormat/>
    <w:rsid w:val="00ef0c45"/>
    <w:rPr>
      <w:rFonts w:ascii="Calibri Light" w:hAnsi="Calibri Light" w:eastAsia="" w:cs="" w:asciiTheme="majorHAnsi" w:cstheme="majorBidi" w:eastAsiaTheme="majorEastAsia" w:hAnsiTheme="majorHAnsi"/>
      <w:color w:val="2E74B5" w:themeColor="accent1" w:themeShade="bf"/>
      <w:sz w:val="32"/>
      <w:szCs w:val="32"/>
    </w:rPr>
  </w:style>
  <w:style w:type="character" w:styleId="FootnoteTextChar" w:customStyle="1">
    <w:name w:val="Footnote Text Char"/>
    <w:basedOn w:val="DefaultParagraphFont"/>
    <w:link w:val="Footnote"/>
    <w:uiPriority w:val="99"/>
    <w:qFormat/>
    <w:rsid w:val="006451a7"/>
    <w:rPr>
      <w:sz w:val="20"/>
      <w:szCs w:val="20"/>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Opus1" w:customStyle="1">
    <w:name w:val="opus1"/>
    <w:basedOn w:val="DefaultParagraphFont"/>
    <w:qFormat/>
    <w:rsid w:val="00135baf"/>
    <w:rPr>
      <w:i/>
      <w:iCs/>
    </w:rPr>
  </w:style>
  <w:style w:type="character" w:styleId="Prose1" w:customStyle="1">
    <w:name w:val="prose1"/>
    <w:basedOn w:val="DefaultParagraphFont"/>
    <w:qFormat/>
    <w:rsid w:val="00135baf"/>
    <w:rPr>
      <w:color w:val="008000"/>
    </w:rPr>
  </w:style>
  <w:style w:type="character" w:styleId="Lb" w:customStyle="1">
    <w:name w:val="lb"/>
    <w:basedOn w:val="DefaultParagraphFont"/>
    <w:qFormat/>
    <w:rsid w:val="00135baf"/>
    <w:rPr/>
  </w:style>
  <w:style w:type="character" w:styleId="Poetry1" w:customStyle="1">
    <w:name w:val="poetry1"/>
    <w:basedOn w:val="DefaultParagraphFont"/>
    <w:qFormat/>
    <w:rsid w:val="00135baf"/>
    <w:rPr>
      <w:color w:val="0000FF"/>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Strong">
    <w:name w:val="Strong"/>
    <w:basedOn w:val="DefaultParagraphFont"/>
    <w:uiPriority w:val="22"/>
    <w:qFormat/>
    <w:rsid w:val="00bd2e71"/>
    <w:rPr>
      <w:b/>
      <w:bCs/>
    </w:rPr>
  </w:style>
  <w:style w:type="character" w:styleId="EndnoteTextChar" w:customStyle="1">
    <w:name w:val="Endnote Text Char"/>
    <w:basedOn w:val="DefaultParagraphFont"/>
    <w:link w:val="Endnote"/>
    <w:uiPriority w:val="99"/>
    <w:semiHidden/>
    <w:qFormat/>
    <w:rsid w:val="00c9621c"/>
    <w:rPr>
      <w:sz w:val="20"/>
      <w:szCs w:val="20"/>
    </w:rPr>
  </w:style>
  <w:style w:type="character" w:styleId="Heading2Char" w:customStyle="1">
    <w:name w:val="Heading 2 Char"/>
    <w:basedOn w:val="DefaultParagraphFont"/>
    <w:link w:val="Heading2"/>
    <w:uiPriority w:val="9"/>
    <w:qFormat/>
    <w:rsid w:val="00725c0d"/>
    <w:rPr>
      <w:rFonts w:ascii="Calibri Light" w:hAnsi="Calibri Light" w:eastAsia="" w:cs="" w:asciiTheme="majorHAnsi" w:cstheme="majorBidi" w:eastAsiaTheme="majorEastAsia" w:hAnsiTheme="majorHAnsi"/>
      <w:color w:val="2E74B5" w:themeColor="accent1" w:themeShade="bf"/>
      <w:sz w:val="26"/>
      <w:szCs w:val="26"/>
    </w:rPr>
  </w:style>
  <w:style w:type="character" w:styleId="HeaderChar" w:customStyle="1">
    <w:name w:val="Header Char"/>
    <w:basedOn w:val="DefaultParagraphFont"/>
    <w:link w:val="Header"/>
    <w:uiPriority w:val="99"/>
    <w:qFormat/>
    <w:rsid w:val="00d778db"/>
    <w:rPr/>
  </w:style>
  <w:style w:type="character" w:styleId="FooterChar" w:customStyle="1">
    <w:name w:val="Footer Char"/>
    <w:basedOn w:val="DefaultParagraphFont"/>
    <w:link w:val="Footer"/>
    <w:uiPriority w:val="99"/>
    <w:qFormat/>
    <w:rsid w:val="00d778db"/>
    <w:rPr/>
  </w:style>
  <w:style w:type="character" w:styleId="Emphasis">
    <w:name w:val="Emphasis"/>
    <w:basedOn w:val="DefaultParagraphFont"/>
    <w:uiPriority w:val="20"/>
    <w:qFormat/>
    <w:rsid w:val="001f00c2"/>
    <w:rPr>
      <w:i/>
      <w:iCs/>
    </w:rPr>
  </w:style>
  <w:style w:type="character" w:styleId="InternetLink">
    <w:name w:val="Hyperlink"/>
    <w:rPr>
      <w:color w:val="000080"/>
      <w:u w:val="single"/>
      <w:lang w:eastAsia="zxx" w:bidi="zxx"/>
    </w:rPr>
  </w:style>
  <w:style w:type="character" w:styleId="VisitedInternetLink">
    <w:name w:val="FollowedHyperlink"/>
    <w:rPr>
      <w:color w:val="800000"/>
      <w:u w:val="single"/>
      <w:lang w:val="zxx"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ef0c4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f0c45"/>
    <w:pPr/>
    <w:rPr>
      <w:rFonts w:eastAsia="" w:eastAsiaTheme="minorEastAsia"/>
      <w:color w:val="5A5A5A" w:themeColor="text1" w:themeTint="a5"/>
      <w:spacing w:val="15"/>
    </w:rPr>
  </w:style>
  <w:style w:type="paragraph" w:styleId="Footnote">
    <w:name w:val="Footnote Text"/>
    <w:basedOn w:val="Normal"/>
    <w:link w:val="FootnoteTextChar"/>
    <w:uiPriority w:val="99"/>
    <w:unhideWhenUsed/>
    <w:rsid w:val="006451a7"/>
    <w:pPr>
      <w:spacing w:lineRule="auto" w:line="240" w:before="0" w:after="0"/>
    </w:pPr>
    <w:rPr>
      <w:sz w:val="20"/>
      <w:szCs w:val="20"/>
    </w:rPr>
  </w:style>
  <w:style w:type="paragraph" w:styleId="Standard" w:customStyle="1">
    <w:name w:val="Standard"/>
    <w:qFormat/>
    <w:rsid w:val="00f67718"/>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val="en-GB" w:eastAsia="zh-CN" w:bidi="hi-IN"/>
    </w:rPr>
  </w:style>
  <w:style w:type="paragraph" w:styleId="ListParagraph">
    <w:name w:val="List Paragraph"/>
    <w:basedOn w:val="Normal"/>
    <w:qFormat/>
    <w:rsid w:val="00007889"/>
    <w:pPr>
      <w:spacing w:before="0" w:after="160"/>
      <w:ind w:left="720" w:hanging="0"/>
      <w:contextualSpacing/>
    </w:pPr>
    <w:rPr/>
  </w:style>
  <w:style w:type="paragraph" w:styleId="Endnote">
    <w:name w:val="Endnote Text"/>
    <w:basedOn w:val="Normal"/>
    <w:link w:val="EndnoteTextChar"/>
    <w:uiPriority w:val="99"/>
    <w:semiHidden/>
    <w:unhideWhenUsed/>
    <w:rsid w:val="00c9621c"/>
    <w:pPr>
      <w:spacing w:lineRule="auto" w:line="240" w:before="0" w:after="0"/>
    </w:pPr>
    <w:rPr>
      <w:sz w:val="20"/>
      <w:szCs w:val="2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778d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778db"/>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dd09f1"/>
    <w:pPr>
      <w:spacing w:lineRule="auto" w:line="240" w:beforeAutospacing="1" w:afterAutospacing="1"/>
    </w:pPr>
    <w:rPr>
      <w:rFonts w:ascii="Times New Roman" w:hAnsi="Times New Roman" w:eastAsia="Times New Roman" w:cs="Times New Roman"/>
      <w:sz w:val="24"/>
      <w:szCs w:val="24"/>
    </w:rPr>
  </w:style>
  <w:style w:type="paragraph" w:styleId="TableContents" w:customStyle="1">
    <w:name w:val="Table Contents"/>
    <w:basedOn w:val="Standard"/>
    <w:qFormat/>
    <w:rsid w:val="00a964a9"/>
    <w:pPr>
      <w:suppressLineNumbers/>
      <w:textAlignment w:val="auto"/>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primarysources.brillonline.com/browse/vossiani-latini/vlq-055-vita-liudgeri-cartularium-werthinense/manuscript;vossianivlq05501vlq055sou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180AD-2F61-40BF-846A-C82AC368F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30052</TotalTime>
  <Application>LibreOffice/7.4.3.2$Linux_X86_64 LibreOffice_project/1048a8393ae2eeec98dff31b5c133c5f1d08b890</Application>
  <AppVersion>15.0000</AppVersion>
  <Pages>35</Pages>
  <Words>9672</Words>
  <Characters>50498</Characters>
  <CharactersWithSpaces>60145</CharactersWithSpaces>
  <Paragraphs>208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2022-08-22T14:51:00Z</dcterms:created>
  <dc:creator>Jacob Archambault</dc:creator>
  <dc:description/>
  <dc:language>en-US</dc:language>
  <cp:lastModifiedBy/>
  <cp:lastPrinted>2022-08-28T12:40:00Z</cp:lastPrinted>
  <dcterms:modified xsi:type="dcterms:W3CDTF">2023-01-02T09:39:38Z</dcterms:modified>
  <cp:revision>755</cp:revision>
  <dc:subject/>
  <dc:title/>
</cp:coreProperties>
</file>

<file path=docProps/custom.xml><?xml version="1.0" encoding="utf-8"?>
<Properties xmlns="http://schemas.openxmlformats.org/officeDocument/2006/custom-properties" xmlns:vt="http://schemas.openxmlformats.org/officeDocument/2006/docPropsVTypes"/>
</file>