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w:t>
      </w:r>
      <w:r>
        <w:rPr>
          <w:rFonts w:cs="Times New Roman" w:ascii="Baskerville Old Face" w:hAnsi="Baskerville Old Face"/>
          <w:sz w:val="24"/>
          <w:szCs w:val="24"/>
        </w:rPr>
        <w:t xml:space="preserve">henever one thing partakes of another, this participation </w:t>
      </w:r>
      <w:r>
        <w:rPr>
          <w:rFonts w:cs="Times New Roman" w:ascii="Baskerville Old Face" w:hAnsi="Baskerville Old Face"/>
          <w:sz w:val="24"/>
          <w:szCs w:val="24"/>
        </w:rPr>
        <w:t xml:space="preserve">also extends to </w:t>
      </w:r>
      <w:r>
        <w:rPr>
          <w:rFonts w:cs="Times New Roman" w:ascii="Baskerville Old Face" w:hAnsi="Baskerville Old Face"/>
          <w:sz w:val="24"/>
          <w:szCs w:val="24"/>
        </w:rPr>
        <w:t xml:space="preserve">the name </w:t>
      </w:r>
      <w:r>
        <w:rPr>
          <w:rFonts w:cs="Times New Roman" w:ascii="Baskerville Old Face" w:hAnsi="Baskerville Old Face"/>
          <w:sz w:val="24"/>
          <w:szCs w:val="24"/>
        </w:rPr>
        <w:t xml:space="preserve">just as to </w:t>
      </w:r>
      <w:r>
        <w:rPr>
          <w:rFonts w:cs="Times New Roman" w:ascii="Baskerville Old Face" w:hAnsi="Baskerville Old Face"/>
          <w:sz w:val="24"/>
          <w:szCs w:val="24"/>
        </w:rPr>
        <w:t>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w:t>
      </w:r>
      <w:r>
        <w:rPr>
          <w:rFonts w:cs="Times New Roman" w:ascii="Baskerville Old Face" w:hAnsi="Baskerville Old Face"/>
        </w:rPr>
        <w:t>alt.</w:t>
      </w:r>
      <w:r>
        <w:rPr>
          <w:rFonts w:cs="Times New Roman" w:ascii="Baskerville Old Face" w:hAnsi="Baskerville Old Face"/>
        </w:rPr>
        <w:t>:</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rPr>
        <w:t xml:space="preserve">participatio </w:t>
      </w:r>
      <w:r>
        <w:rPr>
          <w:rFonts w:cs="Times New Roman" w:ascii="Baskerville Old Face" w:hAnsi="Baskerville Old Face"/>
        </w:rPr>
        <w:t>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z w:val="20"/>
          <w:szCs w:val="20"/>
        </w:rPr>
        <w:t>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z w:val="20"/>
          <w:szCs w:val="20"/>
        </w:rPr>
        <w:t xml:space="preserve">grammaticus </w:t>
      </w:r>
      <w:r>
        <w:rPr>
          <w:rFonts w:cs="Times New Roman" w:ascii="Baskerville Old Face" w:hAnsi="Baskerville Old Face"/>
          <w:sz w:val="20"/>
          <w:szCs w:val="20"/>
        </w:rPr>
        <w:t>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Application>LibreOffice/7.4.1.2$Linux_X86_64 LibreOffice_project/3c58a8f3a960df8bc8fd77b461821e42c061c5f0</Application>
  <AppVersion>15.0000</AppVersion>
  <Pages>33</Pages>
  <Words>9210</Words>
  <Characters>47514</Characters>
  <CharactersWithSpaces>56704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2022-10-25T23:18:02Z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