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turn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 to show how these considerations illuminate Anselm’s method in these works.</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 medieval theories of.</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but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 xml:space="preserve">Two objections arise at this point: first, that the above merely amounts to replacing the word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generally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not to what is immediately meant by an utterance, but to a property of words by which they both mean and refer: for the former he instead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Rather,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would require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27384</TotalTime>
  <Application>LibreOffice/7.4.2.3$Linux_X86_64 LibreOffice_project/382eef1f22670f7f4118c8c2dd222ec7ad009daf</Application>
  <AppVersion>15.0000</AppVersion>
  <Pages>36</Pages>
  <Words>9780</Words>
  <Characters>50959</Characters>
  <CharactersWithSpaces>60715</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2022-11-21T17:26:52Z</dcterms:modified>
  <cp:revision>622</cp:revision>
  <dc:subject/>
  <dc:title/>
</cp:coreProperties>
</file>

<file path=docProps/custom.xml><?xml version="1.0" encoding="utf-8"?>
<Properties xmlns="http://schemas.openxmlformats.org/officeDocument/2006/custom-properties" xmlns:vt="http://schemas.openxmlformats.org/officeDocument/2006/docPropsVTypes"/>
</file>