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 Independent Scholar</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 xml:space="preserve">Keywords: Anselm of Canterbury; </w:t>
      </w:r>
      <w:r>
        <w:rPr>
          <w:rFonts w:cs="Times New Roman" w:ascii="Baskerville Old Face" w:hAnsi="Baskerville Old Face"/>
          <w:sz w:val="24"/>
          <w:szCs w:val="24"/>
          <w:lang w:val="en-GB"/>
        </w:rPr>
        <w:t>Boethius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w:t>
      </w:r>
      <w:r>
        <w:rPr>
          <w:rFonts w:cs="Times New Roman" w:ascii="Baskerville Old Face" w:hAnsi="Baskerville Old Face"/>
          <w:sz w:val="24"/>
          <w:szCs w:val="24"/>
          <w:lang w:val="en-GB"/>
        </w:rPr>
        <w:t xml:space="preserve">opics,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interpretations of; faith</w:t>
      </w:r>
      <w:r>
        <w:rPr>
          <w:rFonts w:cs="Times New Roman" w:ascii="Baskerville Old Face" w:hAnsi="Baskerville Old Face"/>
          <w:sz w:val="24"/>
          <w:szCs w:val="24"/>
          <w:lang w:val="en-GB"/>
        </w:rPr>
        <w:t xml:space="preserve"> and reason, medieval theories of</w:t>
      </w:r>
      <w:r>
        <w:rPr>
          <w:rFonts w:cs="Times New Roman" w:ascii="Baskerville Old Face" w:hAnsi="Baskerville Old Face"/>
          <w:sz w:val="24"/>
          <w:szCs w:val="24"/>
          <w:lang w:val="en-GB"/>
        </w:rPr>
        <w:t>.</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 xml:space="preserve">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are, on Anselm’s analysis, derivative. If reading Anselm differently on this point proves fruitful, </w:t>
      </w:r>
      <w:r>
        <w:rPr>
          <w:rFonts w:cs="Times New Roman" w:ascii="Baskerville Old Face" w:hAnsi="Baskerville Old Face"/>
          <w:sz w:val="24"/>
          <w:szCs w:val="24"/>
          <w:lang w:val="en-GB"/>
        </w:rPr>
        <w:t>it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may also </w:t>
      </w:r>
      <w:r>
        <w:rPr>
          <w:rFonts w:cs="Times New Roman" w:ascii="Baskerville Old Face" w:hAnsi="Baskerville Old Face"/>
          <w:sz w:val="24"/>
          <w:szCs w:val="24"/>
          <w:lang w:val="en-GB"/>
        </w:rPr>
        <w:t xml:space="preserve">provide a way </w:t>
      </w:r>
      <w:r>
        <w:rPr>
          <w:rFonts w:cs="Times New Roman" w:ascii="Baskerville Old Face" w:hAnsi="Baskerville Old Face"/>
          <w:sz w:val="24"/>
          <w:szCs w:val="24"/>
          <w:lang w:val="en-GB"/>
        </w:rPr>
        <w:t xml:space="preserve">into </w:t>
      </w:r>
      <w:r>
        <w:rPr>
          <w:rFonts w:cs="Times New Roman" w:ascii="Baskerville Old Face" w:hAnsi="Baskerville Old Face"/>
          <w:sz w:val="24"/>
          <w:szCs w:val="24"/>
          <w:lang w:val="en-GB"/>
        </w:rPr>
        <w:t>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w:t>
      </w:r>
      <w:r>
        <w:rPr>
          <w:rFonts w:cs="Times New Roman" w:ascii="Baskerville Old Face" w:hAnsi="Baskerville Old Face"/>
          <w:sz w:val="24"/>
          <w:szCs w:val="24"/>
          <w:lang w:val="en-GB"/>
        </w:rPr>
        <w:t>hinders</w:t>
      </w:r>
      <w:r>
        <w:rPr>
          <w:rFonts w:cs="Times New Roman" w:ascii="Baskerville Old Face" w:hAnsi="Baskerville Old Face"/>
          <w:sz w:val="24"/>
          <w:szCs w:val="24"/>
          <w:lang w:val="en-GB"/>
        </w:rPr>
        <w:t xml:space="preserve">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w:t>
      </w:r>
      <w:r>
        <w:rPr>
          <w:rFonts w:cs="Times New Roman" w:ascii="Baskerville Old Face" w:hAnsi="Baskerville Old Face"/>
          <w:i w:val="false"/>
          <w:iCs w:val="false"/>
          <w:sz w:val="24"/>
          <w:szCs w:val="24"/>
          <w:lang w:val="en-GB"/>
        </w:rPr>
        <w:t>in its proper context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Its</w:t>
      </w:r>
      <w:r>
        <w:rPr>
          <w:rFonts w:cs="Times New Roman" w:ascii="Baskerville Old Face" w:hAnsi="Baskerville Old Face"/>
          <w:sz w:val="24"/>
          <w:szCs w:val="24"/>
          <w:lang w:val="en-GB"/>
        </w:rPr>
        <w:t xml:space="preserve">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logic generally takes meanings to be neither objects nor impositions of subjects, </w:t>
      </w:r>
      <w:r>
        <w:rPr>
          <w:rFonts w:cs="Times New Roman" w:ascii="Baskerville Old Face" w:hAnsi="Baskerville Old Face"/>
          <w:sz w:val="24"/>
          <w:szCs w:val="24"/>
          <w:lang w:val="en-GB"/>
        </w:rPr>
        <w:t>but</w:t>
      </w:r>
      <w:r>
        <w:rPr>
          <w:rFonts w:cs="Times New Roman" w:ascii="Baskerville Old Face" w:hAnsi="Baskerville Old Face"/>
          <w:sz w:val="24"/>
          <w:szCs w:val="24"/>
          <w:lang w:val="en-GB"/>
        </w:rPr>
        <w:t xml:space="preserve">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The above passages manifest two aspects of early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thinking more generally. First, the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w:t>
      </w:r>
      <w:r>
        <w:rPr>
          <w:rFonts w:cs="Times New Roman" w:ascii="Baskerville Old Face" w:hAnsi="Baskerville Old Face"/>
          <w:sz w:val="24"/>
          <w:szCs w:val="24"/>
          <w:lang w:val="en-GB"/>
        </w:rPr>
        <w:t xml:space="preserve">to </w:t>
      </w:r>
      <w:r>
        <w:rPr>
          <w:rFonts w:cs="Times New Roman" w:ascii="Baskerville Old Face" w:hAnsi="Baskerville Old Face"/>
          <w:sz w:val="24"/>
          <w:szCs w:val="24"/>
          <w:lang w:val="en-GB"/>
        </w:rPr>
        <w:t xml:space="preserve">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are that by which we come to know the matters themselves. Spoken words are that by which we signify what we grasp </w:t>
      </w:r>
      <w:r>
        <w:rPr>
          <w:rFonts w:cs="Times New Roman" w:ascii="Baskerville Old Face" w:hAnsi="Baskerville Old Face"/>
          <w:sz w:val="24"/>
          <w:szCs w:val="24"/>
          <w:lang w:val="en-GB"/>
        </w:rPr>
        <w:t>in understanding</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w:t>
      </w:r>
      <w:r>
        <w:rPr>
          <w:rFonts w:cs="Times New Roman" w:ascii="Baskerville Old Face" w:hAnsi="Baskerville Old Face"/>
          <w:sz w:val="24"/>
          <w:szCs w:val="24"/>
          <w:lang w:val="en-GB"/>
        </w:rPr>
        <w:t>first, that the above merely amounts to replacing the word ‘concept’ with ‘meaning’; second</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that </w:t>
      </w:r>
      <w:r>
        <w:rPr>
          <w:rFonts w:cs="Times New Roman" w:ascii="Baskerville Old Face" w:hAnsi="Baskerville Old Face"/>
          <w:i w:val="false"/>
          <w:iCs w:val="false"/>
          <w:sz w:val="24"/>
          <w:szCs w:val="24"/>
          <w:lang w:val="en-GB"/>
        </w:rPr>
        <w:t xml:space="preserve">we would not expect </w:t>
      </w:r>
      <w:r>
        <w:rPr>
          <w:rFonts w:cs="Times New Roman" w:ascii="Baskerville Old Face" w:hAnsi="Baskerville Old Face"/>
          <w:i w:val="false"/>
          <w:iCs w:val="false"/>
          <w:sz w:val="24"/>
          <w:szCs w:val="24"/>
          <w:lang w:val="en-GB"/>
        </w:rPr>
        <w:t xml:space="preserve">the </w:t>
      </w:r>
      <w:r>
        <w:rPr>
          <w:rFonts w:cs="Times New Roman" w:ascii="Baskerville Old Face" w:hAnsi="Baskerville Old Face"/>
          <w:i w:val="false"/>
          <w:iCs w:val="false"/>
          <w:sz w:val="24"/>
          <w:szCs w:val="24"/>
          <w:lang w:val="en-GB"/>
        </w:rPr>
        <w:t xml:space="preserve">juxtaposition </w:t>
      </w:r>
      <w:r>
        <w:rPr>
          <w:rFonts w:cs="Times New Roman" w:ascii="Baskerville Old Face" w:hAnsi="Baskerville Old Face"/>
          <w:i w:val="false"/>
          <w:iCs w:val="false"/>
          <w:sz w:val="24"/>
          <w:szCs w:val="24"/>
          <w:lang w:val="en-GB"/>
        </w:rPr>
        <w:t xml:space="preserve">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w:t>
      </w:r>
      <w:r>
        <w:rPr>
          <w:rFonts w:cs="Times New Roman" w:ascii="Baskerville Old Face" w:hAnsi="Baskerville Old Face"/>
          <w:i w:val="false"/>
          <w:iCs w:val="false"/>
          <w:sz w:val="24"/>
          <w:szCs w:val="24"/>
          <w:lang w:val="en-GB"/>
        </w:rPr>
        <w:t>i</w:t>
      </w:r>
      <w:r>
        <w:rPr>
          <w:rFonts w:cs="Times New Roman" w:ascii="Baskerville Old Face" w:hAnsi="Baskerville Old Face"/>
          <w:i w:val="false"/>
          <w:iCs w:val="false"/>
          <w:sz w:val="24"/>
          <w:szCs w:val="24"/>
          <w:lang w:val="en-GB"/>
        </w:rPr>
        <w:t xml:space="preserve">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 xml:space="preserve">And so, since </w:t>
      </w:r>
      <w:r>
        <w:rPr>
          <w:rFonts w:eastAsia="Times New Roman" w:cs="Times New Roman" w:ascii="Baskerville Old Face" w:hAnsi="Baskerville Old Face"/>
          <w:color w:val="auto"/>
          <w:sz w:val="24"/>
          <w:szCs w:val="24"/>
          <w:lang w:val="en-GB" w:eastAsia="en-GB"/>
        </w:rPr>
        <w:t xml:space="preserve">1) </w:t>
      </w:r>
      <w:r>
        <w:rPr>
          <w:rFonts w:eastAsia="Times New Roman" w:cs="Times New Roman" w:ascii="Baskerville Old Face" w:hAnsi="Baskerville Old Face"/>
          <w:color w:val="auto"/>
          <w:sz w:val="24"/>
          <w:szCs w:val="24"/>
          <w:lang w:val="en-GB" w:eastAsia="en-GB"/>
        </w:rPr>
        <w:t xml:space="preserve">every affection in the soul seems to be the specific character of a thing and, furthermore, </w:t>
      </w:r>
      <w:r>
        <w:rPr>
          <w:rFonts w:eastAsia="Times New Roman" w:cs="Times New Roman" w:ascii="Baskerville Old Face" w:hAnsi="Baskerville Old Face"/>
          <w:color w:val="auto"/>
          <w:sz w:val="24"/>
          <w:szCs w:val="24"/>
          <w:lang w:val="en-GB" w:eastAsia="en-GB"/>
        </w:rPr>
        <w:t xml:space="preserve">2a) </w:t>
      </w:r>
      <w:r>
        <w:rPr>
          <w:rFonts w:eastAsia="Times New Roman" w:cs="Times New Roman" w:ascii="Baskerville Old Face" w:hAnsi="Baskerville Old Face"/>
          <w:color w:val="auto"/>
          <w:sz w:val="24"/>
          <w:szCs w:val="24"/>
          <w:lang w:val="en-GB" w:eastAsia="en-GB"/>
        </w:rPr>
        <w:t xml:space="preserve">spoken sounds signify primarily thoughts but </w:t>
      </w:r>
      <w:r>
        <w:rPr>
          <w:rFonts w:eastAsia="Times New Roman" w:cs="Times New Roman" w:ascii="Baskerville Old Face" w:hAnsi="Baskerville Old Face"/>
          <w:color w:val="auto"/>
          <w:sz w:val="24"/>
          <w:szCs w:val="24"/>
          <w:lang w:val="en-GB" w:eastAsia="en-GB"/>
        </w:rPr>
        <w:t xml:space="preserve">2b) </w:t>
      </w:r>
      <w:r>
        <w:rPr>
          <w:rFonts w:eastAsia="Times New Roman" w:cs="Times New Roman" w:ascii="Baskerville Old Face" w:hAnsi="Baskerville Old Face"/>
          <w:color w:val="auto"/>
          <w:sz w:val="24"/>
          <w:szCs w:val="24"/>
          <w:lang w:val="en-GB" w:eastAsia="en-GB"/>
        </w:rPr>
        <w:t xml:space="preserve">rely after this on the signification of the things from which thoughts arise, </w:t>
      </w:r>
      <w:r>
        <w:rPr>
          <w:rFonts w:eastAsia="Times New Roman" w:cs="Times New Roman" w:ascii="Baskerville Old Face" w:hAnsi="Baskerville Old Face"/>
          <w:color w:val="auto"/>
          <w:sz w:val="24"/>
          <w:szCs w:val="24"/>
          <w:lang w:val="en-GB" w:eastAsia="en-GB"/>
        </w:rPr>
        <w:t xml:space="preserve">3) </w:t>
      </w:r>
      <w:r>
        <w:rPr>
          <w:rFonts w:eastAsia="Times New Roman" w:cs="Times New Roman" w:ascii="Baskerville Old Face" w:hAnsi="Baskerville Old Face"/>
          <w:color w:val="auto"/>
          <w:sz w:val="24"/>
          <w:szCs w:val="24"/>
          <w:lang w:val="en-GB" w:eastAsia="en-GB"/>
        </w:rPr>
        <w:t>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w:t>
      </w:r>
      <w:r>
        <w:rPr>
          <w:rFonts w:cs="Times New Roman" w:ascii="Baskerville Old Face" w:hAnsi="Baskerville Old Face"/>
          <w:lang w:val="en-GB"/>
        </w:rPr>
        <w:t>m</w:t>
      </w:r>
      <w:r>
        <w:rPr>
          <w:rFonts w:cs="Times New Roman" w:ascii="Baskerville Old Face" w:hAnsi="Baskerville Old Face"/>
          <w:lang w:val="en-GB"/>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w:t>
      </w:r>
      <w:r>
        <w:rPr>
          <w:rFonts w:ascii="Baskerville Old Face" w:hAnsi="Baskerville Old Face"/>
          <w:i/>
          <w:iCs/>
          <w:u w:val="none"/>
          <w:lang w:val="en-GB"/>
        </w:rPr>
        <w:t xml:space="preserve">n Librum Aristotelis </w:t>
      </w:r>
      <w:r>
        <w:rPr>
          <w:rFonts w:ascii="Baskerville Old Face" w:hAnsi="Baskerville Old Face"/>
          <w:i/>
          <w:iCs/>
          <w:u w:val="none"/>
          <w:lang w:val="en-GB"/>
        </w:rPr>
        <w:t>Peri Hermeneias</w:t>
      </w:r>
      <w:r>
        <w:rPr>
          <w:rFonts w:ascii="Baskerville Old Face" w:hAnsi="Baskerville Old Face"/>
          <w:i/>
          <w:iCs/>
          <w:u w:val="none"/>
          <w:lang w:val="en-GB"/>
        </w:rPr>
        <w:t xml:space="preserve">. </w:t>
      </w:r>
      <w:r>
        <w:rPr>
          <w:rFonts w:ascii="Baskerville Old Face" w:hAnsi="Baskerville Old Face"/>
          <w:i/>
          <w:iCs/>
          <w:u w:val="none"/>
          <w:lang w:val="en-GB"/>
        </w:rPr>
        <w:t>Pars Posterior</w:t>
      </w:r>
      <w:r>
        <w:rPr>
          <w:rFonts w:ascii="Baskerville Old Face" w:hAnsi="Baskerville Old Face"/>
          <w:i w:val="false"/>
          <w:iCs w:val="false"/>
          <w:u w:val="none"/>
          <w:lang w:val="en-GB"/>
        </w:rPr>
        <w:t>. Edited</w:t>
      </w:r>
      <w:r>
        <w:rPr>
          <w:rFonts w:ascii="Baskerville Old Face" w:hAnsi="Baskerville Old Face"/>
          <w:i w:val="false"/>
          <w:iCs w:val="false"/>
          <w:u w:val="none"/>
          <w:lang w:val="en-GB"/>
        </w:rPr>
        <w:t xml:space="preserve"> by Karl Meiser. Leipzig: Teubner, 1880</w:t>
      </w:r>
      <w:r>
        <w:rPr>
          <w:rFonts w:ascii="Baskerville Old Face" w:hAnsi="Baskerville Old Face"/>
          <w:i w:val="false"/>
          <w:iCs w:val="false"/>
          <w:u w:val="none"/>
          <w:lang w:val="en-GB"/>
        </w:rPr>
        <w:t>.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D</w:t>
      </w:r>
      <w:r>
        <w:rPr>
          <w:rFonts w:cs="Times New Roman" w:ascii="Baskerville Old Face" w:hAnsi="Baskerville Old Face"/>
          <w:lang w:val="en-GB"/>
        </w:rPr>
        <w:t xml:space="preserve">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lang w:val="en-GB"/>
        </w:rPr>
        <w:t xml:space="preserve">deponent </w:t>
      </w:r>
      <w:r>
        <w:rPr>
          <w:rFonts w:cs="Times New Roman" w:ascii="Baskerville Old Face" w:hAnsi="Baskerville Old Face"/>
          <w:lang w:val="en-GB"/>
        </w:rPr>
        <w:t>‘adipiscitur’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w:t>
      </w:r>
      <w:r>
        <w:rPr>
          <w:rFonts w:ascii="Baskerville Old Face" w:hAnsi="Baskerville Old Face"/>
          <w:lang w:val="en-GB"/>
        </w:rPr>
        <w:t>34.21-26</w:t>
      </w:r>
      <w:r>
        <w:rPr>
          <w:rFonts w:ascii="Baskerville Old Face" w:hAnsi="Baskerville Old Face"/>
          <w:lang w:val="en-GB"/>
        </w:rPr>
        <w:t>.</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Smith 2010, 33. </w:t>
      </w:r>
      <w:r>
        <w:rPr>
          <w:rFonts w:ascii="Baskerville Old Face" w:hAnsi="Baskerville Old Face"/>
          <w:lang w:val="en-GB"/>
        </w:rPr>
        <w:t>Enumeration added.</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w:t>
      </w:r>
      <w:r>
        <w:rPr>
          <w:rFonts w:cs="Times New Roman" w:ascii="Baskerville Old Face" w:hAnsi="Baskerville Old Face"/>
          <w:lang w:val="en-GB"/>
        </w:rPr>
        <w:t>m</w:t>
      </w:r>
      <w:r>
        <w:rPr>
          <w:rFonts w:cs="Times New Roman" w:ascii="Baskerville Old Face" w:hAnsi="Baskerville Old Face"/>
          <w:lang w:val="en-GB"/>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n-GB"/>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GB"/>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25576</TotalTime>
  <Application>LibreOffice/7.4.2.3$Linux_X86_64 LibreOffice_project/382eef1f22670f7f4118c8c2dd222ec7ad009daf</Application>
  <AppVersion>15.0000</AppVersion>
  <Pages>36</Pages>
  <Words>9853</Words>
  <Characters>51362</Characters>
  <CharactersWithSpaces>61191</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2022-11-18T17:47:57Z</dcterms:modified>
  <cp:revision>553</cp:revision>
  <dc:subject/>
  <dc:title/>
</cp:coreProperties>
</file>

<file path=docProps/custom.xml><?xml version="1.0" encoding="utf-8"?>
<Properties xmlns="http://schemas.openxmlformats.org/officeDocument/2006/custom-properties" xmlns:vt="http://schemas.openxmlformats.org/officeDocument/2006/docPropsVTypes"/>
</file>