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jc w:val="both"/>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jc w:val="both"/>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 xml:space="preserve">[cum]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an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is construed as the meaning of a spoken word designating a thing of a thing, from which, incidentally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w:t>
      </w:r>
      <w:r>
        <w:rPr>
          <w:rFonts w:eastAsia="Times New Roman" w:cs="Times New Roman" w:ascii="Baskerville Old Face" w:hAnsi="Baskerville Old Face"/>
          <w:i w:val="false"/>
          <w:iCs w:val="false"/>
          <w:color w:val="auto"/>
          <w:sz w:val="24"/>
          <w:szCs w:val="24"/>
          <w:lang w:val="en-GB" w:eastAsia="en-GB"/>
        </w:rPr>
        <w:t xml:space="preserve">Boethius’ intention here isn’t to answer the general question of how terms refer to things, but the more specific one of how a term designating one thing may be used to refer to something else.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Contrary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given the common interpretation of these as media drawn up actively by the mind as means to grasp things</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Identification of passio with intellectus</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something the soul is impressed by rather than something it activates</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it is immediate term of understanding rather than a medium through which understanding passes.</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0"/>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1"/>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2"/>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3"/>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4"/>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5"/>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6"/>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9"/>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0"/>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1"/>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2"/>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3"/>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4"/>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5"/>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6"/>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7"/>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9"/>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0"/>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1"/>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2"/>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3"/>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7"/>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9"/>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1">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8">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0">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8">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0">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19496</TotalTime>
  <Application>LibreOffice/7.4.2.3$Linux_X86_64 LibreOffice_project/382eef1f22670f7f4118c8c2dd222ec7ad009daf</Application>
  <AppVersion>15.0000</AppVersion>
  <Pages>37</Pages>
  <Words>10194</Words>
  <Characters>53182</Characters>
  <CharactersWithSpaces>63352</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2022-11-14T12:26:51Z</dcterms:modified>
  <cp:revision>424</cp:revision>
  <dc:subject/>
  <dc:title/>
</cp:coreProperties>
</file>

<file path=docProps/custom.xml><?xml version="1.0" encoding="utf-8"?>
<Properties xmlns="http://schemas.openxmlformats.org/officeDocument/2006/custom-properties" xmlns:vt="http://schemas.openxmlformats.org/officeDocument/2006/docPropsVTypes"/>
</file>