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 Independent Scholar</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turn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 to show how these considerations illuminate Anselm’s method in these works.</w:t>
      </w:r>
    </w:p>
    <w:p>
      <w:pPr>
        <w:pStyle w:val="Normal"/>
        <w:spacing w:lineRule="auto" w:line="480"/>
        <w:jc w:val="both"/>
        <w:rPr>
          <w:lang w:val="en-GB"/>
        </w:rPr>
      </w:pPr>
      <w:r>
        <w:rPr>
          <w:rFonts w:cs="Times New Roman" w:ascii="Baskerville Old Face" w:hAnsi="Baskerville Old Face"/>
          <w:sz w:val="24"/>
          <w:szCs w:val="24"/>
          <w:lang w:val="en-GB"/>
        </w:rPr>
        <w:t xml:space="preserve">Keywords: Anselm of Canterbury; </w:t>
      </w:r>
      <w:r>
        <w:rPr>
          <w:rFonts w:cs="Times New Roman" w:ascii="Baskerville Old Face" w:hAnsi="Baskerville Old Face"/>
          <w:sz w:val="24"/>
          <w:szCs w:val="24"/>
          <w:lang w:val="en-GB"/>
        </w:rPr>
        <w:t>Boethius</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t</w:t>
      </w:r>
      <w:r>
        <w:rPr>
          <w:rFonts w:cs="Times New Roman" w:ascii="Baskerville Old Face" w:hAnsi="Baskerville Old Face"/>
          <w:sz w:val="24"/>
          <w:szCs w:val="24"/>
          <w:lang w:val="en-GB"/>
        </w:rPr>
        <w:t xml:space="preserve">opics, </w:t>
      </w:r>
      <w:r>
        <w:rPr>
          <w:rFonts w:cs="Times New Roman" w:ascii="Baskerville Old Face" w:hAnsi="Baskerville Old Face"/>
          <w:sz w:val="24"/>
          <w:szCs w:val="24"/>
          <w:lang w:val="en-GB"/>
        </w:rPr>
        <w:t>m</w:t>
      </w:r>
      <w:r>
        <w:rPr>
          <w:rFonts w:cs="Times New Roman" w:ascii="Baskerville Old Face" w:hAnsi="Baskerville Old Face"/>
          <w:sz w:val="24"/>
          <w:szCs w:val="24"/>
          <w:lang w:val="en-GB"/>
        </w:rPr>
        <w:t>edieval interpretations of; faith</w:t>
      </w:r>
      <w:r>
        <w:rPr>
          <w:rFonts w:cs="Times New Roman" w:ascii="Baskerville Old Face" w:hAnsi="Baskerville Old Face"/>
          <w:sz w:val="24"/>
          <w:szCs w:val="24"/>
          <w:lang w:val="en-GB"/>
        </w:rPr>
        <w:t xml:space="preserve"> and reason, medieval theories of</w:t>
      </w:r>
      <w:r>
        <w:rPr>
          <w:rFonts w:cs="Times New Roman" w:ascii="Baskerville Old Face" w:hAnsi="Baskerville Old Face"/>
          <w:sz w:val="24"/>
          <w:szCs w:val="24"/>
          <w:lang w:val="en-GB"/>
        </w:rPr>
        <w:t>.</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mean it is an incorrect reading of the phenomena, </w:t>
      </w:r>
      <w:r>
        <w:rPr>
          <w:rFonts w:cs="Times New Roman" w:ascii="Baskerville Old Face" w:hAnsi="Baskerville Old Face"/>
          <w:sz w:val="24"/>
          <w:szCs w:val="24"/>
          <w:lang w:val="en-GB"/>
        </w:rPr>
        <w:t>b</w:t>
      </w:r>
      <w:r>
        <w:rPr>
          <w:rFonts w:cs="Times New Roman" w:ascii="Baskerville Old Face" w:hAnsi="Baskerville Old Face"/>
          <w:sz w:val="24"/>
          <w:szCs w:val="24"/>
          <w:lang w:val="en-GB"/>
        </w:rPr>
        <w:t xml:space="preserve">ut we should hesitate to think this was the picture 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are, on Anselm’s analysis, derivative. If reading Anselm differently on this point proves fruitful, </w:t>
      </w:r>
      <w:r>
        <w:rPr>
          <w:rFonts w:cs="Times New Roman" w:ascii="Baskerville Old Face" w:hAnsi="Baskerville Old Face"/>
          <w:sz w:val="24"/>
          <w:szCs w:val="24"/>
          <w:lang w:val="en-GB"/>
        </w:rPr>
        <w:t>it</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 xml:space="preserve">may also </w:t>
      </w:r>
      <w:r>
        <w:rPr>
          <w:rFonts w:cs="Times New Roman" w:ascii="Baskerville Old Face" w:hAnsi="Baskerville Old Face"/>
          <w:sz w:val="24"/>
          <w:szCs w:val="24"/>
          <w:lang w:val="en-GB"/>
        </w:rPr>
        <w:t xml:space="preserve">provide a way </w:t>
      </w:r>
      <w:r>
        <w:rPr>
          <w:rFonts w:cs="Times New Roman" w:ascii="Baskerville Old Face" w:hAnsi="Baskerville Old Face"/>
          <w:sz w:val="24"/>
          <w:szCs w:val="24"/>
          <w:lang w:val="en-GB"/>
        </w:rPr>
        <w:t xml:space="preserve">into </w:t>
      </w:r>
      <w:r>
        <w:rPr>
          <w:rFonts w:cs="Times New Roman" w:ascii="Baskerville Old Face" w:hAnsi="Baskerville Old Face"/>
          <w:sz w:val="24"/>
          <w:szCs w:val="24"/>
          <w:lang w:val="en-GB"/>
        </w:rPr>
        <w:t>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Characters"/>
          <w:rFonts w:cs="Times New Roman" w:ascii="Baskerville Old Face" w:hAnsi="Baskerville Old Face"/>
          <w:sz w:val="24"/>
          <w:szCs w:val="24"/>
          <w:lang w:val="en-GB"/>
        </w:rPr>
        <w:t xml:space="preserve"> </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The ‘Dialectic in three books’ is likely either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xml:space="preserve"> or his</w:t>
      </w:r>
      <w:r>
        <w:rPr>
          <w:rFonts w:cs="Times New Roman" w:ascii="Baskerville Old Face" w:hAnsi="Baskerville Old Face"/>
          <w:i/>
          <w:iCs/>
          <w:sz w:val="24"/>
          <w:szCs w:val="24"/>
          <w:lang w:val="en-GB"/>
        </w:rPr>
        <w:t xml:space="preserve"> De syllogismo hypothetico</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w:t>
      </w:r>
      <w:r>
        <w:rPr>
          <w:rFonts w:cs="Times New Roman" w:ascii="Baskerville Old Face" w:hAnsi="Baskerville Old Face"/>
          <w:sz w:val="24"/>
          <w:szCs w:val="24"/>
          <w:lang w:val="en-GB"/>
        </w:rPr>
        <w:t>hinders</w:t>
      </w:r>
      <w:r>
        <w:rPr>
          <w:rFonts w:cs="Times New Roman" w:ascii="Baskerville Old Face" w:hAnsi="Baskerville Old Face"/>
          <w:sz w:val="24"/>
          <w:szCs w:val="24"/>
          <w:lang w:val="en-GB"/>
        </w:rPr>
        <w:t xml:space="preserve">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w:t>
      </w:r>
      <w:r>
        <w:rPr>
          <w:rFonts w:cs="Times New Roman" w:ascii="Baskerville Old Face" w:hAnsi="Baskerville Old Face"/>
          <w:i w:val="false"/>
          <w:iCs w:val="false"/>
          <w:sz w:val="24"/>
          <w:szCs w:val="24"/>
          <w:lang w:val="en-GB"/>
        </w:rPr>
        <w:t>in its proper context</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Its</w:t>
      </w:r>
      <w:r>
        <w:rPr>
          <w:rFonts w:cs="Times New Roman" w:ascii="Baskerville Old Face" w:hAnsi="Baskerville Old Face"/>
          <w:sz w:val="24"/>
          <w:szCs w:val="24"/>
          <w:lang w:val="en-GB"/>
        </w:rPr>
        <w:t xml:space="preserve">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w:t>
      </w:r>
      <w:r>
        <w:rPr>
          <w:rFonts w:cs="Times New Roman" w:ascii="Baskerville Old Face" w:hAnsi="Baskerville Old Face"/>
          <w:sz w:val="24"/>
          <w:szCs w:val="24"/>
          <w:lang w:val="en-GB"/>
        </w:rPr>
        <w:t>m</w:t>
      </w:r>
      <w:r>
        <w:rPr>
          <w:rFonts w:cs="Times New Roman" w:ascii="Baskerville Old Face" w:hAnsi="Baskerville Old Face"/>
          <w:sz w:val="24"/>
          <w:szCs w:val="24"/>
          <w:lang w:val="en-GB"/>
        </w:rPr>
        <w:t xml:space="preserve">edieval logic generally takes meanings to be neither objects nor impositions of subjects, </w:t>
      </w:r>
      <w:r>
        <w:rPr>
          <w:rFonts w:cs="Times New Roman" w:ascii="Baskerville Old Face" w:hAnsi="Baskerville Old Face"/>
          <w:sz w:val="24"/>
          <w:szCs w:val="24"/>
          <w:lang w:val="en-GB"/>
        </w:rPr>
        <w:t>but</w:t>
      </w:r>
      <w:r>
        <w:rPr>
          <w:rFonts w:cs="Times New Roman" w:ascii="Baskerville Old Face" w:hAnsi="Baskerville Old Face"/>
          <w:sz w:val="24"/>
          <w:szCs w:val="24"/>
          <w:lang w:val="en-GB"/>
        </w:rPr>
        <w:t xml:space="preserve">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B</w:t>
      </w:r>
      <w:r>
        <w:rPr>
          <w:rFonts w:cs="Times New Roman" w:ascii="Baskerville Old Face" w:hAnsi="Baskerville Old Face"/>
          <w:sz w:val="24"/>
          <w:szCs w:val="24"/>
          <w:lang w:val="en-GB"/>
        </w:rPr>
        <w:t>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there is a point where the teacher admonishes the student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The above passages manifest two aspects of early </w:t>
      </w:r>
      <w:r>
        <w:rPr>
          <w:rFonts w:cs="Times New Roman" w:ascii="Baskerville Old Face" w:hAnsi="Baskerville Old Face"/>
          <w:sz w:val="24"/>
          <w:szCs w:val="24"/>
          <w:lang w:val="en-GB"/>
        </w:rPr>
        <w:t>m</w:t>
      </w:r>
      <w:r>
        <w:rPr>
          <w:rFonts w:cs="Times New Roman" w:ascii="Baskerville Old Face" w:hAnsi="Baskerville Old Face"/>
          <w:sz w:val="24"/>
          <w:szCs w:val="24"/>
          <w:lang w:val="en-GB"/>
        </w:rPr>
        <w:t xml:space="preserve">edieval thinking more generally. First, the </w:t>
      </w:r>
      <w:r>
        <w:rPr>
          <w:rFonts w:cs="Times New Roman" w:ascii="Baskerville Old Face" w:hAnsi="Baskerville Old Face"/>
          <w:sz w:val="24"/>
          <w:szCs w:val="24"/>
          <w:lang w:val="en-GB"/>
        </w:rPr>
        <w:t>m</w:t>
      </w:r>
      <w:r>
        <w:rPr>
          <w:rFonts w:cs="Times New Roman" w:ascii="Baskerville Old Face" w:hAnsi="Baskerville Old Face"/>
          <w:sz w:val="24"/>
          <w:szCs w:val="24"/>
          <w:lang w:val="en-GB"/>
        </w:rPr>
        <w:t>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w:t>
      </w:r>
      <w:r>
        <w:rPr>
          <w:rFonts w:cs="Times New Roman" w:ascii="Baskerville Old Face" w:hAnsi="Baskerville Old Face"/>
          <w:sz w:val="24"/>
          <w:szCs w:val="24"/>
          <w:lang w:val="en-GB"/>
        </w:rPr>
        <w:t xml:space="preserve">to </w:t>
      </w:r>
      <w:r>
        <w:rPr>
          <w:rFonts w:cs="Times New Roman" w:ascii="Baskerville Old Face" w:hAnsi="Baskerville Old Face"/>
          <w:sz w:val="24"/>
          <w:szCs w:val="24"/>
          <w:lang w:val="en-GB"/>
        </w:rPr>
        <w:t xml:space="preserve">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are that by which we come to know the matters themselves. Spoken words are that by which we signify what we grasp </w:t>
      </w:r>
      <w:r>
        <w:rPr>
          <w:rFonts w:cs="Times New Roman" w:ascii="Baskerville Old Face" w:hAnsi="Baskerville Old Face"/>
          <w:sz w:val="24"/>
          <w:szCs w:val="24"/>
          <w:lang w:val="en-GB"/>
        </w:rPr>
        <w:t>in understanding</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 xml:space="preserve">Two objections arise at this point: </w:t>
      </w:r>
      <w:r>
        <w:rPr>
          <w:rFonts w:cs="Times New Roman" w:ascii="Baskerville Old Face" w:hAnsi="Baskerville Old Face"/>
          <w:sz w:val="24"/>
          <w:szCs w:val="24"/>
          <w:lang w:val="en-GB"/>
        </w:rPr>
        <w:t>first, that the above merely amounts to replacing the word ‘concept’ with ‘meaning’; second</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 xml:space="preserve">that </w:t>
      </w:r>
      <w:r>
        <w:rPr>
          <w:rFonts w:cs="Times New Roman" w:ascii="Baskerville Old Face" w:hAnsi="Baskerville Old Face"/>
          <w:i w:val="false"/>
          <w:iCs w:val="false"/>
          <w:sz w:val="24"/>
          <w:szCs w:val="24"/>
          <w:lang w:val="en-GB"/>
        </w:rPr>
        <w:t xml:space="preserve">we would not expect </w:t>
      </w:r>
      <w:r>
        <w:rPr>
          <w:rFonts w:cs="Times New Roman" w:ascii="Baskerville Old Face" w:hAnsi="Baskerville Old Face"/>
          <w:i w:val="false"/>
          <w:iCs w:val="false"/>
          <w:sz w:val="24"/>
          <w:szCs w:val="24"/>
          <w:lang w:val="en-GB"/>
        </w:rPr>
        <w:t xml:space="preserve">the </w:t>
      </w:r>
      <w:r>
        <w:rPr>
          <w:rFonts w:cs="Times New Roman" w:ascii="Baskerville Old Face" w:hAnsi="Baskerville Old Face"/>
          <w:i w:val="false"/>
          <w:iCs w:val="false"/>
          <w:sz w:val="24"/>
          <w:szCs w:val="24"/>
          <w:lang w:val="en-GB"/>
        </w:rPr>
        <w:t xml:space="preserve">juxtaposition </w:t>
      </w:r>
      <w:r>
        <w:rPr>
          <w:rFonts w:cs="Times New Roman" w:ascii="Baskerville Old Face" w:hAnsi="Baskerville Old Face"/>
          <w:i w:val="false"/>
          <w:iCs w:val="false"/>
          <w:sz w:val="24"/>
          <w:szCs w:val="24"/>
          <w:lang w:val="en-GB"/>
        </w:rPr>
        <w:t xml:space="preserve">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w:t>
      </w:r>
      <w:r>
        <w:rPr>
          <w:rFonts w:cs="Times New Roman" w:ascii="Baskerville Old Face" w:hAnsi="Baskerville Old Face"/>
          <w:i w:val="false"/>
          <w:iCs w:val="false"/>
          <w:sz w:val="24"/>
          <w:szCs w:val="24"/>
          <w:lang w:val="en-GB"/>
        </w:rPr>
        <w:t>i</w:t>
      </w:r>
      <w:r>
        <w:rPr>
          <w:rFonts w:cs="Times New Roman" w:ascii="Baskerville Old Face" w:hAnsi="Baskerville Old Face"/>
          <w:i w:val="false"/>
          <w:iCs w:val="false"/>
          <w:sz w:val="24"/>
          <w:szCs w:val="24"/>
          <w:lang w:val="en-GB"/>
        </w:rPr>
        <w:t xml:space="preserve">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 xml:space="preserve">quocirca cum omnis animae passio rei quaedam videatur esse proprietas, porro autem </w:t>
      </w:r>
      <w:r>
        <w:rPr>
          <w:rFonts w:eastAsia="Times New Roman" w:cs="Times New Roman" w:ascii="Baskerville Old Face" w:hAnsi="Baskerville Old Face"/>
          <w:color w:val="auto"/>
          <w:sz w:val="24"/>
          <w:szCs w:val="24"/>
          <w:lang w:val="en-GB" w:eastAsia="en-GB"/>
        </w:rPr>
        <w:t>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 xml:space="preserve">And so, since </w:t>
      </w:r>
      <w:r>
        <w:rPr>
          <w:rFonts w:eastAsia="Times New Roman" w:cs="Times New Roman" w:ascii="Baskerville Old Face" w:hAnsi="Baskerville Old Face"/>
          <w:color w:val="auto"/>
          <w:sz w:val="24"/>
          <w:szCs w:val="24"/>
          <w:lang w:val="en-GB" w:eastAsia="en-GB"/>
        </w:rPr>
        <w:t xml:space="preserve">1) </w:t>
      </w:r>
      <w:r>
        <w:rPr>
          <w:rFonts w:eastAsia="Times New Roman" w:cs="Times New Roman" w:ascii="Baskerville Old Face" w:hAnsi="Baskerville Old Face"/>
          <w:color w:val="auto"/>
          <w:sz w:val="24"/>
          <w:szCs w:val="24"/>
          <w:lang w:val="en-GB" w:eastAsia="en-GB"/>
        </w:rPr>
        <w:t xml:space="preserve">every affection in the soul seems to be the specific character of a thing and, furthermore, </w:t>
      </w:r>
      <w:r>
        <w:rPr>
          <w:rFonts w:eastAsia="Times New Roman" w:cs="Times New Roman" w:ascii="Baskerville Old Face" w:hAnsi="Baskerville Old Face"/>
          <w:color w:val="auto"/>
          <w:sz w:val="24"/>
          <w:szCs w:val="24"/>
          <w:lang w:val="en-GB" w:eastAsia="en-GB"/>
        </w:rPr>
        <w:t xml:space="preserve">2a) </w:t>
      </w:r>
      <w:r>
        <w:rPr>
          <w:rFonts w:eastAsia="Times New Roman" w:cs="Times New Roman" w:ascii="Baskerville Old Face" w:hAnsi="Baskerville Old Face"/>
          <w:color w:val="auto"/>
          <w:sz w:val="24"/>
          <w:szCs w:val="24"/>
          <w:lang w:val="en-GB" w:eastAsia="en-GB"/>
        </w:rPr>
        <w:t xml:space="preserve">spoken sounds signify primarily thoughts but </w:t>
      </w:r>
      <w:r>
        <w:rPr>
          <w:rFonts w:eastAsia="Times New Roman" w:cs="Times New Roman" w:ascii="Baskerville Old Face" w:hAnsi="Baskerville Old Face"/>
          <w:color w:val="auto"/>
          <w:sz w:val="24"/>
          <w:szCs w:val="24"/>
          <w:lang w:val="en-GB" w:eastAsia="en-GB"/>
        </w:rPr>
        <w:t xml:space="preserve">2b) </w:t>
      </w:r>
      <w:r>
        <w:rPr>
          <w:rFonts w:eastAsia="Times New Roman" w:cs="Times New Roman" w:ascii="Baskerville Old Face" w:hAnsi="Baskerville Old Face"/>
          <w:color w:val="auto"/>
          <w:sz w:val="24"/>
          <w:szCs w:val="24"/>
          <w:lang w:val="en-GB" w:eastAsia="en-GB"/>
        </w:rPr>
        <w:t xml:space="preserve">rely after this on the signification of the things from which thoughts arise, </w:t>
      </w:r>
      <w:r>
        <w:rPr>
          <w:rFonts w:eastAsia="Times New Roman" w:cs="Times New Roman" w:ascii="Baskerville Old Face" w:hAnsi="Baskerville Old Face"/>
          <w:color w:val="auto"/>
          <w:sz w:val="24"/>
          <w:szCs w:val="24"/>
          <w:lang w:val="en-GB" w:eastAsia="en-GB"/>
        </w:rPr>
        <w:t xml:space="preserve">3) </w:t>
      </w:r>
      <w:r>
        <w:rPr>
          <w:rFonts w:eastAsia="Times New Roman" w:cs="Times New Roman" w:ascii="Baskerville Old Face" w:hAnsi="Baskerville Old Face"/>
          <w:color w:val="auto"/>
          <w:sz w:val="24"/>
          <w:szCs w:val="24"/>
          <w:lang w:val="en-GB" w:eastAsia="en-GB"/>
        </w:rPr>
        <w:t>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several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text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initial rendering (</w:t>
      </w:r>
      <w:r>
        <w:rPr>
          <w:rFonts w:ascii="Baskerville Old Face" w:hAnsi="Baskerville Old Face"/>
          <w:i/>
          <w:iCs/>
          <w:sz w:val="24"/>
          <w:szCs w:val="24"/>
          <w:lang w:val="en-GB"/>
        </w:rPr>
        <w:t>designativae voces intellectuum</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Here, the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we can revisit the claim that spoken words </w:t>
      </w:r>
      <w:r>
        <w:rPr>
          <w:rFonts w:eastAsia="Times New Roman" w:cs="Times New Roman" w:ascii="Baskerville Old Face" w:hAnsi="Baskerville Old Face"/>
          <w:i w:val="false"/>
          <w:iCs w:val="false"/>
          <w:color w:val="auto"/>
          <w:sz w:val="24"/>
          <w:szCs w:val="24"/>
          <w:lang w:val="en-GB" w:eastAsia="en-GB"/>
        </w:rPr>
        <w:t>‘rely on the signification of the things from which thoughts arise’. Translated thus, ‘signification’ is construed as the meaning of a spoken word designating a thing, from which thoughts also arise. In this construal, the connection between signification and thought is left opaque, and one would be forgiven for taking them both as some kind of instrument by which spoken terms are capable of referring to things. But this is a misconstrual of Boethius’ intent. Rather, Boethius’ intention here answers the question of how utterances principally designating impressions of the soul, which are identical with features of a thing, may in turn be used to refer not to that feature but to the substance bearing it, the things ‘</w:t>
      </w:r>
      <w:r>
        <w:rPr>
          <w:rFonts w:eastAsia="Times New Roman" w:cs="Times New Roman" w:ascii="Baskerville Old Face" w:hAnsi="Baskerville Old Face"/>
          <w:i w:val="false"/>
          <w:iCs w:val="false"/>
          <w:color w:val="auto"/>
          <w:sz w:val="24"/>
          <w:szCs w:val="24"/>
          <w:lang w:val="en-GB" w:eastAsia="en-GB"/>
        </w:rPr>
        <w:t xml:space="preserve">by which meanings advance.’ The case Boethius addresses here in general is one that Anselm addresses more specifically and at length in the </w:t>
      </w:r>
      <w:r>
        <w:rPr>
          <w:rFonts w:eastAsia="Times New Roman" w:cs="Times New Roman" w:ascii="Baskerville Old Face" w:hAnsi="Baskerville Old Face"/>
          <w:i/>
          <w:iCs/>
          <w:color w:val="auto"/>
          <w:sz w:val="24"/>
          <w:szCs w:val="24"/>
          <w:lang w:val="en-GB" w:eastAsia="en-GB"/>
        </w:rPr>
        <w:t>De grammatico</w:t>
      </w:r>
      <w:r>
        <w:rPr>
          <w:rFonts w:eastAsia="Times New Roman" w:cs="Times New Roman" w:ascii="Baskerville Old Face" w:hAnsi="Baskerville Old Face"/>
          <w:i w:val="false"/>
          <w:iCs w:val="false"/>
          <w:color w:val="auto"/>
          <w:sz w:val="24"/>
          <w:szCs w:val="24"/>
          <w:lang w:val="en-GB" w:eastAsia="en-GB"/>
        </w:rPr>
        <w:t xml:space="preserve">’s discussion of paronyms. Consequently, while Boethius uses </w:t>
      </w:r>
      <w:r>
        <w:rPr>
          <w:rFonts w:eastAsia="Times New Roman" w:cs="Times New Roman" w:ascii="Baskerville Old Face" w:hAnsi="Baskerville Old Face"/>
          <w:i/>
          <w:iCs/>
          <w:color w:val="auto"/>
          <w:sz w:val="24"/>
          <w:szCs w:val="24"/>
          <w:lang w:val="en-GB" w:eastAsia="en-GB"/>
        </w:rPr>
        <w:t>significatio</w:t>
      </w:r>
      <w:r>
        <w:rPr>
          <w:rFonts w:eastAsia="Times New Roman" w:cs="Times New Roman" w:ascii="Baskerville Old Face" w:hAnsi="Baskerville Old Face"/>
          <w:i w:val="false"/>
          <w:iCs w:val="false"/>
          <w:color w:val="auto"/>
          <w:sz w:val="24"/>
          <w:szCs w:val="24"/>
          <w:lang w:val="en-GB" w:eastAsia="en-GB"/>
        </w:rPr>
        <w:t xml:space="preserve"> and related terms to refer to a property of words by which they are capable of both meaning and referring, he never uses these terms to refer to the impression an utterance immediately signifies: for this he uses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iCs/>
          <w:color w:val="auto"/>
          <w:sz w:val="24"/>
          <w:szCs w:val="24"/>
          <w:lang w:val="en-GB" w:eastAsia="en-GB"/>
        </w:rPr>
        <w:t>passio</w:t>
      </w:r>
      <w:r>
        <w:rPr>
          <w:rFonts w:eastAsia="Times New Roman" w:cs="Times New Roman" w:ascii="Baskerville Old Face" w:hAnsi="Baskerville Old Face"/>
          <w:i w:val="false"/>
          <w:iCs w:val="false"/>
          <w:color w:val="auto"/>
          <w:sz w:val="24"/>
          <w:szCs w:val="24"/>
          <w:lang w:val="en-GB" w:eastAsia="en-GB"/>
        </w:rPr>
        <w:t xml:space="preserve">, or even </w:t>
      </w:r>
      <w:r>
        <w:rPr>
          <w:rFonts w:eastAsia="Times New Roman" w:cs="Times New Roman" w:ascii="Baskerville Old Face" w:hAnsi="Baskerville Old Face"/>
          <w:i/>
          <w:iCs/>
          <w:color w:val="auto"/>
          <w:sz w:val="24"/>
          <w:szCs w:val="24"/>
          <w:lang w:val="en-GB" w:eastAsia="en-GB"/>
        </w:rPr>
        <w:t>similitudo</w:t>
      </w:r>
      <w:r>
        <w:rPr>
          <w:rFonts w:eastAsia="Times New Roman" w:cs="Times New Roman" w:ascii="Baskerville Old Face" w:hAnsi="Baskerville Old Face"/>
          <w:i w:val="false"/>
          <w:iCs w:val="false"/>
          <w:color w:val="auto"/>
          <w:sz w:val="24"/>
          <w:szCs w:val="24"/>
          <w:lang w:val="en-GB" w:eastAsia="en-GB"/>
        </w:rPr>
        <w:t xml:space="preserve"> depending on the connotation desired for the context.</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materially identical with those same features. Consequently, translating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as ‘thought’ here, as Smith does, or even ‘concept’, is misleading at best: while not impossible to invest either of these terms with the desired sense, doing so requires repudiating the opposed senses indicated above which are deeply embedded in the </w:t>
      </w:r>
      <w:r>
        <w:rPr>
          <w:rFonts w:ascii="Baskerville Old Face" w:hAnsi="Baskerville Old Face"/>
          <w:i/>
          <w:iCs/>
          <w:sz w:val="24"/>
          <w:szCs w:val="24"/>
          <w:lang w:val="en-GB"/>
        </w:rPr>
        <w:t>prima facie</w:t>
      </w:r>
      <w:r>
        <w:rPr>
          <w:rFonts w:ascii="Baskerville Old Face" w:hAnsi="Baskerville Old Face"/>
          <w:i w:val="false"/>
          <w:iCs w:val="false"/>
          <w:sz w:val="24"/>
          <w:szCs w:val="24"/>
          <w:lang w:val="en-GB"/>
        </w:rPr>
        <w:t xml:space="preserve"> understanding of these terms today. </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both"/>
        <w:rPr>
          <w:lang w:val="en-GB"/>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w:t>
      </w:r>
      <w:r>
        <w:rPr>
          <w:rFonts w:cs="Times New Roman" w:ascii="Baskerville Old Face" w:hAnsi="Baskerville Old Face"/>
          <w:lang w:val="en-GB"/>
        </w:rPr>
        <w:t>m</w:t>
      </w:r>
      <w:r>
        <w:rPr>
          <w:rFonts w:cs="Times New Roman" w:ascii="Baskerville Old Face" w:hAnsi="Baskerville Old Face"/>
          <w:lang w:val="en-GB"/>
        </w:rPr>
        <w:t>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w:t>
      </w:r>
      <w:r>
        <w:rPr>
          <w:rFonts w:ascii="Baskerville Old Face" w:hAnsi="Baskerville Old Face"/>
          <w:i/>
          <w:iCs/>
          <w:u w:val="none"/>
          <w:lang w:val="en-GB"/>
        </w:rPr>
        <w:t xml:space="preserve">n Librum Aristotelis </w:t>
      </w:r>
      <w:r>
        <w:rPr>
          <w:rFonts w:ascii="Baskerville Old Face" w:hAnsi="Baskerville Old Face"/>
          <w:i/>
          <w:iCs/>
          <w:u w:val="none"/>
          <w:lang w:val="en-GB"/>
        </w:rPr>
        <w:t>Peri Hermeneias</w:t>
      </w:r>
      <w:r>
        <w:rPr>
          <w:rFonts w:ascii="Baskerville Old Face" w:hAnsi="Baskerville Old Face"/>
          <w:i/>
          <w:iCs/>
          <w:u w:val="none"/>
          <w:lang w:val="en-GB"/>
        </w:rPr>
        <w:t xml:space="preserve">. </w:t>
      </w:r>
      <w:r>
        <w:rPr>
          <w:rFonts w:ascii="Baskerville Old Face" w:hAnsi="Baskerville Old Face"/>
          <w:i/>
          <w:iCs/>
          <w:u w:val="none"/>
          <w:lang w:val="en-GB"/>
        </w:rPr>
        <w:t>Pars Posterior</w:t>
      </w:r>
      <w:r>
        <w:rPr>
          <w:rFonts w:ascii="Baskerville Old Face" w:hAnsi="Baskerville Old Face"/>
          <w:i w:val="false"/>
          <w:iCs w:val="false"/>
          <w:u w:val="none"/>
          <w:lang w:val="en-GB"/>
        </w:rPr>
        <w:t>. Edited</w:t>
      </w:r>
      <w:r>
        <w:rPr>
          <w:rFonts w:ascii="Baskerville Old Face" w:hAnsi="Baskerville Old Face"/>
          <w:i w:val="false"/>
          <w:iCs w:val="false"/>
          <w:u w:val="none"/>
          <w:lang w:val="en-GB"/>
        </w:rPr>
        <w:t xml:space="preserve"> by Karl Meiser. Leipzig: Teubner, 1880</w:t>
      </w:r>
      <w:r>
        <w:rPr>
          <w:rFonts w:ascii="Baskerville Old Face" w:hAnsi="Baskerville Old Face"/>
          <w:i w:val="false"/>
          <w:iCs w:val="false"/>
          <w:u w:val="none"/>
          <w:lang w:val="en-GB"/>
        </w:rPr>
        <w:t>.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Old Face">
    <w:charset w:val="01"/>
    <w:family w:val="roman"/>
    <w:pitch w:val="default"/>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The identification of the text with Boethius’ </w:t>
      </w:r>
      <w:r>
        <w:rPr>
          <w:rFonts w:cs="Times New Roman" w:ascii="Baskerville" w:hAnsi="Baskerville"/>
          <w:i/>
          <w:iCs/>
          <w:lang w:val="en-GB"/>
        </w:rPr>
        <w:t xml:space="preserve">De syllogismo hypothetico </w:t>
      </w:r>
      <w:r>
        <w:rPr>
          <w:rFonts w:cs="Times New Roman" w:ascii="Baskerville" w:hAnsi="Baskerville"/>
          <w:i w:val="false"/>
          <w:iCs w:val="false"/>
          <w:lang w:val="en-GB"/>
        </w:rPr>
        <w:t>is suggested by Nelis 1990, 78.</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D</w:t>
      </w:r>
      <w:r>
        <w:rPr>
          <w:rFonts w:cs="Times New Roman" w:ascii="Baskerville Old Face" w:hAnsi="Baskerville Old Face"/>
          <w:lang w:val="en-GB"/>
        </w:rPr>
        <w:t xml:space="preserve">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 xml:space="preserve">The PL text has ‘participatione’, but ‘participatio’ is required to preserve Boethius’ intended parallel in the accusative: ‘sicut rem, ita quoque nomen’; reading ‘nomen’ as the subject deprives the transitive </w:t>
      </w:r>
      <w:r>
        <w:rPr>
          <w:rFonts w:cs="Times New Roman" w:ascii="Baskerville Old Face" w:hAnsi="Baskerville Old Face"/>
          <w:lang w:val="en-GB"/>
        </w:rPr>
        <w:t xml:space="preserve">deponent </w:t>
      </w:r>
      <w:r>
        <w:rPr>
          <w:rFonts w:cs="Times New Roman" w:ascii="Baskerville Old Face" w:hAnsi="Baskerville Old Face"/>
          <w:lang w:val="en-GB"/>
        </w:rPr>
        <w:t>‘adipiscitur’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w:t>
      </w:r>
      <w:r>
        <w:rPr>
          <w:rFonts w:ascii="Baskerville Old Face" w:hAnsi="Baskerville Old Face"/>
          <w:lang w:val="en-GB"/>
        </w:rPr>
        <w:t>34.21-26</w:t>
      </w:r>
      <w:r>
        <w:rPr>
          <w:rFonts w:ascii="Baskerville Old Face" w:hAnsi="Baskerville Old Face"/>
          <w:lang w:val="en-GB"/>
        </w:rPr>
        <w:t>.</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Smith 2010, 33. </w:t>
      </w:r>
      <w:r>
        <w:rPr>
          <w:rFonts w:ascii="Baskerville Old Face" w:hAnsi="Baskerville Old Face"/>
          <w:lang w:val="en-GB"/>
        </w:rPr>
        <w:t>Enumeration added.</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w:t>
      </w:r>
      <w:r>
        <w:rPr>
          <w:rFonts w:cs="Times New Roman" w:ascii="Baskerville Old Face" w:hAnsi="Baskerville Old Face"/>
          <w:lang w:val="en-GB"/>
        </w:rPr>
        <w:t>m</w:t>
      </w:r>
      <w:r>
        <w:rPr>
          <w:rFonts w:cs="Times New Roman" w:ascii="Baskerville Old Face" w:hAnsi="Baskerville Old Face"/>
          <w:lang w:val="en-GB"/>
        </w:rPr>
        <w:t xml:space="preserve">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lang w:val="en-GB"/>
        </w:rPr>
        <w:t>probabilis</w:t>
      </w:r>
      <w:r>
        <w:rPr>
          <w:rFonts w:cs="Times New Roman" w:ascii="Baskerville Old Face" w:hAnsi="Baskerville Old Face"/>
          <w:lang w:val="en-GB"/>
        </w:rPr>
        <w:t xml:space="preserve"> in Boethius’ theory of the topics, 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1180C-1182C.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directly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to prove or test – hence the sense of something’s having been tested, and consequently trustworthy or reliable, albeit not necessarily infallibly so.</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eastAsia="en-US" w:bidi="ar-SA" w:val="en-GB"/>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eastAsia="zh-CN" w:bidi="hi-IN" w:val="en-GB"/>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25443</TotalTime>
  <Application>LibreOffice/7.4.2.3$Linux_X86_64 LibreOffice_project/382eef1f22670f7f4118c8c2dd222ec7ad009daf</Application>
  <AppVersion>15.0000</AppVersion>
  <Pages>36</Pages>
  <Words>9852</Words>
  <Characters>51350</Characters>
  <CharactersWithSpaces>61179</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2022-11-18T15:34:02Z</dcterms:modified>
  <cp:revision>548</cp:revision>
  <dc:subject/>
  <dc:title/>
</cp:coreProperties>
</file>

<file path=docProps/custom.xml><?xml version="1.0" encoding="utf-8"?>
<Properties xmlns="http://schemas.openxmlformats.org/officeDocument/2006/custom-properties" xmlns:vt="http://schemas.openxmlformats.org/officeDocument/2006/docPropsVTypes"/>
</file>