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 xml:space="preserve">Keywords: Anselm of Canterbury; </w:t>
      </w:r>
      <w:r>
        <w:rPr>
          <w:rFonts w:cs="Times New Roman" w:ascii="Baskerville Old Face" w:hAnsi="Baskerville Old Face"/>
          <w:sz w:val="24"/>
          <w:szCs w:val="24"/>
        </w:rPr>
        <w:t>Boethius</w:t>
      </w:r>
      <w:r>
        <w:rPr>
          <w:rFonts w:cs="Times New Roman" w:ascii="Baskerville Old Face" w:hAnsi="Baskerville Old Face"/>
          <w:sz w:val="24"/>
          <w:szCs w:val="24"/>
        </w:rPr>
        <w:t xml:space="preserve">; </w:t>
      </w:r>
      <w:r>
        <w:rPr>
          <w:rFonts w:cs="Times New Roman" w:ascii="Baskerville Old Face" w:hAnsi="Baskerville Old Face"/>
          <w:sz w:val="24"/>
          <w:szCs w:val="24"/>
        </w:rPr>
        <w:t>t</w:t>
      </w:r>
      <w:r>
        <w:rPr>
          <w:rFonts w:cs="Times New Roman" w:ascii="Baskerville Old Face" w:hAnsi="Baskerville Old Face"/>
          <w:sz w:val="24"/>
          <w:szCs w:val="24"/>
        </w:rPr>
        <w:t xml:space="preserve">opics, </w:t>
      </w:r>
      <w:r>
        <w:rPr>
          <w:rFonts w:cs="Times New Roman" w:ascii="Baskerville Old Face" w:hAnsi="Baskerville Old Face"/>
          <w:sz w:val="24"/>
          <w:szCs w:val="24"/>
        </w:rPr>
        <w:t>m</w:t>
      </w:r>
      <w:r>
        <w:rPr>
          <w:rFonts w:cs="Times New Roman" w:ascii="Baskerville Old Face" w:hAnsi="Baskerville Old Face"/>
          <w:sz w:val="24"/>
          <w:szCs w:val="24"/>
        </w:rPr>
        <w:t>edieval interpretations of; faith</w:t>
      </w:r>
      <w:r>
        <w:rPr>
          <w:rFonts w:cs="Times New Roman" w:ascii="Baskerville Old Face" w:hAnsi="Baskerville Old Face"/>
          <w:sz w:val="24"/>
          <w:szCs w:val="24"/>
        </w:rPr>
        <w:t xml:space="preserve"> and reason, medieval theories of</w:t>
      </w:r>
      <w:r>
        <w:rPr>
          <w:rFonts w:cs="Times New Roman" w:ascii="Baskerville Old Face" w:hAnsi="Baskerville Old Face"/>
          <w:sz w:val="24"/>
          <w:szCs w:val="24"/>
        </w:rPr>
        <w:t>.</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understanding of the faith/understanding relation </w:t>
      </w:r>
      <w:r>
        <w:rPr>
          <w:rFonts w:cs="Times New Roman" w:ascii="Baskerville Old Face" w:hAnsi="Baskerville Old Face"/>
          <w:sz w:val="24"/>
          <w:szCs w:val="24"/>
        </w:rPr>
        <w:t xml:space="preserve">is an </w:t>
      </w:r>
      <w:r>
        <w:rPr>
          <w:rFonts w:cs="Times New Roman" w:ascii="Baskerville Old Face" w:hAnsi="Baskerville Old Face"/>
          <w:sz w:val="24"/>
          <w:szCs w:val="24"/>
        </w:rPr>
        <w:t xml:space="preserve">obstacle to approaching the text of Anselm’s </w:t>
      </w:r>
      <w:r>
        <w:rPr>
          <w:rFonts w:cs="Times New Roman" w:ascii="Baskerville Old Face" w:hAnsi="Baskerville Old Face"/>
          <w:i/>
          <w:sz w:val="24"/>
          <w:szCs w:val="24"/>
        </w:rPr>
        <w:t>Proslogion</w:t>
      </w:r>
      <w:r>
        <w:rPr>
          <w:rFonts w:cs="Times New Roman" w:ascii="Baskerville Old Face" w:hAnsi="Baskerville Old Face"/>
          <w:i w:val="false"/>
          <w:iCs w:val="false"/>
          <w:sz w:val="24"/>
          <w:szCs w:val="24"/>
        </w:rPr>
        <w:t xml:space="preserve"> </w:t>
      </w:r>
      <w:r>
        <w:rPr>
          <w:rFonts w:cs="Times New Roman" w:ascii="Baskerville Old Face" w:hAnsi="Baskerville Old Face"/>
          <w:i w:val="false"/>
          <w:iCs w:val="false"/>
          <w:sz w:val="24"/>
          <w:szCs w:val="24"/>
        </w:rPr>
        <w:t>in its proper context</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w:t>
      </w:r>
      <w:r>
        <w:rPr>
          <w:rFonts w:cs="Times New Roman" w:ascii="Baskerville Old Face" w:hAnsi="Baskerville Old Face"/>
          <w:sz w:val="24"/>
          <w:szCs w:val="24"/>
        </w:rPr>
        <w:t>m</w:t>
      </w:r>
      <w:r>
        <w:rPr>
          <w:rFonts w:cs="Times New Roman" w:ascii="Baskerville Old Face" w:hAnsi="Baskerville Old Face"/>
          <w:sz w:val="24"/>
          <w:szCs w:val="24"/>
        </w:rPr>
        <w:t xml:space="preserve">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The above passages manifest two aspects of early </w:t>
      </w:r>
      <w:r>
        <w:rPr>
          <w:rFonts w:cs="Times New Roman" w:ascii="Baskerville Old Face" w:hAnsi="Baskerville Old Face"/>
          <w:sz w:val="24"/>
          <w:szCs w:val="24"/>
        </w:rPr>
        <w:t>m</w:t>
      </w:r>
      <w:r>
        <w:rPr>
          <w:rFonts w:cs="Times New Roman" w:ascii="Baskerville Old Face" w:hAnsi="Baskerville Old Face"/>
          <w:sz w:val="24"/>
          <w:szCs w:val="24"/>
        </w:rPr>
        <w:t xml:space="preserve">edieval thinking more generally. First, the </w:t>
      </w:r>
      <w:r>
        <w:rPr>
          <w:rFonts w:cs="Times New Roman" w:ascii="Baskerville Old Face" w:hAnsi="Baskerville Old Face"/>
          <w:sz w:val="24"/>
          <w:szCs w:val="24"/>
        </w:rPr>
        <w:t>m</w:t>
      </w:r>
      <w:r>
        <w:rPr>
          <w:rFonts w:cs="Times New Roman" w:ascii="Baskerville Old Face" w:hAnsi="Baskerville Old Face"/>
          <w:sz w:val="24"/>
          <w:szCs w:val="24"/>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in grasping the sense. 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every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as written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w:t>
      </w:r>
      <w:r>
        <w:rPr>
          <w:rStyle w:val="FootnoteAnchor"/>
          <w:rFonts w:ascii="Baskerville Old Face" w:hAnsi="Baskerville Old Face"/>
          <w:i w:val="false"/>
          <w:iCs w:val="false"/>
          <w:sz w:val="24"/>
          <w:szCs w:val="24"/>
        </w:rPr>
        <w:footnoteReference w:id="30"/>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1"/>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2"/>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3"/>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4"/>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5"/>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6"/>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9"/>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40"/>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1"/>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2"/>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3"/>
      </w:r>
      <w:r>
        <w:rPr>
          <w:rFonts w:cs="Times New Roman" w:ascii="Baskerville Old Face" w:hAnsi="Baskerville Old Face"/>
        </w:rPr>
        <w:t xml:space="preserve"> Here, ‘that than which nothing greater can be thought’ is what later </w:t>
      </w:r>
      <w:r>
        <w:rPr>
          <w:rFonts w:cs="Times New Roman" w:ascii="Baskerville Old Face" w:hAnsi="Baskerville Old Face"/>
        </w:rPr>
        <w:t>m</w:t>
      </w:r>
      <w:r>
        <w:rPr>
          <w:rFonts w:cs="Times New Roman" w:ascii="Baskerville Old Face" w:hAnsi="Baskerville Old Face"/>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4"/>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5"/>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6"/>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7"/>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9"/>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50"/>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1"/>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2"/>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3"/>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4"/>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7"/>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9"/>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60"/>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Commentarii i</w:t>
      </w:r>
      <w:r>
        <w:rPr>
          <w:rFonts w:ascii="Baskerville Old Face" w:hAnsi="Baskerville Old Face"/>
          <w:i/>
          <w:iCs/>
          <w:u w:val="none"/>
        </w:rPr>
        <w:t xml:space="preserve">n Librum Aristotelis </w:t>
      </w:r>
      <w:r>
        <w:rPr>
          <w:rFonts w:ascii="Baskerville Old Face" w:hAnsi="Baskerville Old Face"/>
          <w:i/>
          <w:iCs/>
          <w:u w:val="none"/>
        </w:rPr>
        <w:t>Peri Hermeneias</w:t>
      </w:r>
      <w:r>
        <w:rPr>
          <w:rFonts w:ascii="Baskerville Old Face" w:hAnsi="Baskerville Old Face"/>
          <w:i/>
          <w:iCs/>
          <w:u w:val="none"/>
        </w:rPr>
        <w:t xml:space="preserve">. </w:t>
      </w:r>
      <w:r>
        <w:rPr>
          <w:rFonts w:ascii="Baskerville Old Face" w:hAnsi="Baskerville Old Face"/>
          <w:i/>
          <w:iCs/>
          <w:u w:val="none"/>
        </w:rPr>
        <w:t>Pars Posterior</w:t>
      </w:r>
      <w:r>
        <w:rPr>
          <w:rFonts w:ascii="Baskerville Old Face" w:hAnsi="Baskerville Old Face"/>
          <w:i w:val="false"/>
          <w:iCs w:val="false"/>
          <w:u w:val="none"/>
        </w:rPr>
        <w:t>. Edited</w:t>
      </w:r>
      <w:r>
        <w:rPr>
          <w:rFonts w:ascii="Baskerville Old Face" w:hAnsi="Baskerville Old Face"/>
          <w:i w:val="false"/>
          <w:iCs w:val="false"/>
          <w:u w:val="none"/>
        </w:rPr>
        <w:t xml:space="preserve"> by Karl Meiser. Leipzig: Teubner, 1880</w:t>
      </w:r>
      <w:r>
        <w:rPr>
          <w:rFonts w:ascii="Baskerville Old Face" w:hAnsi="Baskerville Old Face"/>
          <w:i w:val="false"/>
          <w:iCs w:val="false"/>
          <w:u w:val="none"/>
        </w:rPr>
        <w:t>.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rPr>
        <w:t xml:space="preserve">deponent </w:t>
      </w:r>
      <w:r>
        <w:rPr>
          <w:rFonts w:cs="Times New Roman" w:ascii="Baskerville Old Face" w:hAnsi="Baskerville Old Face"/>
        </w:rPr>
        <w:t>‘adipiscitur’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i w:val="false"/>
          <w:iCs w:val="false"/>
        </w:rPr>
        <w:t>71.3-74.31</w:t>
      </w:r>
      <w:r>
        <w:rPr>
          <w:rFonts w:cs="Times New Roman" w:ascii="Baskerville" w:hAnsi="Baskerville"/>
        </w:rPr>
        <w:t xml:space="preserve">, where the phrase is used throughout. Anselm uses it at </w:t>
      </w:r>
      <w:r>
        <w:rPr>
          <w:rFonts w:cs="Times New Roman" w:ascii="Baskerville" w:hAnsi="Baskerville"/>
          <w:i/>
        </w:rPr>
        <w:t xml:space="preserve">DG </w:t>
      </w:r>
      <w:r>
        <w:rPr>
          <w:rFonts w:cs="Times New Roman" w:ascii="Baskerville" w:hAnsi="Baskerville"/>
        </w:rPr>
        <w:t>XIV.</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w:t>
      </w:r>
      <w:r>
        <w:rPr>
          <w:rFonts w:ascii="Baskerville Old Face" w:hAnsi="Baskerville Old Face"/>
        </w:rPr>
        <w:t>34.21-26</w:t>
      </w:r>
      <w:r>
        <w:rPr>
          <w:rFonts w:ascii="Baskerville Old Face" w:hAnsi="Baskerville Old Face"/>
        </w:rPr>
        <w:t>.</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rPr/>
      </w:pPr>
      <w:r>
        <w:rPr>
          <w:rStyle w:val="FootnoteCharacters"/>
        </w:rPr>
        <w:footnoteRef/>
      </w:r>
      <w:r>
        <w:rPr/>
        <w:t xml:space="preserve"> </w:t>
      </w:r>
      <w:r>
        <w:rPr/>
        <w:t xml:space="preserve">See also </w:t>
      </w:r>
      <w:r>
        <w:rPr>
          <w:i/>
          <w:iCs/>
        </w:rPr>
        <w:t xml:space="preserve">BDIG </w:t>
      </w:r>
      <w:r>
        <w:rPr>
          <w:i w:val="false"/>
          <w:iCs w:val="false"/>
        </w:rPr>
        <w:t>35.15-16: ‘quare quoniam passiones animae quas intellectus vocavit...”</w:t>
      </w:r>
    </w:p>
  </w:footnote>
  <w:footnote w:id="31">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5">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w:t>
      </w:r>
      <w:r>
        <w:rPr>
          <w:rFonts w:cs="Times New Roman" w:ascii="Baskerville Old Face" w:hAnsi="Baskerville Old Face"/>
        </w:rPr>
        <w:t>m</w:t>
      </w:r>
      <w:r>
        <w:rPr>
          <w:rFonts w:cs="Times New Roman" w:ascii="Baskerville Old Face" w:hAnsi="Baskerville Old Face"/>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9">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40">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25118</TotalTime>
  <Application>LibreOffice/7.4.2.3$Linux_X86_64 LibreOffice_project/382eef1f22670f7f4118c8c2dd222ec7ad009daf</Application>
  <AppVersion>15.0000</AppVersion>
  <Pages>36</Pages>
  <Words>9969</Words>
  <Characters>51923</Characters>
  <CharactersWithSpaces>61871</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2022-11-18T10:09:26Z</dcterms:modified>
  <cp:revision>501</cp:revision>
  <dc:subject/>
  <dc:title/>
</cp:coreProperties>
</file>

<file path=docProps/custom.xml><?xml version="1.0" encoding="utf-8"?>
<Properties xmlns="http://schemas.openxmlformats.org/officeDocument/2006/custom-properties" xmlns:vt="http://schemas.openxmlformats.org/officeDocument/2006/docPropsVTypes"/>
</file>