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w:t>
      </w:r>
      <w:r>
        <w:rPr>
          <w:rFonts w:cs="Times New Roman" w:ascii="Baskerville Old Face" w:hAnsi="Baskerville Old Face"/>
          <w:sz w:val="24"/>
          <w:szCs w:val="24"/>
        </w:rPr>
        <w:t xml:space="preserve">may </w:t>
      </w:r>
      <w:r>
        <w:rPr>
          <w:rFonts w:cs="Times New Roman" w:ascii="Baskerville Old Face" w:hAnsi="Baskerville Old Face"/>
          <w:sz w:val="24"/>
          <w:szCs w:val="24"/>
        </w:rPr>
        <w:t xml:space="preserve">also </w:t>
      </w:r>
      <w:r>
        <w:rPr>
          <w:rFonts w:cs="Times New Roman" w:ascii="Baskerville Old Face" w:hAnsi="Baskerville Old Face"/>
          <w:sz w:val="24"/>
          <w:szCs w:val="24"/>
        </w:rPr>
        <w:t xml:space="preserve">be </w:t>
      </w:r>
      <w:r>
        <w:rPr>
          <w:rFonts w:cs="Times New Roman" w:ascii="Baskerville Old Face" w:hAnsi="Baskerville Old Face"/>
          <w:sz w:val="24"/>
          <w:szCs w:val="24"/>
        </w:rPr>
        <w:t xml:space="preserve">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w:t>
      </w:r>
      <w:r>
        <w:rPr>
          <w:rFonts w:cs="Times New Roman" w:ascii="Baskerville" w:hAnsi="Baskerville"/>
          <w:sz w:val="24"/>
          <w:szCs w:val="24"/>
        </w:rPr>
        <w:t xml:space="preserve">either </w:t>
      </w:r>
      <w:r>
        <w:rPr>
          <w:rFonts w:cs="Times New Roman" w:ascii="Baskerville" w:hAnsi="Baskerville"/>
          <w:sz w:val="24"/>
          <w:szCs w:val="24"/>
        </w:rPr>
        <w:t xml:space="preserve">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w:t>
      </w:r>
      <w:r>
        <w:rPr>
          <w:rFonts w:cs="Times New Roman" w:ascii="Baskerville" w:hAnsi="Baskerville"/>
          <w:sz w:val="24"/>
          <w:szCs w:val="24"/>
        </w:rPr>
        <w:t>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assumes that the reading ‘utraque rhetorica ii’ is taken in the composite sense, i.e. ‘both rhetorics, two [books] (total)’, rather than ‘both rhetorics, two books (each)’</w:t>
      </w:r>
      <w:r>
        <w:rPr>
          <w:rFonts w:cs="Times New Roman" w:ascii="Baskerville Old Face" w:hAnsi="Baskerville Old Face"/>
        </w:rPr>
        <w:t xml:space="preserve">. </w:t>
      </w:r>
      <w:r>
        <w:rPr>
          <w:rFonts w:cs="Times New Roman" w:ascii="Baskerville Old Face" w:hAnsi="Baskerville Old Face"/>
        </w:rPr>
        <w:t xml:space="preserve">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r>
        <w:rPr>
          <w:rFonts w:cs="Times New Roman" w:ascii="Baskerville" w:hAnsi="Baskerville"/>
        </w:rPr>
        <w:t xml:space="preserve">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Application>LibreOffice/7.4.1.2$Linux_X86_64 LibreOffice_project/3c58a8f3a960df8bc8fd77b461821e42c061c5f0</Application>
  <AppVersion>15.0000</AppVersion>
  <Pages>32</Pages>
  <Words>9157</Words>
  <Characters>47282</Characters>
  <CharactersWithSpaces>56417</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2022-10-26T22:15:49Z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