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show how these considerations illuminate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‘without’ can be strengthened to ‘against’. This sense is not terribly flattering. This does not mean it is an incorrect reading of the phenomena, but we should hesitate to think this was </w:t>
      </w:r>
      <w:r>
        <w:rPr>
          <w:rFonts w:cs="Times New Roman" w:ascii="Baskerville Old Face" w:hAnsi="Baskerville Old Face"/>
          <w:sz w:val="24"/>
          <w:szCs w:val="24"/>
          <w:lang w:val="en-GB"/>
        </w:rPr>
        <w:t xml:space="preserve">what </w:t>
      </w:r>
      <w:r>
        <w:rPr>
          <w:rFonts w:cs="Times New Roman" w:ascii="Baskerville Old Face" w:hAnsi="Baskerville Old Face"/>
          <w:sz w:val="24"/>
          <w:szCs w:val="24"/>
          <w:lang w:val="en-GB"/>
        </w:rPr>
        <w:t xml:space="preserve">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The ‘</w:t>
      </w:r>
      <w:r>
        <w:rPr>
          <w:rFonts w:cs="Times New Roman" w:ascii="Baskerville Old Face" w:hAnsi="Baskerville Old Face"/>
          <w:sz w:val="24"/>
          <w:szCs w:val="24"/>
          <w:lang w:val="en-GB"/>
        </w:rPr>
        <w:t>d</w:t>
      </w:r>
      <w:r>
        <w:rPr>
          <w:rFonts w:cs="Times New Roman" w:ascii="Baskerville Old Face" w:hAnsi="Baskerville Old Face"/>
          <w:sz w:val="24"/>
          <w:szCs w:val="24"/>
          <w:lang w:val="en-GB"/>
        </w:rPr>
        <w:t xml:space="preserve">ialectic in three books’ is likely either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xml:space="preserve"> or his</w:t>
      </w:r>
      <w:r>
        <w:rPr>
          <w:rFonts w:cs="Times New Roman" w:ascii="Baskerville Old Face" w:hAnsi="Baskerville Old Face"/>
          <w:i/>
          <w:iCs/>
          <w:sz w:val="24"/>
          <w:szCs w:val="24"/>
          <w:lang w:val="en-GB"/>
        </w:rPr>
        <w:t xml:space="preserve"> De </w:t>
      </w:r>
      <w:r>
        <w:rPr>
          <w:rFonts w:cs="Times New Roman" w:ascii="Baskerville Old Face" w:hAnsi="Baskerville Old Face"/>
          <w:i/>
          <w:iCs/>
          <w:sz w:val="24"/>
          <w:szCs w:val="24"/>
          <w:lang w:val="en-GB"/>
        </w:rPr>
        <w:t>S</w:t>
      </w:r>
      <w:r>
        <w:rPr>
          <w:rFonts w:cs="Times New Roman" w:ascii="Baskerville Old Face" w:hAnsi="Baskerville Old Face"/>
          <w:i/>
          <w:iCs/>
          <w:sz w:val="24"/>
          <w:szCs w:val="24"/>
          <w:lang w:val="en-GB"/>
        </w:rPr>
        <w:t xml:space="preserve">yllogismo </w:t>
      </w:r>
      <w:r>
        <w:rPr>
          <w:rFonts w:cs="Times New Roman" w:ascii="Baskerville Old Face" w:hAnsi="Baskerville Old Face"/>
          <w:i/>
          <w:iCs/>
          <w:sz w:val="24"/>
          <w:szCs w:val="24"/>
          <w:lang w:val="en-GB"/>
        </w:rPr>
        <w:t>H</w:t>
      </w:r>
      <w:r>
        <w:rPr>
          <w:rFonts w:cs="Times New Roman" w:ascii="Baskerville Old Face" w:hAnsi="Baskerville Old Face"/>
          <w:i/>
          <w:iCs/>
          <w:sz w:val="24"/>
          <w:szCs w:val="24"/>
          <w:lang w:val="en-GB"/>
        </w:rPr>
        <w:t>ypothetico</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Two objections arise at this point: first, that the above merely amounts to replacing ‘</w:t>
      </w:r>
      <w:r>
        <w:rPr>
          <w:rFonts w:cs="Times New Roman" w:ascii="Baskerville Old Face" w:hAnsi="Baskerville Old Face"/>
          <w:sz w:val="24"/>
          <w:szCs w:val="24"/>
          <w:lang w:val="en-GB"/>
        </w:rPr>
        <w:t>thought’ or</w:t>
      </w:r>
      <w:r>
        <w:rPr>
          <w:rFonts w:cs="Times New Roman" w:ascii="Baskerville Old Face" w:hAnsi="Baskerville Old Face"/>
          <w:sz w:val="24"/>
          <w:szCs w:val="24"/>
          <w:lang w:val="en-GB"/>
        </w:rPr>
        <w:t xml:space="preserve">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rendering (</w:t>
      </w:r>
      <w:r>
        <w:rPr>
          <w:rFonts w:ascii="Baskerville Old Face" w:hAnsi="Baskerville Old Face"/>
          <w:i/>
          <w:iCs/>
          <w:sz w:val="24"/>
          <w:szCs w:val="24"/>
          <w:lang w:val="en-GB"/>
        </w:rPr>
        <w:t xml:space="preserve">designativae voces intellectuum </w:t>
      </w:r>
      <w:r>
        <w:rPr>
          <w:rFonts w:ascii="Baskerville Old Face" w:hAnsi="Baskerville Old Face"/>
          <w:i/>
          <w:iCs/>
          <w:sz w:val="24"/>
          <w:szCs w:val="24"/>
          <w:lang w:val="en-GB"/>
        </w:rPr>
        <w:t>principaliter</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w:t>
      </w:r>
      <w:r>
        <w:rPr>
          <w:rFonts w:ascii="Baskerville Old Face" w:hAnsi="Baskerville Old Face"/>
          <w:i w:val="false"/>
          <w:iCs w:val="false"/>
          <w:sz w:val="24"/>
          <w:szCs w:val="24"/>
          <w:lang w:val="en-GB"/>
        </w:rPr>
        <w:t>T</w:t>
      </w:r>
      <w:r>
        <w:rPr>
          <w:rFonts w:ascii="Baskerville Old Face" w:hAnsi="Baskerville Old Face"/>
          <w:i w:val="false"/>
          <w:iCs w:val="false"/>
          <w:sz w:val="24"/>
          <w:szCs w:val="24"/>
          <w:lang w:val="en-GB"/>
        </w:rPr>
        <w:t xml:space="preserve">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t>
      </w:r>
      <w:r>
        <w:rPr>
          <w:rFonts w:ascii="Baskerville Old Face" w:hAnsi="Baskerville Old Face"/>
          <w:i w:val="false"/>
          <w:iCs w:val="false"/>
          <w:sz w:val="24"/>
          <w:szCs w:val="24"/>
          <w:lang w:val="en-GB"/>
        </w:rPr>
        <w:t xml:space="preserve">Smith’s interpretation </w:t>
      </w:r>
      <w:r>
        <w:rPr>
          <w:rFonts w:ascii="Baskerville Old Face" w:hAnsi="Baskerville Old Face"/>
          <w:i w:val="false"/>
          <w:iCs w:val="false"/>
          <w:sz w:val="24"/>
          <w:szCs w:val="24"/>
          <w:lang w:val="en-GB"/>
        </w:rPr>
        <w:t xml:space="preserve">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w:t>
      </w:r>
      <w:r>
        <w:rPr>
          <w:rFonts w:eastAsia="Times New Roman" w:cs="Times New Roman" w:ascii="Baskerville Old Face" w:hAnsi="Baskerville Old Face"/>
          <w:i w:val="false"/>
          <w:iCs w:val="false"/>
          <w:color w:val="auto"/>
          <w:sz w:val="24"/>
          <w:szCs w:val="24"/>
          <w:lang w:val="en-GB" w:eastAsia="en-GB"/>
        </w:rPr>
        <w:t xml:space="preserve">relates </w:t>
      </w:r>
      <w:r>
        <w:rPr>
          <w:rFonts w:eastAsia="Times New Roman" w:cs="Times New Roman" w:ascii="Baskerville Old Face" w:hAnsi="Baskerville Old Face"/>
          <w:i w:val="false"/>
          <w:iCs w:val="false"/>
          <w:color w:val="auto"/>
          <w:sz w:val="24"/>
          <w:szCs w:val="24"/>
          <w:lang w:val="en-GB" w:eastAsia="en-GB"/>
        </w:rPr>
        <w:t xml:space="preserve">signification and thought to things, but </w:t>
      </w:r>
      <w:r>
        <w:rPr>
          <w:rFonts w:eastAsia="Times New Roman" w:cs="Times New Roman" w:ascii="Baskerville Old Face" w:hAnsi="Baskerville Old Face"/>
          <w:i w:val="false"/>
          <w:iCs w:val="false"/>
          <w:color w:val="auto"/>
          <w:sz w:val="24"/>
          <w:szCs w:val="24"/>
          <w:lang w:val="en-GB" w:eastAsia="en-GB"/>
        </w:rPr>
        <w:t xml:space="preserve">leaves </w:t>
      </w:r>
      <w:r>
        <w:rPr>
          <w:rFonts w:eastAsia="Times New Roman" w:cs="Times New Roman" w:ascii="Baskerville Old Face" w:hAnsi="Baskerville Old Face"/>
          <w:i w:val="false"/>
          <w:iCs w:val="false"/>
          <w:color w:val="auto"/>
          <w:sz w:val="24"/>
          <w:szCs w:val="24"/>
          <w:lang w:val="en-GB" w:eastAsia="en-GB"/>
        </w:rPr>
        <w:t xml:space="preserve">their relation to each other unclear; one would be forgiven for taking both as mediating instruments by which spoken terms refer to things. But Boethius </w:t>
      </w:r>
      <w:r>
        <w:rPr>
          <w:rFonts w:eastAsia="Times New Roman" w:cs="Times New Roman" w:ascii="Baskerville Old Face" w:hAnsi="Baskerville Old Face"/>
          <w:i w:val="false"/>
          <w:iCs w:val="false"/>
          <w:color w:val="auto"/>
          <w:sz w:val="24"/>
          <w:szCs w:val="24"/>
          <w:lang w:val="en-GB" w:eastAsia="en-GB"/>
        </w:rPr>
        <w:t xml:space="preserve">here </w:t>
      </w:r>
      <w:r>
        <w:rPr>
          <w:rFonts w:eastAsia="Times New Roman" w:cs="Times New Roman" w:ascii="Baskerville Old Face" w:hAnsi="Baskerville Old Face"/>
          <w:i w:val="false"/>
          <w:iCs w:val="false"/>
          <w:color w:val="auto"/>
          <w:sz w:val="24"/>
          <w:szCs w:val="24"/>
          <w:lang w:val="en-GB" w:eastAsia="en-GB"/>
        </w:rPr>
        <w:t xml:space="preserve">uses </w:t>
      </w:r>
      <w:r>
        <w:rPr>
          <w:rFonts w:eastAsia="Times New Roman" w:cs="Times New Roman" w:ascii="Baskerville Old Face" w:hAnsi="Baskerville Old Face"/>
          <w:i/>
          <w:iCs/>
          <w:color w:val="auto"/>
          <w:sz w:val="24"/>
          <w:szCs w:val="24"/>
          <w:lang w:val="en-GB" w:eastAsia="en-GB"/>
        </w:rPr>
        <w:t>significati</w:t>
      </w:r>
      <w:r>
        <w:rPr>
          <w:rFonts w:eastAsia="Times New Roman" w:cs="Times New Roman" w:ascii="Baskerville Old Face" w:hAnsi="Baskerville Old Face"/>
          <w:i/>
          <w:iCs/>
          <w:color w:val="auto"/>
          <w:sz w:val="24"/>
          <w:szCs w:val="24"/>
          <w:lang w:val="en-GB" w:eastAsia="en-GB"/>
        </w:rPr>
        <w:t>vum</w:t>
      </w:r>
      <w:r>
        <w:rPr>
          <w:rFonts w:eastAsia="Times New Roman" w:cs="Times New Roman" w:ascii="Baskerville Old Face" w:hAnsi="Baskerville Old Face"/>
          <w:i w:val="false"/>
          <w:iCs w:val="false"/>
          <w:color w:val="auto"/>
          <w:sz w:val="24"/>
          <w:szCs w:val="24"/>
          <w:lang w:val="en-GB" w:eastAsia="en-GB"/>
        </w:rPr>
        <w:t xml:space="preserve"> and</w:t>
      </w:r>
      <w:r>
        <w:rPr>
          <w:rFonts w:eastAsia="Times New Roman" w:cs="Times New Roman" w:ascii="Baskerville Old Face" w:hAnsi="Baskerville Old Face"/>
          <w:i/>
          <w:iCs/>
          <w:color w:val="auto"/>
          <w:sz w:val="24"/>
          <w:szCs w:val="24"/>
          <w:lang w:val="en-GB" w:eastAsia="en-GB"/>
        </w:rPr>
        <w:t xml:space="preserve"> designativae</w:t>
      </w:r>
      <w:r>
        <w:rPr>
          <w:rFonts w:eastAsia="Times New Roman" w:cs="Times New Roman" w:ascii="Baskerville Old Face" w:hAnsi="Baskerville Old Face"/>
          <w:i/>
          <w:iCs/>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to </w:t>
      </w:r>
      <w:r>
        <w:rPr>
          <w:rFonts w:eastAsia="Times New Roman" w:cs="Times New Roman" w:ascii="Baskerville Old Face" w:hAnsi="Baskerville Old Face"/>
          <w:i w:val="false"/>
          <w:iCs w:val="false"/>
          <w:color w:val="auto"/>
          <w:sz w:val="24"/>
          <w:szCs w:val="24"/>
          <w:lang w:val="en-GB" w:eastAsia="en-GB"/>
        </w:rPr>
        <w:t xml:space="preserve">denote not </w:t>
      </w:r>
      <w:r>
        <w:rPr>
          <w:rFonts w:eastAsia="Times New Roman" w:cs="Times New Roman" w:ascii="Baskerville Old Face" w:hAnsi="Baskerville Old Face"/>
          <w:i w:val="false"/>
          <w:iCs w:val="false"/>
          <w:color w:val="auto"/>
          <w:sz w:val="24"/>
          <w:szCs w:val="24"/>
          <w:lang w:val="en-GB" w:eastAsia="en-GB"/>
        </w:rPr>
        <w:t xml:space="preserve">what is immediately meant by an utterance – for </w:t>
      </w:r>
      <w:r>
        <w:rPr>
          <w:rFonts w:eastAsia="Times New Roman" w:cs="Times New Roman" w:ascii="Baskerville Old Face" w:hAnsi="Baskerville Old Face"/>
          <w:i w:val="false"/>
          <w:iCs w:val="false"/>
          <w:color w:val="auto"/>
          <w:sz w:val="24"/>
          <w:szCs w:val="24"/>
          <w:lang w:val="en-GB" w:eastAsia="en-GB"/>
        </w:rPr>
        <w:t xml:space="preserve">this </w:t>
      </w:r>
      <w:r>
        <w:rPr>
          <w:rFonts w:eastAsia="Times New Roman" w:cs="Times New Roman" w:ascii="Baskerville Old Face" w:hAnsi="Baskerville Old Face"/>
          <w:i w:val="false"/>
          <w:iCs w:val="false"/>
          <w:color w:val="auto"/>
          <w:sz w:val="24"/>
          <w:szCs w:val="24"/>
          <w:lang w:val="en-GB" w:eastAsia="en-GB"/>
        </w:rPr>
        <w:t xml:space="preserve">he instead uses </w:t>
      </w:r>
      <w:r>
        <w:rPr>
          <w:rFonts w:eastAsia="Times New Roman" w:cs="Times New Roman" w:ascii="Baskerville Old Face" w:hAnsi="Baskerville Old Face"/>
          <w:i/>
          <w:iCs/>
          <w:color w:val="auto"/>
          <w:sz w:val="24"/>
          <w:szCs w:val="24"/>
          <w:lang w:val="en-GB" w:eastAsia="en-GB"/>
        </w:rPr>
        <w:t xml:space="preserve">intellectus </w:t>
      </w:r>
      <w:r>
        <w:rPr>
          <w:rFonts w:eastAsia="Times New Roman" w:cs="Times New Roman" w:ascii="Baskerville Old Face" w:hAnsi="Baskerville Old Face"/>
          <w:i w:val="false"/>
          <w:iCs w:val="false"/>
          <w:color w:val="auto"/>
          <w:sz w:val="24"/>
          <w:szCs w:val="24"/>
          <w:lang w:val="en-GB" w:eastAsia="en-GB"/>
        </w:rPr>
        <w:t xml:space="preserve">and </w:t>
      </w:r>
      <w:r>
        <w:rPr>
          <w:rFonts w:eastAsia="Times New Roman" w:cs="Times New Roman" w:ascii="Baskerville Old Face" w:hAnsi="Baskerville Old Face"/>
          <w:i/>
          <w:iCs/>
          <w:color w:val="auto"/>
          <w:sz w:val="24"/>
          <w:szCs w:val="24"/>
          <w:lang w:val="en-GB" w:eastAsia="en-GB"/>
        </w:rPr>
        <w:t xml:space="preserve">passio </w:t>
      </w:r>
      <w:r>
        <w:rPr>
          <w:rFonts w:eastAsia="Times New Roman" w:cs="Times New Roman" w:ascii="Baskerville Old Face" w:hAnsi="Baskerville Old Face"/>
          <w:i w:val="false"/>
          <w:iCs w:val="false"/>
          <w:color w:val="auto"/>
          <w:sz w:val="24"/>
          <w:szCs w:val="24"/>
          <w:lang w:val="en-GB" w:eastAsia="en-GB"/>
        </w:rPr>
        <w:t xml:space="preserve">depending on the connotation desired – but a property of words by which they both mean and refer </w:t>
      </w:r>
      <w:r>
        <w:rPr>
          <w:rFonts w:eastAsia="Times New Roman" w:cs="Times New Roman" w:ascii="Baskerville Old Face" w:hAnsi="Baskerville Old Face"/>
          <w:i w:val="false"/>
          <w:iCs w:val="false"/>
          <w:color w:val="auto"/>
          <w:sz w:val="24"/>
          <w:szCs w:val="24"/>
          <w:lang w:val="en-GB" w:eastAsia="en-GB"/>
        </w:rPr>
        <w:t xml:space="preserve">to those same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Instead, </w:t>
      </w:r>
      <w:r>
        <w:rPr>
          <w:rFonts w:eastAsia="Times New Roman" w:cs="Times New Roman" w:ascii="Baskerville Old Face" w:hAnsi="Baskerville Old Face"/>
          <w:i w:val="false"/>
          <w:iCs w:val="false"/>
          <w:color w:val="auto"/>
          <w:sz w:val="24"/>
          <w:szCs w:val="24"/>
          <w:lang w:val="en-GB" w:eastAsia="en-GB"/>
        </w:rPr>
        <w:t xml:space="preserve">Boethius here answers how utterances principally designating impressions of the soul, which are identical with features of a thing, may in turn be used to refer not to </w:t>
      </w:r>
      <w:r>
        <w:rPr>
          <w:rFonts w:eastAsia="Times New Roman" w:cs="Times New Roman" w:ascii="Baskerville Old Face" w:hAnsi="Baskerville Old Face"/>
          <w:i w:val="false"/>
          <w:iCs w:val="false"/>
          <w:color w:val="auto"/>
          <w:sz w:val="24"/>
          <w:szCs w:val="24"/>
          <w:lang w:val="en-GB" w:eastAsia="en-GB"/>
        </w:rPr>
        <w:t xml:space="preserve">those features </w:t>
      </w:r>
      <w:r>
        <w:rPr>
          <w:rFonts w:eastAsia="Times New Roman" w:cs="Times New Roman" w:ascii="Baskerville Old Face" w:hAnsi="Baskerville Old Face"/>
          <w:i w:val="false"/>
          <w:iCs w:val="false"/>
          <w:color w:val="auto"/>
          <w:sz w:val="24"/>
          <w:szCs w:val="24"/>
          <w:lang w:val="en-GB" w:eastAsia="en-GB"/>
        </w:rPr>
        <w:t xml:space="preserve">but to their bearers, the things ‘by which meanings advance’ – </w:t>
      </w:r>
      <w:r>
        <w:rPr>
          <w:rFonts w:eastAsia="Times New Roman" w:cs="Times New Roman" w:ascii="Baskerville Old Face" w:hAnsi="Baskerville Old Face"/>
          <w:i w:val="false"/>
          <w:iCs w:val="false"/>
          <w:color w:val="auto"/>
          <w:sz w:val="24"/>
          <w:szCs w:val="24"/>
          <w:lang w:val="en-GB" w:eastAsia="en-GB"/>
        </w:rPr>
        <w:t>a task Anselm will take up more specifically and at length in the</w:t>
      </w:r>
      <w:r>
        <w:rPr>
          <w:rFonts w:eastAsia="Times New Roman" w:cs="Times New Roman" w:ascii="Baskerville Old Face" w:hAnsi="Baskerville Old Face"/>
          <w:i/>
          <w:iCs/>
          <w:color w:val="auto"/>
          <w:sz w:val="24"/>
          <w:szCs w:val="24"/>
          <w:lang w:val="en-GB" w:eastAsia="en-GB"/>
        </w:rPr>
        <w:t xml:space="preserve"> De Grammatico</w:t>
      </w:r>
      <w:r>
        <w:rPr>
          <w:rFonts w:eastAsia="Times New Roman" w:cs="Times New Roman" w:ascii="Baskerville Old Face" w:hAnsi="Baskerville Old Face"/>
          <w:i w:val="false"/>
          <w:iCs w:val="false"/>
          <w:color w:val="auto"/>
          <w:sz w:val="24"/>
          <w:szCs w:val="24"/>
          <w:lang w:val="en-GB" w:eastAsia="en-GB"/>
        </w:rPr>
        <w:t>’s discussion of paronyms.</w:t>
      </w:r>
      <w:r>
        <w:rPr>
          <w:rFonts w:eastAsia="Times New Roman" w:cs="Times New Roman" w:ascii="Baskerville Old Face" w:hAnsi="Baskerville Old Face"/>
          <w:i/>
          <w:iCs/>
          <w:color w:val="auto"/>
          <w:sz w:val="24"/>
          <w:szCs w:val="24"/>
          <w:lang w:val="en-GB" w:eastAsia="en-GB"/>
        </w:rPr>
        <w:t xml:space="preserve">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t>
      </w:r>
      <w:r>
        <w:rPr>
          <w:rFonts w:ascii="Baskerville Old Face" w:hAnsi="Baskerville Old Face"/>
          <w:i w:val="false"/>
          <w:iCs w:val="false"/>
          <w:sz w:val="24"/>
          <w:szCs w:val="24"/>
          <w:lang w:val="en-GB"/>
        </w:rPr>
        <w:t xml:space="preserve">while possible, </w:t>
      </w:r>
      <w:r>
        <w:rPr>
          <w:rFonts w:ascii="Baskerville Old Face" w:hAnsi="Baskerville Old Face"/>
          <w:i w:val="false"/>
          <w:iCs w:val="false"/>
          <w:sz w:val="24"/>
          <w:szCs w:val="24"/>
          <w:lang w:val="en-GB"/>
        </w:rPr>
        <w:t>require</w:t>
      </w:r>
      <w:r>
        <w:rPr>
          <w:rFonts w:ascii="Baskerville Old Face" w:hAnsi="Baskerville Old Face"/>
          <w:i w:val="false"/>
          <w:iCs w:val="false"/>
          <w:sz w:val="24"/>
          <w:szCs w:val="24"/>
          <w:lang w:val="en-GB"/>
        </w:rPr>
        <w:t>s</w:t>
      </w:r>
      <w:r>
        <w:rPr>
          <w:rFonts w:ascii="Baskerville Old Face" w:hAnsi="Baskerville Old Face"/>
          <w:i w:val="false"/>
          <w:iCs w:val="false"/>
          <w:sz w:val="24"/>
          <w:szCs w:val="24"/>
          <w:lang w:val="en-GB"/>
        </w:rPr>
        <w:t xml:space="preserve"> repudiating the above contraindicated senses embedded in the </w:t>
      </w:r>
      <w:r>
        <w:rPr>
          <w:rFonts w:ascii="Baskerville Old Face" w:hAnsi="Baskerville Old Face"/>
          <w:i w:val="false"/>
          <w:iCs w:val="false"/>
          <w:sz w:val="24"/>
          <w:szCs w:val="24"/>
          <w:lang w:val="en-GB"/>
        </w:rPr>
        <w:t xml:space="preserve">understanding of these terms today. </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both"/>
        <w:rPr>
          <w:lang w:val="en-GB"/>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what it signifies need be specified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61"/>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w:t>
      </w:r>
      <w:r>
        <w:rPr>
          <w:rFonts w:cs="Times New Roman" w:ascii="Baskerville Old Face" w:hAnsi="Baskerville Old Face"/>
          <w:lang w:val="en-GB"/>
        </w:rPr>
        <w:t xml:space="preserve">But </w:t>
      </w:r>
      <w:r>
        <w:rPr>
          <w:rFonts w:cs="Times New Roman" w:ascii="Baskerville Old Face" w:hAnsi="Baskerville Old Face"/>
          <w:lang w:val="en-GB"/>
        </w:rPr>
        <w:t xml:space="preserve">such a reading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t>
      </w:r>
      <w:r>
        <w:rPr>
          <w:rFonts w:cs="Times New Roman" w:ascii="Baskerville Old Face" w:hAnsi="Baskerville Old Face"/>
          <w:lang w:val="en-GB"/>
        </w:rPr>
        <w:t>E</w:t>
      </w:r>
      <w:r>
        <w:rPr>
          <w:rFonts w:cs="Times New Roman" w:ascii="Baskerville Old Face" w:hAnsi="Baskerville Old Face"/>
          <w:lang w:val="en-GB"/>
        </w:rPr>
        <w:t xml:space="preserv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The identification of the text with Boethius’ </w:t>
      </w:r>
      <w:r>
        <w:rPr>
          <w:rFonts w:cs="Times New Roman" w:ascii="Baskerville" w:hAnsi="Baskerville"/>
          <w:i/>
          <w:iCs/>
          <w:lang w:val="en-GB"/>
        </w:rPr>
        <w:t xml:space="preserve">De syllogismo hypothetico </w:t>
      </w:r>
      <w:r>
        <w:rPr>
          <w:rFonts w:cs="Times New Roman" w:ascii="Baskerville" w:hAnsi="Baskerville"/>
          <w:i w:val="false"/>
          <w:iCs w:val="false"/>
          <w:lang w:val="en-GB"/>
        </w:rPr>
        <w:t>is suggested by Nelis 1990, 78.</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w:t>
      </w:r>
      <w:r>
        <w:rPr>
          <w:rFonts w:cs="Times New Roman" w:ascii="Baskerville Old Face" w:hAnsi="Baskerville Old Face"/>
          <w:lang w:val="en-GB"/>
        </w:rPr>
        <w:t>ne</w:t>
      </w:r>
      <w:r>
        <w:rPr>
          <w:rFonts w:cs="Times New Roman" w:ascii="Baskerville Old Face" w:hAnsi="Baskerville Old Face"/>
          <w:lang w:val="en-GB"/>
        </w:rPr>
        <w:t xml:space="preserve">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w:t>
      </w:r>
      <w:r>
        <w:rPr>
          <w:rFonts w:cs="Times New Roman" w:ascii="Baskerville Old Face" w:hAnsi="Baskerville Old Face"/>
          <w:lang w:val="en-GB"/>
        </w:rPr>
        <w:t xml:space="preserve">See Bosman 2018. </w:t>
      </w:r>
      <w:r>
        <w:rPr>
          <w:rFonts w:cs="Times New Roman" w:ascii="Baskerville Old Face" w:hAnsi="Baskerville Old Face"/>
          <w:lang w:val="en-GB"/>
        </w:rPr>
        <w:t xml:space="preserve">On the meaning of </w:t>
      </w:r>
      <w:r>
        <w:rPr>
          <w:rFonts w:cs="Times New Roman" w:ascii="Baskerville Old Face" w:hAnsi="Baskerville Old Face"/>
          <w:i/>
          <w:lang w:val="en-GB"/>
        </w:rPr>
        <w:t>probabilis</w:t>
      </w:r>
      <w:r>
        <w:rPr>
          <w:rFonts w:cs="Times New Roman" w:ascii="Baskerville Old Face" w:hAnsi="Baskerville Old Face"/>
          <w:lang w:val="en-GB"/>
        </w:rPr>
        <w:t xml:space="preserve"> in Boethius’ theory of the topics, 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1180C-1182C.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directly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w:t>
      </w:r>
      <w:r>
        <w:rPr>
          <w:rFonts w:cs="Times New Roman" w:ascii="Baskerville Old Face" w:hAnsi="Baskerville Old Face"/>
          <w:lang w:val="en-GB"/>
        </w:rPr>
        <w:t>i</w:t>
      </w:r>
      <w:r>
        <w:rPr>
          <w:rFonts w:cs="Times New Roman" w:ascii="Baskerville Old Face" w:hAnsi="Baskerville Old Face"/>
          <w:lang w:val="en-GB"/>
        </w:rPr>
        <w:t xml:space="preserv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w:t>
      </w:r>
      <w:r>
        <w:rPr>
          <w:rFonts w:cs="Times New Roman" w:ascii="Baskerville Old Face" w:hAnsi="Baskerville Old Face"/>
          <w:lang w:val="en-GB"/>
        </w:rPr>
        <w:t>50</w:t>
      </w:r>
      <w:r>
        <w:rPr>
          <w:rFonts w:cs="Times New Roman" w:ascii="Baskerville Old Face" w:hAnsi="Baskerville Old Face"/>
          <w:lang w:val="en-GB"/>
        </w:rPr>
        <w:t>,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 w:id="61">
    <w:p>
      <w:pPr>
        <w:pStyle w:val="Footnote"/>
        <w:rPr/>
      </w:pPr>
      <w:r>
        <w:rPr>
          <w:rStyle w:val="FootnoteCharacters"/>
        </w:rPr>
        <w:footnoteRef/>
      </w:r>
      <w:r>
        <w:rPr/>
        <w:t>Thanks to Ian Logan for comments on an earlier draft of this essay.</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28693</TotalTime>
  <Application>LibreOffice/7.4.2.3$Linux_X86_64 LibreOffice_project/382eef1f22670f7f4118c8c2dd222ec7ad009daf</Application>
  <AppVersion>15.0000</AppVersion>
  <Pages>36</Pages>
  <Words>9736</Words>
  <Characters>50809</Characters>
  <CharactersWithSpaces>60523</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2022-11-22T15:16:24Z</dcterms:modified>
  <cp:revision>679</cp:revision>
  <dc:subject/>
  <dc:title/>
</cp:coreProperties>
</file>

<file path=docProps/custom.xml><?xml version="1.0" encoding="utf-8"?>
<Properties xmlns="http://schemas.openxmlformats.org/officeDocument/2006/custom-properties" xmlns:vt="http://schemas.openxmlformats.org/officeDocument/2006/docPropsVTypes"/>
</file>