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w:t>
      </w:r>
      <w:r>
        <w:rPr>
          <w:rFonts w:cs="Times New Roman" w:ascii="Baskerville Old Face" w:hAnsi="Baskerville Old Face"/>
          <w:sz w:val="24"/>
          <w:szCs w:val="24"/>
        </w:rPr>
        <w:t xml:space="preserve">henever one thing partakes of another, this participation </w:t>
      </w:r>
      <w:r>
        <w:rPr>
          <w:rFonts w:cs="Times New Roman" w:ascii="Baskerville Old Face" w:hAnsi="Baskerville Old Face"/>
          <w:sz w:val="24"/>
          <w:szCs w:val="24"/>
        </w:rPr>
        <w:t xml:space="preserve">also extends to </w:t>
      </w:r>
      <w:r>
        <w:rPr>
          <w:rFonts w:cs="Times New Roman" w:ascii="Baskerville Old Face" w:hAnsi="Baskerville Old Face"/>
          <w:sz w:val="24"/>
          <w:szCs w:val="24"/>
        </w:rPr>
        <w:t xml:space="preserve">the name </w:t>
      </w:r>
      <w:r>
        <w:rPr>
          <w:rFonts w:cs="Times New Roman" w:ascii="Baskerville Old Face" w:hAnsi="Baskerville Old Face"/>
          <w:sz w:val="24"/>
          <w:szCs w:val="24"/>
        </w:rPr>
        <w:t xml:space="preserve">just as to </w:t>
      </w:r>
      <w:r>
        <w:rPr>
          <w:rFonts w:cs="Times New Roman" w:ascii="Baskerville Old Face" w:hAnsi="Baskerville Old Face"/>
          <w:sz w:val="24"/>
          <w:szCs w:val="24"/>
        </w:rPr>
        <w:t>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w:t>
      </w:r>
      <w:r>
        <w:rPr>
          <w:rFonts w:cs="Times New Roman" w:ascii="Baskerville Old Face" w:hAnsi="Baskerville Old Face"/>
          <w:color w:val="FF0000"/>
          <w:sz w:val="24"/>
          <w:szCs w:val="24"/>
        </w:rPr>
        <w:t>[IL: insert ‘first’. There are two commentaries and this quote is from the first.]</w:t>
      </w:r>
      <w:r>
        <w:rPr>
          <w:rFonts w:cs="Times New Roman" w:ascii="Baskerville Old Face" w:hAnsi="Baskerville Old Face"/>
          <w:sz w:val="24"/>
          <w:szCs w:val="24"/>
        </w:rPr>
        <w:t xml:space="preserve">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is plain to Catholics.</w:t>
      </w:r>
      <w:r>
        <w:rPr>
          <w:rStyle w:val="FootnoteAnchor"/>
          <w:rFonts w:cs="Times New Roman" w:ascii="Baskerville Old Face" w:hAnsi="Baskerville Old Face"/>
        </w:rPr>
        <w:footnoteReference w:id="50"/>
      </w:r>
      <w:r>
        <w:rPr>
          <w:rFonts w:cs="Times New Roman" w:ascii="Baskerville Old Face" w:hAnsi="Baskerville Old Face"/>
        </w:rPr>
        <w:t xml:space="preserve"> </w:t>
      </w:r>
      <w:r>
        <w:rPr>
          <w:rFonts w:cs="Times New Roman" w:ascii="Baskerville Old Face" w:hAnsi="Baskerville Old Face"/>
          <w:color w:val="FF0000"/>
        </w:rPr>
        <w:t>[IL: Surely the meaning is that a dialectician responds to the assumptions of his interlocutor, in this case a Catholic.]</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color w:val="FF0000"/>
        </w:rPr>
        <w:t>[IL: Insert ‘Editio Prima’</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w:t>
      </w:r>
      <w:r>
        <w:rPr>
          <w:rFonts w:cs="Times New Roman" w:ascii="Baskerville Old Face" w:hAnsi="Baskerville Old Face"/>
          <w:color w:val="FF0000"/>
        </w:rPr>
        <w:t>[IL – Green-Pedersen says this of 12</w:t>
      </w:r>
      <w:r>
        <w:rPr>
          <w:rFonts w:cs="Times New Roman" w:ascii="Baskerville Old Face" w:hAnsi="Baskerville Old Face"/>
          <w:color w:val="FF0000"/>
          <w:vertAlign w:val="superscript"/>
        </w:rPr>
        <w:t>th</w:t>
      </w:r>
      <w:r>
        <w:rPr>
          <w:rFonts w:cs="Times New Roman" w:ascii="Baskerville Old Face" w:hAnsi="Baskerville Old Face"/>
          <w:color w:val="FF0000"/>
        </w:rPr>
        <w:t xml:space="preserve"> century commentaries on p. 124 – you need to reference Appendix B to support this claim] </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w:t>
      </w:r>
      <w:r>
        <w:rPr>
          <w:rFonts w:cs="Times New Roman" w:ascii="Baskerville Old Face" w:hAnsi="Baskerville Old Face"/>
        </w:rPr>
        <w:t>alt.</w:t>
      </w:r>
      <w:r>
        <w:rPr>
          <w:rFonts w:cs="Times New Roman" w:ascii="Baskerville Old Face" w:hAnsi="Baskerville Old Face"/>
        </w:rPr>
        <w:t>:</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Atque ideo quotiescunque aliqua res alia participat, ipsa </w:t>
      </w:r>
      <w:r>
        <w:rPr>
          <w:rFonts w:cs="Times New Roman" w:ascii="Baskerville Old Face" w:hAnsi="Baskerville Old Face"/>
        </w:rPr>
        <w:t xml:space="preserve">participatio </w:t>
      </w:r>
      <w:r>
        <w:rPr>
          <w:rFonts w:cs="Times New Roman" w:ascii="Baskerville Old Face" w:hAnsi="Baskerville Old Face"/>
        </w:rPr>
        <w:t>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 xml:space="preserve">V = Henry 1974, </w:t>
      </w:r>
      <w:r>
        <w:rPr>
          <w:rFonts w:cs="Times New Roman" w:ascii="Baskerville Old Face" w:hAnsi="Baskerville Old Face"/>
          <w:sz w:val="20"/>
          <w:szCs w:val="20"/>
        </w:rPr>
        <w:t>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 xml:space="preserve">Qui dicit: omnis homo potest intelligi homo sine grammatica; et nullus </w:t>
      </w:r>
      <w:r>
        <w:rPr>
          <w:rFonts w:cs="Times New Roman" w:ascii="Baskerville Old Face" w:hAnsi="Baskerville Old Face"/>
          <w:sz w:val="20"/>
          <w:szCs w:val="20"/>
        </w:rPr>
        <w:t xml:space="preserve">grammaticus </w:t>
      </w:r>
      <w:r>
        <w:rPr>
          <w:rFonts w:cs="Times New Roman" w:ascii="Baskerville Old Face" w:hAnsi="Baskerville Old Face"/>
          <w:sz w:val="20"/>
          <w:szCs w:val="20"/>
        </w:rPr>
        <w:t>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64, 82BC: </w:t>
      </w:r>
      <w:r>
        <w:rPr>
          <w:rFonts w:cs="Times New Roman" w:ascii="Baskerville Old Face" w:hAnsi="Baskerville Old Face"/>
          <w:color w:val="FF0000"/>
        </w:rPr>
        <w:t>[IL: You have amended the punctuation.]</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Application>LibreOffice/7.4.1.2$Linux_X86_64 LibreOffice_project/3c58a8f3a960df8bc8fd77b461821e42c061c5f0</Application>
  <AppVersion>15.0000</AppVersion>
  <Pages>33</Pages>
  <Words>9216</Words>
  <Characters>47550</Characters>
  <CharactersWithSpaces>56746</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2022-10-25T23:09:13Z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