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pPr>
      <w:r>
        <w:rPr>
          <w:rFonts w:cs="Times New Roman" w:ascii="Baskerville Old Face" w:hAnsi="Baskerville Old Face"/>
          <w:b/>
          <w:sz w:val="24"/>
          <w:szCs w:val="24"/>
        </w:rPr>
        <w:t xml:space="preserve">The Teaching of the </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spacing w:lineRule="auto" w:line="480"/>
        <w:jc w:val="both"/>
        <w:rPr/>
      </w:pPr>
      <w:r>
        <w:rPr>
          <w:rFonts w:ascii="Baskerville Old Face" w:hAnsi="Baskerville Old Face"/>
          <w:sz w:val="24"/>
          <w:szCs w:val="24"/>
        </w:rPr>
        <w:t>Jacob Archambault, Independent Scholar</w:t>
      </w:r>
    </w:p>
    <w:p>
      <w:pPr>
        <w:pStyle w:val="Normal"/>
        <w:spacing w:lineRule="auto" w:line="480"/>
        <w:ind w:left="900" w:hanging="0"/>
        <w:jc w:val="both"/>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may also be his. The other may be the fourth book of Boethius’ </w:t>
      </w:r>
      <w:r>
        <w:rPr>
          <w:rFonts w:cs="Times New Roman" w:ascii="Baskerville Old Face" w:hAnsi="Baskerville Old Face"/>
          <w:i/>
          <w:sz w:val="24"/>
          <w:szCs w:val="24"/>
        </w:rPr>
        <w:t>De Differentiis Topicis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8"/>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The ‘Dialectic in three books’ is likely either the first three books of the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xml:space="preserve"> or his</w:t>
      </w:r>
      <w:r>
        <w:rPr>
          <w:rFonts w:cs="Times New Roman" w:ascii="Baskerville Old Face" w:hAnsi="Baskerville Old Face"/>
          <w:i/>
          <w:iCs/>
          <w:sz w:val="24"/>
          <w:szCs w:val="24"/>
        </w:rPr>
        <w:t xml:space="preserve"> De syllogismo hypothetico</w:t>
      </w:r>
      <w:r>
        <w:rPr>
          <w:rFonts w:cs="Times New Roman" w:ascii="Baskerville Old Face" w:hAnsi="Baskerville Old Face"/>
          <w:i w:val="false"/>
          <w:iCs w:val="false"/>
          <w:sz w:val="24"/>
          <w:szCs w:val="24"/>
        </w:rPr>
        <w:t>.</w:t>
      </w:r>
      <w:r>
        <w:rPr>
          <w:rStyle w:val="FootnoteAnchor"/>
          <w:rFonts w:cs="Times New Roman" w:ascii="Baskerville Old Face" w:hAnsi="Baskerville Old Face"/>
          <w:i w:val="false"/>
          <w:iCs w:val="false"/>
          <w:sz w:val="24"/>
          <w:szCs w:val="24"/>
        </w:rPr>
        <w:footnoteReference w:id="9"/>
      </w:r>
      <w:r>
        <w:rPr>
          <w:rFonts w:cs="Times New Roman" w:ascii="Baskerville Old Face" w:hAnsi="Baskerville Old Face"/>
          <w:i/>
          <w:iCs/>
          <w:sz w:val="24"/>
          <w:szCs w:val="24"/>
        </w:rPr>
        <w:t xml:space="preserve"> </w:t>
      </w:r>
      <w:r>
        <w:rPr>
          <w:rFonts w:cs="Times New Roman" w:ascii="Baskerville Old Face" w:hAnsi="Baskerville Old Face"/>
          <w:sz w:val="24"/>
          <w:szCs w:val="24"/>
        </w:rPr>
        <w:t xml:space="preserve">The remaining works of the list are also by Boethius: his commentaries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If both the ms. described in Becker’s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that would provide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with its key phrase.</w:t>
      </w:r>
      <w:r>
        <w:rPr>
          <w:rStyle w:val="FootnoteAnchor"/>
          <w:rFonts w:cs="Times New Roman" w:ascii="Baskerville Old Face" w:hAnsi="Baskerville Old Face"/>
          <w:sz w:val="24"/>
          <w:szCs w:val="24"/>
        </w:rPr>
        <w:footnoteReference w:id="14"/>
      </w:r>
    </w:p>
    <w:p>
      <w:pPr>
        <w:pStyle w:val="Heading1"/>
        <w:spacing w:lineRule="auto" w:line="480"/>
        <w:jc w:val="both"/>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pPr>
      <w:r>
        <w:rPr>
          <w:rFonts w:cs="Times New Roman" w:ascii="Baskerville Old Face" w:hAnsi="Baskerville Old Face"/>
          <w:sz w:val="24"/>
          <w:szCs w:val="24"/>
        </w:rPr>
        <w:t>The first of these [questions] is of this sort: Whatever the mind understands it either receives by a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p>
    <w:p>
      <w:pPr>
        <w:pStyle w:val="Normal"/>
        <w:spacing w:lineRule="auto" w:line="480"/>
        <w:jc w:val="both"/>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480" w:before="0" w:after="0"/>
        <w:ind w:left="1440" w:hanging="0"/>
        <w:jc w:val="both"/>
        <w:rPr/>
      </w:pPr>
      <w:r>
        <w:rPr>
          <w:rFonts w:eastAsia="Times New Roman" w:cs="Times New Roman" w:ascii="Baskerville Old Face" w:hAnsi="Baskerville Old Fac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480" w:beforeAutospacing="1" w:afterAutospacing="1"/>
        <w:ind w:left="1440" w:hanging="0"/>
        <w:jc w:val="both"/>
        <w:rPr/>
      </w:pPr>
      <w:r>
        <w:rPr>
          <w:rFonts w:eastAsia="Times New Roman" w:cs="Times New Roman" w:ascii="Baskerville Old Face" w:hAnsi="Baskerville Old Fac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Normal"/>
        <w:bidi w:val="0"/>
        <w:spacing w:lineRule="auto" w:line="480"/>
        <w:jc w:val="both"/>
        <w:rPr/>
      </w:pPr>
      <w:r>
        <w:rPr>
          <w:rFonts w:cs="Times New Roman" w:ascii="Baskerville Old Face" w:hAnsi="Baskerville Old Face"/>
          <w:sz w:val="24"/>
          <w:szCs w:val="24"/>
        </w:rPr>
        <w:tab/>
        <w:t xml:space="preserve">Two objections arise at this point. First, </w:t>
      </w:r>
      <w:r>
        <w:rPr>
          <w:rFonts w:cs="Times New Roman" w:ascii="Baskerville Old Face" w:hAnsi="Baskerville Old Face"/>
          <w:i/>
          <w:iCs/>
          <w:sz w:val="24"/>
          <w:szCs w:val="24"/>
        </w:rPr>
        <w:t>intellectus</w:t>
      </w:r>
      <w:r>
        <w:rPr>
          <w:rFonts w:cs="Times New Roman" w:ascii="Baskerville Old Face" w:hAnsi="Baskerville Old Face"/>
          <w:i w:val="false"/>
          <w:iCs w:val="false"/>
          <w:sz w:val="24"/>
          <w:szCs w:val="24"/>
        </w:rPr>
        <w:t xml:space="preserve"> is often juxtaposed with </w:t>
      </w:r>
      <w:r>
        <w:rPr>
          <w:rFonts w:cs="Times New Roman" w:ascii="Baskerville Old Face" w:hAnsi="Baskerville Old Face"/>
          <w:i/>
          <w:iCs/>
          <w:sz w:val="24"/>
          <w:szCs w:val="24"/>
        </w:rPr>
        <w:t>significatio</w:t>
      </w:r>
      <w:r>
        <w:rPr>
          <w:rFonts w:cs="Times New Roman" w:ascii="Baskerville Old Face" w:hAnsi="Baskerville Old Face"/>
          <w:i w:val="false"/>
          <w:iCs w:val="false"/>
          <w:sz w:val="24"/>
          <w:szCs w:val="24"/>
        </w:rPr>
        <w:t xml:space="preserve">, which is itself commonly translated as meaning. But we would not expect this juxtaposition if the above interpretation of </w:t>
      </w:r>
      <w:r>
        <w:rPr>
          <w:rFonts w:cs="Times New Roman" w:ascii="Baskerville Old Face" w:hAnsi="Baskerville Old Face"/>
          <w:i/>
          <w:iCs/>
          <w:sz w:val="24"/>
          <w:szCs w:val="24"/>
        </w:rPr>
        <w:t xml:space="preserve">intellectus </w:t>
      </w:r>
      <w:r>
        <w:rPr>
          <w:rFonts w:cs="Times New Roman" w:ascii="Baskerville Old Face" w:hAnsi="Baskerville Old Face"/>
          <w:i w:val="false"/>
          <w:iCs w:val="false"/>
          <w:sz w:val="24"/>
          <w:szCs w:val="24"/>
        </w:rPr>
        <w:t xml:space="preserve">were correct. Take, for instance, the following passage from Boethius second commentary on Aristotle’s </w:t>
      </w:r>
      <w:r>
        <w:rPr>
          <w:rFonts w:cs="Times New Roman" w:ascii="Baskerville Old Face" w:hAnsi="Baskerville Old Face"/>
          <w:i/>
          <w:iCs/>
          <w:sz w:val="24"/>
          <w:szCs w:val="24"/>
        </w:rPr>
        <w:t>De Interpretatione</w:t>
      </w:r>
      <w:r>
        <w:rPr>
          <w:rFonts w:cs="Times New Roman" w:ascii="Baskerville Old Face" w:hAnsi="Baskerville Old Face"/>
          <w:i w:val="false"/>
          <w:iCs w:val="false"/>
          <w:sz w:val="24"/>
          <w:szCs w:val="24"/>
        </w:rPr>
        <w:t xml:space="preserve">: </w:t>
      </w:r>
    </w:p>
    <w:p>
      <w:pPr>
        <w:pStyle w:val="Normal"/>
        <w:widowControl/>
        <w:suppressAutoHyphens w:val="false"/>
        <w:bidi w:val="0"/>
        <w:spacing w:lineRule="auto" w:line="480" w:before="0" w:after="0"/>
        <w:ind w:left="900" w:right="0" w:hanging="0"/>
        <w:jc w:val="both"/>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color w:val="auto"/>
        </w:rPr>
      </w:pPr>
      <w:r>
        <w:rPr>
          <w:rFonts w:eastAsia="Times New Roman" w:cs="Times New Roman" w:ascii="Baskerville Old Face" w:hAnsi="Baskerville Old Face"/>
          <w:color w:val="auto"/>
          <w:sz w:val="24"/>
          <w:szCs w:val="24"/>
          <w:lang w:val="en-GB" w:eastAsia="en-GB"/>
        </w:rPr>
        <w:t>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 xml:space="preserve">As translated, the text concludes from the claims that 1) an affection of the </w:t>
      </w:r>
      <w:r>
        <w:rPr>
          <w:rFonts w:ascii="Baskerville Old Face" w:hAnsi="Baskerville Old Face"/>
          <w:i w:val="false"/>
          <w:iCs w:val="false"/>
          <w:sz w:val="24"/>
          <w:szCs w:val="24"/>
        </w:rPr>
        <w:t xml:space="preserve">soul is the specific character of a thing, and 2a) spoken sounds signify thoughts primarily and 2b) rely on the signification of things to 3) the claim </w:t>
      </w:r>
      <w:r>
        <w:rPr>
          <w:rFonts w:ascii="Baskerville Old Face" w:hAnsi="Baskerville Old Face"/>
          <w:sz w:val="24"/>
          <w:szCs w:val="24"/>
        </w:rPr>
        <w:t xml:space="preserve">that significant spoken sounds refer to affections of the soul. There are several difficulties with the text translated thus: the intent of the phrase ‘specific character’ is opaque; it’s unclear in what sense spoken sounds rely on the signification of things, and there isn’t a clear, formally valid path from claims 1 and either part of 2 to claim 3. </w:t>
      </w:r>
    </w:p>
    <w:p>
      <w:pPr>
        <w:pStyle w:val="Heading1"/>
        <w:spacing w:lineRule="auto" w:line="480"/>
        <w:jc w:val="both"/>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30"/>
      </w:r>
    </w:p>
    <w:p>
      <w:pPr>
        <w:pStyle w:val="Standard"/>
        <w:tabs>
          <w:tab w:val="clear" w:pos="720"/>
          <w:tab w:val="left" w:pos="360" w:leader="none"/>
        </w:tabs>
        <w:spacing w:lineRule="auto" w:line="480" w:before="0" w:after="160"/>
        <w:jc w:val="both"/>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Baskerville Old Face" w:hAnsi="Baskerville Old Face"/>
        </w:rPr>
        <w:t>τό</w:t>
      </w:r>
      <w:r>
        <w:rPr>
          <w:rFonts w:cs="Baskerville Old Face" w:ascii="Baskerville Old Face" w:hAnsi="Baskerville Old Face"/>
        </w:rPr>
        <w:t>π</w:t>
      </w:r>
      <w:r>
        <w:rPr>
          <w:rFonts w:cs="Cambria" w:ascii="Baskerville Old Face" w:hAnsi="Baskerville Old Face"/>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31"/>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2"/>
      </w:r>
    </w:p>
    <w:p>
      <w:pPr>
        <w:pStyle w:val="Standard"/>
        <w:spacing w:lineRule="auto" w:line="480" w:before="0" w:after="160"/>
        <w:jc w:val="both"/>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3"/>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4"/>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5"/>
      </w:r>
    </w:p>
    <w:p>
      <w:pPr>
        <w:pStyle w:val="Standard"/>
        <w:spacing w:lineRule="auto" w:line="480" w:before="0" w:after="160"/>
        <w:jc w:val="both"/>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6"/>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7"/>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jc w:val="both"/>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can be provided for doubtful things 5) as well as things not in doubt.</w:t>
      </w:r>
      <w:r>
        <w:rPr>
          <w:rStyle w:val="FootnoteAnchor"/>
          <w:rFonts w:cs="Times New Roman" w:ascii="Baskerville Old Face" w:hAnsi="Baskerville Old Face"/>
        </w:rPr>
        <w:footnoteReference w:id="38"/>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39"/>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40"/>
      </w:r>
    </w:p>
    <w:p>
      <w:pPr>
        <w:pStyle w:val="Standard"/>
        <w:spacing w:lineRule="auto" w:line="480" w:before="0" w:after="160"/>
        <w:jc w:val="both"/>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41"/>
      </w:r>
      <w:r>
        <w:rPr>
          <w:rFonts w:cs="Times New Roman" w:ascii="Baskerville Old Face" w:hAnsi="Baskerville Old Face"/>
          <w:i/>
        </w:rPr>
        <w:t xml:space="preserve"> </w:t>
      </w:r>
    </w:p>
    <w:p>
      <w:pPr>
        <w:pStyle w:val="Standard"/>
        <w:spacing w:lineRule="auto" w:line="480" w:before="0" w:after="160"/>
        <w:jc w:val="both"/>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pPr>
      <w:r>
        <w:rPr>
          <w:rFonts w:cs="Times New Roman" w:ascii="Baskerville Old Face" w:hAnsi="Baskerville Old Face"/>
        </w:rPr>
        <w:t xml:space="preserve">Conclusion: God exists in reality, etc. </w:t>
      </w:r>
    </w:p>
    <w:p>
      <w:pPr>
        <w:pStyle w:val="Standard"/>
        <w:spacing w:lineRule="auto" w:line="480" w:before="0" w:after="160"/>
        <w:jc w:val="both"/>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42"/>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3"/>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4"/>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5"/>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6"/>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pPr>
      <w:r>
        <w:rPr>
          <w:rFonts w:cs="Times New Roman" w:ascii="Baskerville Old Face" w:hAnsi="Baskerville Old Face"/>
        </w:rPr>
        <w:t>That than which nothing greater can be thought is F or G</w:t>
      </w:r>
    </w:p>
    <w:p>
      <w:pPr>
        <w:pStyle w:val="Standard"/>
        <w:spacing w:lineRule="auto" w:line="480" w:before="0" w:after="160"/>
        <w:jc w:val="both"/>
        <w:rPr/>
      </w:pPr>
      <w:r>
        <w:rPr>
          <w:rFonts w:cs="Times New Roman" w:ascii="Baskerville Old Face" w:hAnsi="Baskerville Old Face"/>
        </w:rPr>
        <w:t>Assume it’s F</w:t>
      </w:r>
    </w:p>
    <w:p>
      <w:pPr>
        <w:pStyle w:val="Standard"/>
        <w:spacing w:lineRule="auto" w:line="480" w:before="0" w:after="160"/>
        <w:jc w:val="both"/>
        <w:rPr/>
      </w:pP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u w:val="single"/>
        </w:rPr>
        <w:t>It’s not F</w:t>
      </w:r>
    </w:p>
    <w:p>
      <w:pPr>
        <w:pStyle w:val="Standard"/>
        <w:spacing w:lineRule="auto" w:line="480" w:before="0" w:after="160"/>
        <w:jc w:val="both"/>
        <w:rPr/>
      </w:pPr>
      <w:r>
        <w:rPr>
          <w:rFonts w:cs="Times New Roman" w:ascii="Baskerville Old Face" w:hAnsi="Baskerville Old Face"/>
        </w:rPr>
        <w:t>Therefore, it’s G.</w:t>
      </w:r>
      <w:r>
        <w:rPr>
          <w:rStyle w:val="FootnoteAnchor"/>
          <w:rFonts w:cs="Times New Roman" w:ascii="Baskerville Old Face" w:hAnsi="Baskerville Old Face"/>
        </w:rPr>
        <w:footnoteReference w:id="47"/>
      </w:r>
    </w:p>
    <w:p>
      <w:pPr>
        <w:pStyle w:val="Standard"/>
        <w:spacing w:lineRule="auto" w:line="480" w:before="0" w:after="160"/>
        <w:jc w:val="both"/>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8"/>
      </w:r>
    </w:p>
    <w:p>
      <w:pPr>
        <w:pStyle w:val="Standard"/>
        <w:spacing w:lineRule="auto" w:line="480" w:before="0" w:after="160"/>
        <w:jc w:val="both"/>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49"/>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50"/>
      </w:r>
    </w:p>
    <w:p>
      <w:pPr>
        <w:pStyle w:val="Standard"/>
        <w:spacing w:lineRule="auto" w:line="480" w:before="0" w:after="160"/>
        <w:jc w:val="both"/>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or reliable.</w:t>
      </w:r>
      <w:r>
        <w:rPr>
          <w:rStyle w:val="FootnoteAnchor"/>
          <w:rFonts w:cs="Times New Roman" w:ascii="Baskerville Old Face" w:hAnsi="Baskerville Old Face"/>
        </w:rPr>
        <w:footnoteReference w:id="51"/>
      </w:r>
      <w:r>
        <w:rPr>
          <w:rFonts w:cs="Times New Roman" w:ascii="Baskerville Old Face" w:hAnsi="Baskerville Old Face"/>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52"/>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53"/>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4"/>
      </w:r>
      <w:r>
        <w:rPr>
          <w:rFonts w:cs="Times New Roman" w:ascii="Baskerville Old Face" w:hAnsi="Baskerville Old Face"/>
        </w:rPr>
        <w:t xml:space="preserve"> </w:t>
      </w:r>
    </w:p>
    <w:p>
      <w:pPr>
        <w:pStyle w:val="Standard"/>
        <w:spacing w:lineRule="auto" w:line="480" w:before="0" w:after="160"/>
        <w:ind w:firstLine="720"/>
        <w:jc w:val="both"/>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5"/>
      </w:r>
      <w:r>
        <w:rPr>
          <w:rFonts w:cs="Times New Roman" w:ascii="Baskerville Old Face" w:hAnsi="Baskerville Old Face"/>
        </w:rPr>
        <w:t xml:space="preserve"> </w:t>
      </w:r>
    </w:p>
    <w:p>
      <w:pPr>
        <w:pStyle w:val="Standard"/>
        <w:spacing w:lineRule="auto" w:line="480" w:before="0" w:after="160"/>
        <w:ind w:left="900" w:hanging="0"/>
        <w:jc w:val="both"/>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6"/>
      </w:r>
      <w:r>
        <w:rPr>
          <w:rFonts w:cs="Times New Roman" w:ascii="Baskerville Old Face" w:hAnsi="Baskerville Old Face"/>
        </w:rPr>
        <w:t xml:space="preserve"> </w:t>
      </w:r>
    </w:p>
    <w:p>
      <w:pPr>
        <w:pStyle w:val="Standard"/>
        <w:spacing w:lineRule="auto" w:line="480" w:before="0" w:after="160"/>
        <w:jc w:val="both"/>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7"/>
      </w:r>
    </w:p>
    <w:p>
      <w:pPr>
        <w:pStyle w:val="Standard"/>
        <w:spacing w:lineRule="auto" w:line="480" w:before="0" w:after="160"/>
        <w:jc w:val="both"/>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8"/>
      </w:r>
    </w:p>
    <w:p>
      <w:pPr>
        <w:pStyle w:val="Standard"/>
        <w:spacing w:lineRule="auto" w:line="480" w:before="0" w:after="160"/>
        <w:jc w:val="both"/>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pPr>
      <w:r>
        <w:rPr>
          <w:rFonts w:cs="Times New Roman" w:ascii="Baskerville Old Face" w:hAnsi="Baskerville Old Face"/>
          <w:b/>
          <w:color w:val="auto"/>
          <w:sz w:val="24"/>
          <w:szCs w:val="24"/>
        </w:rPr>
        <w:t>6 Conclusion</w:t>
      </w:r>
    </w:p>
    <w:p>
      <w:pPr>
        <w:pStyle w:val="Standard"/>
        <w:spacing w:lineRule="auto" w:line="480" w:before="0" w:after="160"/>
        <w:jc w:val="both"/>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59"/>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b/>
        </w:rPr>
        <w:t>Bibliography and Abbreviations</w:t>
      </w:r>
    </w:p>
    <w:p>
      <w:pPr>
        <w:pStyle w:val="Standard"/>
        <w:spacing w:lineRule="auto" w:line="480" w:before="0" w:after="160"/>
        <w:ind w:left="720" w:hanging="720"/>
        <w:jc w:val="both"/>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pPr>
      <w:r>
        <w:rPr>
          <w:rFonts w:cs="Times New Roman" w:ascii="Baskerville Old Face" w:hAnsi="Baskerville Old Face"/>
          <w:strike w:val="false"/>
          <w:dstrike w:val="false"/>
        </w:rPr>
        <w:t xml:space="preserve">Beach, Alison I., and Isabelle Cochelin, eds. </w:t>
      </w:r>
      <w:r>
        <w:rPr>
          <w:rFonts w:cs="Times New Roman" w:ascii="Baskerville Old Face" w:hAnsi="Baskerville Old Face"/>
          <w:i/>
          <w:iCs/>
          <w:strike w:val="false"/>
          <w:dstrike w:val="false"/>
        </w:rPr>
        <w:t>The Cambridge History of Medieval Monasticism in the Latin West</w:t>
      </w:r>
      <w:r>
        <w:rPr>
          <w:rFonts w:cs="Times New Roman" w:ascii="Baskerville Old Face" w:hAnsi="Baskerville Old Face"/>
          <w:i w:val="false"/>
          <w:iCs w:val="false"/>
          <w:strike w:val="false"/>
          <w:dstrike w:val="false"/>
        </w:rPr>
        <w:t>. Cambridge: Cambridge University Press, 2020. doi:10.1017/9781107323742.</w:t>
      </w:r>
    </w:p>
    <w:p>
      <w:pPr>
        <w:pStyle w:val="Standard"/>
        <w:spacing w:lineRule="auto" w:line="480" w:before="0" w:after="160"/>
        <w:ind w:left="720" w:hanging="720"/>
        <w:jc w:val="both"/>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w:t>
      </w:r>
      <w:r>
        <w:rPr>
          <w:rFonts w:ascii="Baskerville Old Face" w:hAnsi="Baskerville Old Face"/>
          <w:i/>
          <w:iCs/>
          <w:u w:val="none"/>
        </w:rPr>
        <w:t>In Librum Aristotelis De Interpretatione Libri Sex. Editio Secunda, Seu Majora Commentaria</w:t>
      </w:r>
      <w:r>
        <w:rPr>
          <w:rFonts w:ascii="Baskerville Old Face" w:hAnsi="Baskerville Old Face"/>
          <w:i w:val="false"/>
          <w:iCs w:val="false"/>
          <w:u w:val="none"/>
        </w:rPr>
        <w:t>. In PL 64, 393-640. [</w:t>
      </w:r>
      <w:r>
        <w:rPr>
          <w:rFonts w:ascii="Baskerville Old Face" w:hAnsi="Baskerville Old Face"/>
          <w:i/>
          <w:iCs/>
          <w:u w:val="none"/>
        </w:rPr>
        <w:t>BDIG</w:t>
      </w:r>
      <w:r>
        <w:rPr>
          <w:rFonts w:ascii="Baskerville Old Face" w:hAnsi="Baskerville Old Face"/>
          <w:i w:val="false"/>
          <w:iCs w:val="false"/>
          <w:u w:val="non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val="false"/>
          <w:iCs w:val="false"/>
          <w:u w:val="none"/>
        </w:rPr>
        <w:t>Bonaventure.</w:t>
      </w:r>
      <w:r>
        <w:rPr>
          <w:rFonts w:cs="Times New Roman" w:ascii="Baskerville Old Face" w:hAnsi="Baskerville Old Face"/>
          <w:i/>
          <w:u w:val="none"/>
        </w:rPr>
        <w:t xml:space="preserv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bidi w:val="0"/>
        <w:spacing w:lineRule="auto" w:line="480" w:before="0" w:after="160"/>
        <w:ind w:left="720" w:hanging="720"/>
        <w:jc w:val="both"/>
        <w:rPr/>
      </w:pPr>
      <w:r>
        <w:rPr>
          <w:rFonts w:cs="Times New Roman" w:ascii="Baskerville Old Face" w:hAnsi="Baskerville Old Face"/>
        </w:rPr>
        <w:t xml:space="preserve">Colish, Marcia L.. </w:t>
      </w:r>
      <w:r>
        <w:rPr>
          <w:rFonts w:cs="Times New Roman" w:ascii="Baskerville Old Face" w:hAnsi="Baskerville Old Face"/>
          <w:i/>
          <w:iCs/>
        </w:rPr>
        <w:t>The Stoic Tradition from Antiquity to the Early Middle Ages: Stoicism in classical Latin literature</w:t>
      </w:r>
      <w:r>
        <w:rPr>
          <w:rFonts w:cs="Times New Roman" w:ascii="Baskerville Old Face" w:hAnsi="Baskerville Old Face"/>
        </w:rPr>
        <w:t xml:space="preserve">. Leiden: E.J. Brill, 1990. </w:t>
      </w:r>
    </w:p>
    <w:p>
      <w:pPr>
        <w:pStyle w:val="Standard"/>
        <w:spacing w:lineRule="auto" w:line="480" w:before="0" w:after="160"/>
        <w:ind w:left="720" w:hanging="720"/>
        <w:jc w:val="both"/>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pPr>
      <w:r>
        <w:rPr>
          <w:rFonts w:cs="Times New Roman" w:ascii="Baskerville Old Face" w:hAnsi="Baskerville Old Face"/>
        </w:rPr>
        <w:t xml:space="preserve">Hine, H. M. ‘The Manuscript Tradition of Seneca’s Natural Questions: Some Manuscripts Related to Z.’ </w:t>
      </w:r>
      <w:r>
        <w:rPr>
          <w:rFonts w:cs="Times New Roman" w:ascii="Baskerville Old Face" w:hAnsi="Baskerville Old Face"/>
          <w:i/>
          <w:iCs/>
        </w:rPr>
        <w:t xml:space="preserve">Promethius </w:t>
      </w:r>
      <w:r>
        <w:rPr>
          <w:rFonts w:cs="Times New Roman" w:ascii="Baskerville Old Face" w:hAnsi="Baskerville Old Face"/>
          <w:i w:val="false"/>
          <w:iCs w:val="false"/>
        </w:rPr>
        <w:t>5 (1979): 63-72.</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‘The Manuscript Tradition of Seneca’s Natural Questions: Addenda.’ </w:t>
      </w:r>
      <w:r>
        <w:rPr>
          <w:rFonts w:ascii="Baskerville Old Face" w:hAnsi="Baskerville Old Face"/>
          <w:i/>
          <w:iCs/>
          <w:u w:val="none"/>
        </w:rPr>
        <w:t xml:space="preserve">The Classical Quarterly </w:t>
      </w:r>
      <w:r>
        <w:rPr>
          <w:rFonts w:ascii="Baskerville Old Face" w:hAnsi="Baskerville Old Face"/>
          <w:i w:val="false"/>
          <w:iCs w:val="false"/>
          <w:u w:val="none"/>
        </w:rPr>
        <w:t>42, no. 2 (1992): 558-62. doi:10.1017/S0009838800016232.</w:t>
      </w:r>
    </w:p>
    <w:p>
      <w:pPr>
        <w:pStyle w:val="Standard"/>
        <w:spacing w:lineRule="auto" w:line="480" w:before="0" w:after="160"/>
        <w:ind w:left="720" w:hanging="720"/>
        <w:jc w:val="both"/>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pPr>
      <w:r>
        <w:rPr>
          <w:rFonts w:cs="Times New Roman" w:ascii="Baskerville Old Face" w:hAnsi="Baskerville Old Face"/>
        </w:rPr>
        <w:t xml:space="preserve">Nelis, Suzanne J. ‘What Lanfranc Taught, What Anselm Learned.’ </w:t>
      </w:r>
      <w:r>
        <w:rPr>
          <w:rFonts w:cs="Times New Roman" w:ascii="Baskerville Old Face" w:hAnsi="Baskerville Old Face"/>
          <w:i/>
          <w:iCs/>
        </w:rPr>
        <w:t xml:space="preserve">Haskins Society Journal </w:t>
      </w:r>
      <w:r>
        <w:rPr>
          <w:rFonts w:cs="Times New Roman" w:ascii="Baskerville Old Face" w:hAnsi="Baskerville Old Face"/>
          <w:i w:val="false"/>
          <w:iCs w:val="false"/>
        </w:rPr>
        <w:t>2 (1990): 75-82.</w:t>
      </w:r>
    </w:p>
    <w:p>
      <w:pPr>
        <w:pStyle w:val="Standard"/>
        <w:spacing w:lineRule="auto" w:line="480" w:before="0" w:after="160"/>
        <w:ind w:left="720" w:hanging="720"/>
        <w:jc w:val="both"/>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bidi w:val="0"/>
        <w:spacing w:lineRule="auto" w:line="480" w:before="0" w:after="160"/>
        <w:ind w:left="720" w:hanging="720"/>
        <w:jc w:val="both"/>
        <w:rPr/>
      </w:pPr>
      <w:r>
        <w:rPr>
          <w:rFonts w:cs="Times New Roman" w:ascii="Baskerville Old Face" w:hAnsi="Baskerville Old Face"/>
          <w:i w:val="false"/>
          <w:iCs w:val="false"/>
          <w:u w:val="none"/>
        </w:rPr>
        <w:t xml:space="preserve">Smith, Andrew (trans.). </w:t>
      </w:r>
      <w:r>
        <w:rPr>
          <w:rFonts w:cs="Times New Roman" w:ascii="Baskerville Old Face" w:hAnsi="Baskerville Old Face"/>
          <w:i/>
          <w:iCs/>
          <w:u w:val="none"/>
        </w:rPr>
        <w:t xml:space="preserve">Boethius: </w:t>
      </w:r>
      <w:r>
        <w:rPr>
          <w:rFonts w:cs="Times New Roman" w:ascii="Baskerville Old Face" w:hAnsi="Baskerville Old Face"/>
          <w:i/>
          <w:iCs/>
        </w:rPr>
        <w:t>On Aristotle On Interpretation 1-3</w:t>
      </w:r>
      <w:r>
        <w:rPr>
          <w:rFonts w:cs="Times New Roman" w:ascii="Baskerville Old Face" w:hAnsi="Baskerville Old Face"/>
        </w:rPr>
        <w:t xml:space="preserve">. London: Bloomsbury Academic, 2010. </w:t>
      </w:r>
    </w:p>
    <w:p>
      <w:pPr>
        <w:pStyle w:val="Standard"/>
        <w:spacing w:lineRule="auto" w:line="480" w:before="0" w:after="160"/>
        <w:ind w:left="720" w:hanging="720"/>
        <w:jc w:val="both"/>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Old Face">
    <w:charset w:val="01"/>
    <w:family w:val="roman"/>
    <w:pitch w:val="default"/>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rPr>
        <w:t>De inventione</w:t>
      </w:r>
      <w:r>
        <w:rPr>
          <w:rFonts w:cs="Times New Roman" w:ascii="Baskerville Old Face" w:hAnsi="Baskerville Old Face"/>
          <w:i w:val="false"/>
          <w:iCs w:val="false"/>
        </w:rPr>
        <w:t xml:space="preserve">, which was in two books and also known as </w:t>
      </w:r>
      <w:r>
        <w:rPr>
          <w:rFonts w:cs="Times New Roman" w:ascii="Baskerville Old Face" w:hAnsi="Baskerville Old Face"/>
          <w:i/>
          <w:iCs/>
        </w:rPr>
        <w:t>Rhetorica libri</w:t>
      </w:r>
      <w:r>
        <w:rPr>
          <w:rFonts w:cs="Times New Roman" w:ascii="Baskerville Old Face" w:hAnsi="Baskerville Old Face"/>
          <w:i w:val="false"/>
          <w:iCs w:val="false"/>
        </w:rPr>
        <w:t>. I thank Ian Logan for this last point.</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The identification of the text with Boethius’ </w:t>
      </w:r>
      <w:r>
        <w:rPr>
          <w:rFonts w:cs="Times New Roman" w:ascii="Baskerville" w:hAnsi="Baskerville"/>
          <w:i/>
          <w:iCs/>
        </w:rPr>
        <w:t xml:space="preserve">De syllogismo hypothetico </w:t>
      </w:r>
      <w:r>
        <w:rPr>
          <w:rFonts w:cs="Times New Roman" w:ascii="Baskerville" w:hAnsi="Baskerville"/>
          <w:i w:val="false"/>
          <w:iCs w:val="false"/>
        </w:rPr>
        <w:t>is suggested by Nelis 1990, 78.</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val="false"/>
          <w:iCs w:val="false"/>
        </w:rPr>
        <w:t xml:space="preserve">Colish 1990 dates the rediscovery of the </w:t>
      </w:r>
      <w:r>
        <w:rPr>
          <w:rFonts w:cs="Times New Roman" w:ascii="Baskerville Old Face" w:hAnsi="Baskerville Old Face"/>
          <w:i/>
          <w:iCs/>
        </w:rPr>
        <w:t xml:space="preserve">Quaestiones Naturales </w:t>
      </w:r>
      <w:r>
        <w:rPr>
          <w:rFonts w:cs="Times New Roman" w:ascii="Baskerville Old Face" w:hAnsi="Baskerville Old Face"/>
          <w:i w:val="false"/>
          <w:iCs w:val="false"/>
        </w:rPr>
        <w:t>to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1979, 63), for instance, has since been revised to the second half of the 11</w:t>
      </w:r>
      <w:r>
        <w:rPr>
          <w:rFonts w:cs="Times New Roman" w:ascii="Baskerville Old Face" w:hAnsi="Baskerville Old Face"/>
          <w:i w:val="false"/>
          <w:iCs w:val="false"/>
          <w:vertAlign w:val="superscript"/>
        </w:rPr>
        <w:t xml:space="preserve">th </w:t>
      </w:r>
      <w:r>
        <w:rPr>
          <w:rFonts w:cs="Times New Roman" w:ascii="Baskerville Old Face" w:hAnsi="Baskerville Old Face"/>
          <w:i w:val="false"/>
          <w:iCs w:val="false"/>
        </w:rPr>
        <w:t>(</w:t>
      </w:r>
      <w:hyperlink r:id="rId1">
        <w:r>
          <w:rPr>
            <w:rStyle w:val="InternetLink"/>
            <w:rFonts w:cs="Times New Roman" w:ascii="Baskerville Old Face" w:hAnsi="Baskerville Old Face"/>
            <w:i w:val="false"/>
            <w:iCs w:val="false"/>
          </w:rPr>
          <w:t>https://primarysources.brillonline.com/browse/vossiani-latini/vlq-055-vita-liudgeri-cartularium-werthinense/manuscript;vossianivlq05501vlq055source</w:t>
        </w:r>
      </w:hyperlink>
      <w:r>
        <w:rPr>
          <w:rFonts w:cs="Times New Roman" w:ascii="Baskerville Old Face" w:hAnsi="Baskerville Old Face"/>
          <w:i w:val="false"/>
          <w:iCs w:val="false"/>
        </w:rPr>
        <w:t>), and Seneca’s work circulated in excerpts from at least the later 9</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1992). While the resemblance of Anselm’s phrase to that of Seneca makes the assumption of direct influence highly plausible, it’s also not strictly necessary for the argument pursued here.</w:t>
      </w:r>
    </w:p>
    <w:p>
      <w:pPr>
        <w:pStyle w:val="Footnote"/>
        <w:jc w:val="both"/>
        <w:rPr>
          <w:rFonts w:ascii="Baskerville Old Face" w:hAnsi="Baskerville Old Face" w:cs="Times New Roman"/>
        </w:rPr>
      </w:pPr>
      <w:r>
        <w:rPr>
          <w:rFonts w:cs="Times New Roman" w:ascii="Baskerville Old Face" w:hAnsi="Baskerville Old Face"/>
        </w:rPr>
        <w:t xml:space="preserve">The assumption of 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r>
        <w:rPr>
          <w:rFonts w:cs="Times New Roman" w:ascii="Baskerville Old Face" w:hAnsi="Baskerville Old Face"/>
          <w:i w:val="false"/>
          <w:iCs w:val="false"/>
        </w:rPr>
        <w:t xml:space="preserve"> </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The PL text has ‘participatione’, but ‘participatio’ is required as a nominative subject to preserve Boethius’ intended parallel in the accusative: ‘sicut rem, ita quoque nomen’; reading ‘nomen’ as the subject deprives the transitive ‘adipiscitur’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rFonts w:ascii="Baskerville Old Face" w:hAnsi="Baskerville Old Face"/>
        </w:rPr>
      </w:pPr>
      <w:r>
        <w:rPr>
          <w:rFonts w:ascii="Baskerville Old Face" w:hAnsi="Baskerville Old Face"/>
        </w:rPr>
        <w:t xml:space="preserve">Cf. </w:t>
      </w:r>
      <w:r>
        <w:rPr>
          <w:rFonts w:ascii="Baskerville Old Face" w:hAnsi="Baskerville Old Face"/>
          <w:i/>
          <w:iCs/>
        </w:rPr>
        <w:t xml:space="preserve">BTC </w:t>
      </w:r>
      <w:r>
        <w:rPr>
          <w:rFonts w:ascii="Baskerville Old Face" w:hAnsi="Baskerville Old Face"/>
          <w:i w:val="false"/>
          <w:iCs w:val="false"/>
        </w:rPr>
        <w:t xml:space="preserve">1053BC, where Boethius provides four different parsings of the difference between </w:t>
      </w:r>
      <w:r>
        <w:rPr>
          <w:rFonts w:ascii="Baskerville Old Face" w:hAnsi="Baskerville Old Face"/>
          <w:i/>
          <w:iCs/>
        </w:rPr>
        <w:t>argumentatio</w:t>
      </w:r>
      <w:r>
        <w:rPr>
          <w:rFonts w:ascii="Baskerville Old Face" w:hAnsi="Baskerville Old Face"/>
          <w:i w:val="false"/>
          <w:iCs w:val="false"/>
        </w:rPr>
        <w:t xml:space="preserve"> and </w:t>
      </w:r>
      <w:r>
        <w:rPr>
          <w:rFonts w:ascii="Baskerville Old Face" w:hAnsi="Baskerville Old Face"/>
          <w:i/>
          <w:iCs/>
        </w:rPr>
        <w:t>argumentum</w:t>
      </w:r>
      <w:r>
        <w:rPr>
          <w:rFonts w:ascii="Baskerville Old Face" w:hAnsi="Baskerville Old Face"/>
          <w:i w:val="false"/>
          <w:iCs w:val="false"/>
        </w:rPr>
        <w:t>, likely to accommodate different but related natural language uses, 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rPr>
        <w:t>sententia</w:t>
      </w:r>
      <w:r>
        <w:rPr>
          <w:rFonts w:cs="Times New Roman" w:ascii="Baskerville Old Face" w:hAnsi="Baskerville Old Face"/>
          <w:i w:val="false"/>
          <w:iCs w:val="false"/>
        </w:rPr>
        <w:t xml:space="preserve">, </w:t>
      </w:r>
      <w:r>
        <w:rPr>
          <w:rFonts w:cs="Times New Roman" w:ascii="Baskerville Old Face" w:hAnsi="Baskerville Old Face"/>
          <w:i/>
          <w:iCs/>
        </w:rPr>
        <w:t>sensus</w:t>
      </w:r>
      <w:r>
        <w:rPr>
          <w:rFonts w:cs="Times New Roman" w:ascii="Baskerville Old Face" w:hAnsi="Baskerville Old Face"/>
          <w:i w:val="false"/>
          <w:iCs w:val="false"/>
        </w:rPr>
        <w:t xml:space="preserve">, and </w:t>
      </w:r>
      <w:r>
        <w:rPr>
          <w:rFonts w:cs="Times New Roman" w:ascii="Baskerville Old Face" w:hAnsi="Baskerville Old Face"/>
          <w:i/>
          <w:iCs/>
        </w:rPr>
        <w:t xml:space="preserve">intellectus </w:t>
      </w:r>
      <w:r>
        <w:rPr>
          <w:rFonts w:cs="Times New Roman" w:ascii="Baskerville Old Face" w:hAnsi="Baskerville Old Face"/>
          <w:i w:val="false"/>
          <w:iCs w:val="false"/>
        </w:rPr>
        <w:t xml:space="preserve">in a passage from Anselm’s </w:t>
      </w:r>
      <w:r>
        <w:rPr>
          <w:rFonts w:cs="Times New Roman" w:ascii="Baskerville Old Face" w:hAnsi="Baskerville Old Face"/>
          <w:i/>
          <w:iCs/>
        </w:rPr>
        <w:t xml:space="preserve">De Grammatico </w:t>
      </w:r>
      <w:r>
        <w:rPr>
          <w:rFonts w:cs="Times New Roman" w:ascii="Baskerville Old Face" w:hAnsi="Baskerville Old Face"/>
          <w:i w:val="false"/>
          <w:iCs w:val="false"/>
        </w:rPr>
        <w:t>IV whose reasoning arguably requires the three terms be taken as synonyms</w:t>
      </w:r>
      <w:r>
        <w:rPr>
          <w:rFonts w:cs="Times New Roman" w:ascii="Baskerville Old Face" w:hAnsi="Baskerville Old Face"/>
        </w:rPr>
        <w:t>.</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BDIG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rPr/>
      </w:pPr>
      <w:r>
        <w:rPr>
          <w:rStyle w:val="FootnoteCharacters"/>
        </w:rPr>
        <w:footnoteRef/>
      </w:r>
      <w:r>
        <w:rPr/>
        <w:t xml:space="preserve"> </w:t>
      </w:r>
      <w:r>
        <w:rPr>
          <w:rFonts w:ascii="Baskerville Old Face" w:hAnsi="Baskerville Old Face"/>
          <w:i/>
          <w:iCs/>
        </w:rPr>
        <w:t>BDIG</w:t>
      </w:r>
      <w:r>
        <w:rPr>
          <w:rFonts w:ascii="Baskerville Old Face" w:hAnsi="Baskerville Old Face"/>
        </w:rPr>
        <w:t xml:space="preserve"> 409C-410A.</w:t>
      </w:r>
    </w:p>
  </w:footnote>
  <w:footnote w:id="29">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Smith 2010, 33.</w:t>
      </w:r>
    </w:p>
  </w:footnote>
  <w:footnote w:id="30">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1">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8">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 latter case follows directly from the need for the second </w:t>
      </w:r>
      <w:r>
        <w:rPr>
          <w:rFonts w:cs="Times New Roman" w:ascii="Baskerville Old Face" w:hAnsi="Baskerville Old Face"/>
          <w:i/>
          <w:iCs/>
        </w:rPr>
        <w:t>differentia</w:t>
      </w:r>
      <w:r>
        <w:rPr>
          <w:rFonts w:cs="Times New Roman" w:ascii="Baskerville Old Face" w:hAnsi="Baskerville Old Face"/>
          <w:i w:val="false"/>
          <w:iCs w:val="false"/>
        </w:rPr>
        <w:t xml:space="preserve"> on pain of redundancy. </w:t>
      </w:r>
    </w:p>
  </w:footnote>
  <w:footnote w:id="39">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40">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1">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4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5">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8">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4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0">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rPr>
        <w:t>probo</w:t>
      </w:r>
      <w:r>
        <w:rPr>
          <w:rFonts w:ascii="Baskerville Old Face" w:hAnsi="Baskerville Old Face"/>
          <w:i w:val="false"/>
          <w:iCs w:val="false"/>
        </w:rPr>
        <w:t>, to prove or test – hence the sense of something’s having been tested, and consequently trustworthy or reliable, albeit not necessarily infallibly so.</w:t>
      </w:r>
    </w:p>
  </w:footnote>
  <w:footnote w:id="5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5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5">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6">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8">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5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16576</TotalTime>
  <Application>LibreOffice/7.4.2.3$Linux_X86_64 LibreOffice_project/382eef1f22670f7f4118c8c2dd222ec7ad009daf</Application>
  <AppVersion>15.0000</AppVersion>
  <Pages>34</Pages>
  <Words>9633</Words>
  <Characters>50184</Characters>
  <CharactersWithSpaces>59795</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2022-11-12T11:44:50Z</dcterms:modified>
  <cp:revision>272</cp:revision>
  <dc:subject/>
  <dc:title/>
</cp:coreProperties>
</file>

<file path=docProps/custom.xml><?xml version="1.0" encoding="utf-8"?>
<Properties xmlns="http://schemas.openxmlformats.org/officeDocument/2006/custom-properties" xmlns:vt="http://schemas.openxmlformats.org/officeDocument/2006/docPropsVTypes"/>
</file>