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from the early twelfth century: </w:t>
      </w:r>
      <w:r>
        <w:rPr>
          <w:rFonts w:cs="Times New Roman" w:ascii="Baskerville Old Face" w:hAnsi="Baskerville Old Face"/>
          <w:color w:val="FF0000"/>
          <w:sz w:val="24"/>
          <w:szCs w:val="24"/>
        </w:rPr>
        <w:t>[IL: You need to justify the dating.]</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Both the wording and content suggest these works, given as follows, were bound in a single volume. [</w:t>
      </w:r>
      <w:r>
        <w:rPr>
          <w:rFonts w:cs="Times New Roman" w:ascii="Baskerville Old Face" w:hAnsi="Baskerville Old Face"/>
          <w:color w:val="FF0000"/>
          <w:sz w:val="24"/>
          <w:szCs w:val="24"/>
        </w:rPr>
        <w:t>IL: But that would not necessarily mean that they were bound in a single volume in Anselm’s time.]</w:t>
      </w:r>
      <w:r>
        <w:rPr>
          <w:rFonts w:cs="Times New Roman" w:ascii="Baskerville Old Face" w:hAnsi="Baskerville Old Face"/>
          <w:sz w:val="24"/>
          <w:szCs w:val="24"/>
        </w:rPr>
        <w:t xml:space="preserv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w:t>
      </w:r>
      <w:r>
        <w:rPr>
          <w:rFonts w:cs="Times New Roman" w:ascii="Baskerville Old Face" w:hAnsi="Baskerville Old Face"/>
          <w:color w:val="FF0000"/>
          <w:sz w:val="24"/>
          <w:szCs w:val="24"/>
        </w:rPr>
        <w:t>[IL: What makes you say that?]</w:t>
      </w:r>
      <w:r>
        <w:rPr>
          <w:rFonts w:cs="Times New Roman" w:ascii="Baskerville Old Face" w:hAnsi="Baskerville Old Face"/>
          <w:sz w:val="24"/>
          <w:szCs w:val="24"/>
        </w:rPr>
        <w:t xml:space="preserve"> The other may be the fourth book of Boethius’ </w:t>
      </w:r>
      <w:r>
        <w:rPr>
          <w:rFonts w:cs="Times New Roman" w:ascii="Baskerville Old Face" w:hAnsi="Baskerville Old Face"/>
          <w:i/>
          <w:sz w:val="24"/>
          <w:szCs w:val="24"/>
        </w:rPr>
        <w:t xml:space="preserve">De Differentiis Topicis </w:t>
      </w:r>
      <w:r>
        <w:rPr>
          <w:rFonts w:cs="Times New Roman" w:ascii="Baskerville Old Face" w:hAnsi="Baskerville Old Face"/>
          <w:iCs/>
          <w:sz w:val="24"/>
          <w:szCs w:val="24"/>
        </w:rPr>
        <w:t>[</w:t>
      </w:r>
      <w:r>
        <w:rPr>
          <w:rFonts w:cs="Times New Roman" w:ascii="Baskerville Old Face" w:hAnsi="Baskerville Old Face"/>
          <w:iCs/>
          <w:color w:val="FF0000"/>
          <w:sz w:val="24"/>
          <w:szCs w:val="24"/>
        </w:rPr>
        <w:t>IL: But the entry seems to indicate that both volumes consist of two books]</w:t>
      </w:r>
      <w:r>
        <w:rPr>
          <w:rFonts w:cs="Times New Roman" w:ascii="Baskerville Old Face" w:hAnsi="Baskerville Old Face"/>
          <w:sz w:val="24"/>
          <w:szCs w:val="24"/>
        </w:rPr>
        <w:t xml:space="preserve">, or the Pseudo-Ciceronian Herennian Rhetoric </w:t>
      </w:r>
      <w:r>
        <w:rPr>
          <w:rFonts w:cs="Times New Roman" w:ascii="Baskerville Old Face" w:hAnsi="Baskerville Old Face"/>
          <w:color w:val="FF0000"/>
          <w:sz w:val="24"/>
          <w:szCs w:val="24"/>
        </w:rPr>
        <w:t>[IL: that’s four books, not two]</w:t>
      </w:r>
      <w:r>
        <w:rPr>
          <w:rFonts w:cs="Times New Roman" w:ascii="Baskerville Old Face" w:hAnsi="Baskerville Old Face"/>
          <w:sz w:val="24"/>
          <w:szCs w:val="24"/>
        </w:rPr>
        <w:t>,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Cicero’s </w:t>
      </w:r>
      <w:r>
        <w:rPr>
          <w:rFonts w:cs="Times New Roman" w:ascii="Baskerville Old Face" w:hAnsi="Baskerville Old Face"/>
          <w:i/>
          <w:iCs/>
          <w:color w:val="FF0000"/>
          <w:sz w:val="24"/>
          <w:szCs w:val="24"/>
        </w:rPr>
        <w:t>De inventione</w:t>
      </w:r>
      <w:r>
        <w:rPr>
          <w:rFonts w:cs="Times New Roman" w:ascii="Baskerville Old Face" w:hAnsi="Baskerville Old Face"/>
          <w:color w:val="FF0000"/>
          <w:sz w:val="24"/>
          <w:szCs w:val="24"/>
        </w:rPr>
        <w:t xml:space="preserve"> was aka </w:t>
      </w:r>
      <w:r>
        <w:rPr>
          <w:rFonts w:cs="Times New Roman" w:ascii="Baskerville Old Face" w:hAnsi="Baskerville Old Face"/>
          <w:i/>
          <w:iCs/>
          <w:color w:val="FF0000"/>
          <w:sz w:val="24"/>
          <w:szCs w:val="24"/>
        </w:rPr>
        <w:t>Rhetorica libri</w:t>
      </w:r>
      <w:r>
        <w:rPr>
          <w:rFonts w:cs="Times New Roman" w:ascii="Baskerville Old Face" w:hAnsi="Baskerville Old Face"/>
          <w:color w:val="FF0000"/>
          <w:sz w:val="24"/>
          <w:szCs w:val="24"/>
        </w:rPr>
        <w:t xml:space="preserve"> and is in two books.]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While it cannot be established definitively, there are reasons to think this codex was already at Bec during Anselm’s time, and perhaps slightly earlier. </w:t>
      </w:r>
      <w:r>
        <w:rPr>
          <w:rFonts w:cs="Times New Roman" w:ascii="Baskerville Old Face" w:hAnsi="Baskerville Old Face"/>
          <w:color w:val="FF0000"/>
          <w:sz w:val="24"/>
          <w:szCs w:val="24"/>
        </w:rPr>
        <w:t xml:space="preserve">[IL: It is likely that some of the texts were present in Bec in the eleventh century, and possible that this particular ms was.]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Whenever one thing partakes of another, this participation is given in the name as well as in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w:t>
      </w:r>
      <w:r>
        <w:rPr>
          <w:rFonts w:cs="Times New Roman" w:ascii="Baskerville Old Face" w:hAnsi="Baskerville Old Face"/>
          <w:color w:val="FF0000"/>
          <w:sz w:val="24"/>
          <w:szCs w:val="24"/>
        </w:rPr>
        <w:t>[IL: insert ‘first’. There are two commentaries and this quote is from the first.]</w:t>
      </w:r>
      <w:r>
        <w:rPr>
          <w:rFonts w:cs="Times New Roman" w:ascii="Baskerville Old Face" w:hAnsi="Baskerville Old Face"/>
          <w:sz w:val="24"/>
          <w:szCs w:val="24"/>
        </w:rPr>
        <w:t xml:space="preserve">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is plain to Catholics.</w:t>
      </w:r>
      <w:r>
        <w:rPr>
          <w:rStyle w:val="FootnoteAnchor"/>
          <w:rFonts w:cs="Times New Roman" w:ascii="Baskerville Old Face" w:hAnsi="Baskerville Old Face"/>
        </w:rPr>
        <w:footnoteReference w:id="50"/>
      </w:r>
      <w:r>
        <w:rPr>
          <w:rFonts w:cs="Times New Roman" w:ascii="Baskerville Old Face" w:hAnsi="Baskerville Old Face"/>
        </w:rPr>
        <w:t xml:space="preserve"> </w:t>
      </w:r>
      <w:r>
        <w:rPr>
          <w:rFonts w:cs="Times New Roman" w:ascii="Baskerville Old Face" w:hAnsi="Baskerville Old Face"/>
          <w:color w:val="FF0000"/>
        </w:rPr>
        <w:t>[IL: Surely the meaning is that a dialectician responds to the assumptions of his interlocutor, in this case a Catholic.]</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rPr>
        <w:t>Bekker</w:t>
      </w:r>
      <w:r>
        <w:rPr>
          <w:rFonts w:cs="Times New Roman" w:ascii="Baskerville Old Face" w:hAnsi="Baskerville Old Face"/>
        </w:rPr>
        <w:t xml:space="preserve"> </w:t>
      </w:r>
      <w:r>
        <w:rPr>
          <w:rFonts w:cs="Times New Roman" w:ascii="Baskerville Old Face" w:hAnsi="Baskerville Old Face"/>
          <w:color w:val="FF0000"/>
        </w:rPr>
        <w:t>[IL: Amend to 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color w:val="FF0000"/>
        </w:rPr>
        <w:t>[IL: Insert ‘Editio Prima’</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Sweeney 2012, </w:t>
      </w:r>
      <w:r>
        <w:rPr>
          <w:rFonts w:cs="Times New Roman" w:ascii="Baskerville Old Face" w:hAnsi="Baskerville Old Face"/>
        </w:rPr>
        <w:t>4-5</w:t>
      </w:r>
      <w:r>
        <w:rPr>
          <w:rFonts w:cs="Times New Roman" w:ascii="Baskerville Old Face" w:hAnsi="Baskerville Old Face"/>
        </w:rPr>
        <w:t xml:space="preserve">. </w:t>
      </w:r>
      <w:r>
        <w:rPr>
          <w:rFonts w:cs="Times New Roman" w:ascii="Baskerville Old Face" w:hAnsi="Baskerville Old Face"/>
        </w:rPr>
        <w:t xml:space="preserve">At ibid., 5-6, </w:t>
      </w:r>
      <w:r>
        <w:rPr>
          <w:rFonts w:cs="Times New Roman" w:ascii="Baskerville Old Face" w:hAnsi="Baskerville Old Face"/>
        </w:rPr>
        <w:t>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strike/>
        </w:rPr>
        <w:t>Bekker</w:t>
      </w:r>
      <w:r>
        <w:rPr>
          <w:rFonts w:cs="Times New Roman" w:ascii="Baskerville Old Face" w:hAnsi="Baskerville Old Face"/>
        </w:rPr>
        <w:t xml:space="preserve"> </w:t>
      </w:r>
      <w:r>
        <w:rPr>
          <w:rFonts w:cs="Times New Roman" w:ascii="Baskerville Old Face" w:hAnsi="Baskerville Old Face"/>
          <w:color w:val="FF0000"/>
        </w:rPr>
        <w:t xml:space="preserve">[IL: Amend to Becker]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281-88. [</w:t>
      </w:r>
      <w:r>
        <w:rPr>
          <w:rFonts w:cs="Times New Roman" w:ascii="Baskerville Old Face" w:hAnsi="Baskerville Old Face"/>
          <w:color w:val="FF0000"/>
        </w:rPr>
        <w:t xml:space="preserve">IL: That should be 279-288.]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124 </w:t>
      </w:r>
      <w:r>
        <w:rPr>
          <w:rFonts w:cs="Times New Roman" w:ascii="Baskerville Old Face" w:hAnsi="Baskerville Old Face"/>
          <w:color w:val="FF0000"/>
        </w:rPr>
        <w:t>[IL – Green-Pedersen says this of 12</w:t>
      </w:r>
      <w:r>
        <w:rPr>
          <w:rFonts w:cs="Times New Roman" w:ascii="Baskerville Old Face" w:hAnsi="Baskerville Old Face"/>
          <w:color w:val="FF0000"/>
          <w:vertAlign w:val="superscript"/>
        </w:rPr>
        <w:t>th</w:t>
      </w:r>
      <w:r>
        <w:rPr>
          <w:rFonts w:cs="Times New Roman" w:ascii="Baskerville Old Face" w:hAnsi="Baskerville Old Face"/>
          <w:color w:val="FF0000"/>
        </w:rPr>
        <w:t xml:space="preserve"> century commentaries on p. 124 – you need to reference Appendix B to support this claim] </w:t>
      </w:r>
      <w:r>
        <w:rPr>
          <w:rFonts w:cs="Times New Roman" w:ascii="Baskerville Old Face" w:hAnsi="Baskerville Old Face"/>
        </w:rPr>
        <w:t xml:space="preserve">).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Southern 1963, 14. [</w:t>
      </w:r>
      <w:r>
        <w:rPr>
          <w:rFonts w:cs="Times New Roman" w:ascii="Baskerville Old Face" w:hAnsi="Baskerville Old Face"/>
          <w:color w:val="FF0000"/>
        </w:rPr>
        <w:t>IL: The quotation is from anti-pope Clement III, see Southern, ‘Lanfranc of Bec and Berengar of Tours’, p. 30.]</w:t>
      </w:r>
      <w:r>
        <w:rPr>
          <w:rFonts w:cs="Times New Roman" w:ascii="Baskerville Old Face" w:hAnsi="Baskerville Old Face"/>
        </w:rPr>
        <w:t xml:space="preserve">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73-74. </w:t>
      </w:r>
      <w:r>
        <w:rPr>
          <w:rFonts w:cs="Times New Roman" w:ascii="Baskerville Old Face" w:hAnsi="Baskerville Old Face"/>
          <w:color w:val="FF0000"/>
        </w:rPr>
        <w:t xml:space="preserve">[IL: Amend to 74-75. Note that Abelson repeats the medieval misattribution to Boethius of the authorship of Victorinus’s </w:t>
      </w:r>
      <w:r>
        <w:rPr>
          <w:rFonts w:cs="Times New Roman" w:ascii="Baskerville Old Face" w:hAnsi="Baskerville Old Face"/>
          <w:i/>
          <w:iCs/>
          <w:color w:val="FF0000"/>
        </w:rPr>
        <w:t>De definitione</w:t>
      </w:r>
      <w:r>
        <w:rPr>
          <w:rFonts w:cs="Times New Roman" w:ascii="Baskerville Old Face" w:hAnsi="Baskerville Old Face"/>
          <w:color w:val="FF0000"/>
        </w:rPr>
        <w:t>.]</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 xml:space="preserve">XVI </w:t>
      </w:r>
      <w:r>
        <w:rPr>
          <w:rFonts w:cs="Times New Roman" w:ascii="Baskerville Old Face" w:hAnsi="Baskerville Old Face"/>
          <w:color w:val="FF0000"/>
        </w:rPr>
        <w:t>[IL: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Atque ideo quotiescunque aliqua res alia participat, ipsa </w:t>
      </w:r>
      <w:r>
        <w:rPr>
          <w:rFonts w:cs="Times New Roman" w:ascii="Baskerville Old Face" w:hAnsi="Baskerville Old Face"/>
          <w:strike/>
        </w:rPr>
        <w:t>participatio</w:t>
      </w:r>
      <w:r>
        <w:rPr>
          <w:rFonts w:cs="Times New Roman" w:ascii="Baskerville Old Face" w:hAnsi="Baskerville Old Face"/>
        </w:rPr>
        <w:t xml:space="preserve"> </w:t>
      </w:r>
      <w:r>
        <w:rPr>
          <w:rFonts w:cs="Times New Roman" w:ascii="Baskerville Old Face" w:hAnsi="Baskerville Old Face"/>
          <w:color w:val="FF0000"/>
        </w:rPr>
        <w:t xml:space="preserve">[IL: Amend to </w:t>
      </w:r>
      <w:r>
        <w:rPr>
          <w:rFonts w:ascii="Baskerville" w:hAnsi="Baskerville"/>
          <w:color w:val="FF0000"/>
        </w:rPr>
        <w:t>participatione and add comma after rem]</w:t>
      </w:r>
      <w:r>
        <w:rPr>
          <w:rFonts w:cs="Times New Roman" w:ascii="Baskerville Old Face" w:hAnsi="Baskerville Old Face"/>
        </w:rPr>
        <w:t xml:space="preserve">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 xml:space="preserve">V = Henry 1974, </w:t>
      </w:r>
      <w:r>
        <w:rPr>
          <w:rFonts w:cs="Times New Roman" w:ascii="Baskerville Old Face" w:hAnsi="Baskerville Old Face"/>
          <w:strike/>
          <w:sz w:val="20"/>
          <w:szCs w:val="20"/>
        </w:rPr>
        <w:t xml:space="preserve">52 </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 xml:space="preserve">[IL: Amend to 53]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 xml:space="preserve">Qui dicit: omnis homo potest intelligi homo sine grammatica; et nullus </w:t>
      </w:r>
      <w:r>
        <w:rPr>
          <w:rFonts w:cs="Times New Roman" w:ascii="Baskerville Old Face" w:hAnsi="Baskerville Old Face"/>
          <w:strike/>
          <w:sz w:val="20"/>
          <w:szCs w:val="20"/>
        </w:rPr>
        <w:t>Grammaticus</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[IL: Amend to grammaticus]</w:t>
      </w:r>
      <w:r>
        <w:rPr>
          <w:rFonts w:cs="Times New Roman" w:ascii="Baskerville Old Face" w:hAnsi="Baskerville Old Face"/>
          <w:sz w:val="20"/>
          <w:szCs w:val="20"/>
        </w:rPr>
        <w:t xml:space="preserve">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64, 82BC: </w:t>
      </w:r>
      <w:r>
        <w:rPr>
          <w:rFonts w:cs="Times New Roman" w:ascii="Baskerville Old Face" w:hAnsi="Baskerville Old Face"/>
          <w:color w:val="FF0000"/>
        </w:rPr>
        <w:t>[IL: You have amended the punctuation.]</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name w:val="Footnote Characters"/>
    <w:basedOn w:val="DefaultParagraphFont"/>
    <w:uiPriority w:val="99"/>
    <w:semiHidden/>
    <w:unhideWhenUsed/>
    <w:qFormat/>
    <w:rsid w:val="001f3188"/>
    <w:rPr>
      <w:vertAlign w:val="superscript"/>
    </w:rPr>
  </w:style>
  <w:style w:type="character" w:styleId="FootnoteAnchor" w:customStyle="1">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basedOn w:val="DefaultParagraphFont"/>
    <w:uiPriority w:val="99"/>
    <w:semiHidden/>
    <w:unhideWhenUsed/>
    <w:qFormat/>
    <w:rsid w:val="00d2475c"/>
    <w:rPr>
      <w:vertAlign w:val="superscript"/>
    </w:rPr>
  </w:style>
  <w:style w:type="character" w:styleId="EndnoteAnchor" w:customStyle="1">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US"/>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Application>LibreOffice/7.4.1.2$Linux_X86_64 LibreOffice_project/3c58a8f3a960df8bc8fd77b461821e42c061c5f0</Application>
  <AppVersion>15.0000</AppVersion>
  <Pages>33</Pages>
  <Words>9232</Words>
  <Characters>47566</Characters>
  <CharactersWithSpaces>56780</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2022-10-24T23:15:33Z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