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 Independent Scholar</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turn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 to show how these considerations illuminate Anselm’s method in these works.</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 medieval theories of.</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but we should hesitate to think this was the picture 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Characters"/>
          <w:rFonts w:cs="Times New Roman" w:ascii="Baskerville Old Face" w:hAnsi="Baskerville Old Face"/>
          <w:sz w:val="24"/>
          <w:szCs w:val="24"/>
          <w:lang w:val="en-GB"/>
        </w:rPr>
        <w:t xml:space="preserve"> </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The ‘Dialectic in three books’ is likely either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xml:space="preserve"> or his</w:t>
      </w:r>
      <w:r>
        <w:rPr>
          <w:rFonts w:cs="Times New Roman" w:ascii="Baskerville Old Face" w:hAnsi="Baskerville Old Face"/>
          <w:i/>
          <w:iCs/>
          <w:sz w:val="24"/>
          <w:szCs w:val="24"/>
          <w:lang w:val="en-GB"/>
        </w:rPr>
        <w:t xml:space="preserve"> De syllogismo hypothetico</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 xml:space="preserve">Two objections arise at this point: first, that the above merely amounts to replacing the word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initial rendering (</w:t>
      </w:r>
      <w:r>
        <w:rPr>
          <w:rFonts w:ascii="Baskerville Old Face" w:hAnsi="Baskerville Old Face"/>
          <w:i/>
          <w:iCs/>
          <w:sz w:val="24"/>
          <w:szCs w:val="24"/>
          <w:lang w:val="en-GB"/>
        </w:rPr>
        <w:t>designativae voces intellectuum</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Here, the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Translated thus, signification and thought each bear a relation to things, but their relation to each other is unclear, and one would be forgiven for taking both as mediating instruments by which spoken terms refer to things. But Boethius generally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not to what is immediately meant by an utterance, but to a property of words by which they both mean and refer: for the first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Rather, Boethius here answers how utterances principally designating impressions of the soul, which are identical with features of a thing, may in turn be used to refer not to that feature but to the substance bearing it, the things ‘by which meanings advance’. The case Boethius addresses here in general is that which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Consequently, translating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as ‘thought’ here, as Smith does, or even ‘concept’, is misleading at best: while not impossible to invest either term with the desired sense, doing so requires repudiating the opposed senses indicated above deeply embedded in the </w:t>
      </w:r>
      <w:r>
        <w:rPr>
          <w:rFonts w:ascii="Baskerville Old Face" w:hAnsi="Baskerville Old Face"/>
          <w:i/>
          <w:iCs/>
          <w:sz w:val="24"/>
          <w:szCs w:val="24"/>
          <w:lang w:val="en-GB"/>
        </w:rPr>
        <w:t>prima facie</w:t>
      </w:r>
      <w:r>
        <w:rPr>
          <w:rFonts w:ascii="Baskerville Old Face" w:hAnsi="Baskerville Old Face"/>
          <w:i w:val="false"/>
          <w:iCs w:val="false"/>
          <w:sz w:val="24"/>
          <w:szCs w:val="24"/>
          <w:lang w:val="en-GB"/>
        </w:rPr>
        <w:t xml:space="preserve"> understanding of these terms today. </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both"/>
        <w:rPr>
          <w:lang w:val="en-GB"/>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The identification of the text with Boethius’ </w:t>
      </w:r>
      <w:r>
        <w:rPr>
          <w:rFonts w:cs="Times New Roman" w:ascii="Baskerville" w:hAnsi="Baskerville"/>
          <w:i/>
          <w:iCs/>
          <w:lang w:val="en-GB"/>
        </w:rPr>
        <w:t xml:space="preserve">De syllogismo hypothetico </w:t>
      </w:r>
      <w:r>
        <w:rPr>
          <w:rFonts w:cs="Times New Roman" w:ascii="Baskerville" w:hAnsi="Baskerville"/>
          <w:i w:val="false"/>
          <w:iCs w:val="false"/>
          <w:lang w:val="en-GB"/>
        </w:rPr>
        <w:t>is suggested by Nelis 1990, 78.</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Smith 2010, 33. Enumeration </w:t>
      </w:r>
      <w:r>
        <w:rPr>
          <w:rFonts w:ascii="Baskerville Old Face" w:hAnsi="Baskerville Old Face"/>
          <w:lang w:val="en-GB"/>
        </w:rPr>
        <w:t>mine</w:t>
      </w:r>
      <w:r>
        <w:rPr>
          <w:rFonts w:ascii="Baskerville Old Face" w:hAnsi="Baskerville Old Face"/>
          <w:lang w:val="en-GB"/>
        </w:rPr>
        <w:t>.</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lang w:val="en-GB"/>
        </w:rPr>
        <w:t>probabilis</w:t>
      </w:r>
      <w:r>
        <w:rPr>
          <w:rFonts w:cs="Times New Roman" w:ascii="Baskerville Old Face" w:hAnsi="Baskerville Old Face"/>
          <w:lang w:val="en-GB"/>
        </w:rPr>
        <w:t xml:space="preserve"> in Boethius’ theory of the topics, 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1180C-1182C.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directly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to prove or test – hence the sense of something’s having been tested, and consequently trustworthy or reliable, albeit not necessarily infallibly so.</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27287</TotalTime>
  <Application>LibreOffice/7.4.2.3$Linux_X86_64 LibreOffice_project/382eef1f22670f7f4118c8c2dd222ec7ad009daf</Application>
  <AppVersion>15.0000</AppVersion>
  <Pages>35</Pages>
  <Words>9810</Words>
  <Characters>51122</Characters>
  <CharactersWithSpaces>60909</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2022-11-21T14:03:55Z</dcterms:modified>
  <cp:revision>600</cp:revision>
  <dc:subject/>
  <dc:title/>
</cp:coreProperties>
</file>

<file path=docProps/custom.xml><?xml version="1.0" encoding="utf-8"?>
<Properties xmlns="http://schemas.openxmlformats.org/officeDocument/2006/custom-properties" xmlns:vt="http://schemas.openxmlformats.org/officeDocument/2006/docPropsVTypes"/>
</file>