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Jacob Archambault, Fordham University</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w:t>
      </w:r>
      <w:r>
        <w:rPr>
          <w:rFonts w:cs="Times New Roman" w:ascii="Baskerville Old Face" w:hAnsi="Baskerville Old Face"/>
          <w:sz w:val="24"/>
          <w:szCs w:val="24"/>
        </w:rPr>
        <w:t xml:space="preserve">may </w:t>
      </w:r>
      <w:r>
        <w:rPr>
          <w:rFonts w:cs="Times New Roman" w:ascii="Baskerville Old Face" w:hAnsi="Baskerville Old Face"/>
          <w:sz w:val="24"/>
          <w:szCs w:val="24"/>
        </w:rPr>
        <w:t xml:space="preserve">also </w:t>
      </w:r>
      <w:r>
        <w:rPr>
          <w:rFonts w:cs="Times New Roman" w:ascii="Baskerville Old Face" w:hAnsi="Baskerville Old Face"/>
          <w:sz w:val="24"/>
          <w:szCs w:val="24"/>
        </w:rPr>
        <w:t xml:space="preserve">be </w:t>
      </w:r>
      <w:r>
        <w:rPr>
          <w:rFonts w:cs="Times New Roman" w:ascii="Baskerville Old Face" w:hAnsi="Baskerville Old Face"/>
          <w:sz w:val="24"/>
          <w:szCs w:val="24"/>
        </w:rPr>
        <w:t xml:space="preserve">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w:hAnsi="Baskerville"/>
          <w:sz w:val="24"/>
          <w:szCs w:val="24"/>
        </w:rPr>
        <w:t xml:space="preserve">The ‘Dialectic in three books’ is likely the first three books of the </w:t>
      </w:r>
      <w:r>
        <w:rPr>
          <w:rFonts w:cs="Times New Roman" w:ascii="Baskerville" w:hAnsi="Baskerville"/>
          <w:i/>
          <w:sz w:val="24"/>
          <w:szCs w:val="24"/>
        </w:rPr>
        <w:t>De Differentiis Topicis.</w:t>
      </w:r>
      <w:r>
        <w:rPr>
          <w:rStyle w:val="FootnoteAnchor"/>
          <w:rFonts w:cs="Times New Roman" w:ascii="Baskerville" w:hAnsi="Baskerville"/>
          <w:sz w:val="24"/>
          <w:szCs w:val="24"/>
        </w:rPr>
        <w:footnoteReference w:id="9"/>
      </w:r>
      <w:r>
        <w:rPr>
          <w:rFonts w:cs="Times New Roman" w:ascii="Baskerville" w:hAnsi="Baskerville"/>
          <w:i/>
          <w:sz w:val="24"/>
          <w:szCs w:val="24"/>
        </w:rPr>
        <w:t xml:space="preserve"> </w:t>
      </w:r>
      <w:r>
        <w:rPr>
          <w:rFonts w:cs="Times New Roman" w:ascii="Baskerville" w:hAnsi="Baskerville"/>
          <w:color w:val="FF0000"/>
          <w:sz w:val="24"/>
          <w:szCs w:val="24"/>
        </w:rPr>
        <w:t xml:space="preserve">[IL: Nelis suggests that this entry references </w:t>
      </w:r>
      <w:r>
        <w:rPr>
          <w:rFonts w:cs="Times New Roman" w:ascii="Baskerville" w:hAnsi="Baskerville"/>
          <w:i/>
          <w:iCs/>
          <w:color w:val="FF0000"/>
          <w:sz w:val="24"/>
          <w:szCs w:val="24"/>
        </w:rPr>
        <w:t>De syllogismo hypothetico</w:t>
      </w:r>
      <w:r>
        <w:rPr>
          <w:rFonts w:cs="Times New Roman" w:ascii="Baskerville" w:hAnsi="Baskerville"/>
          <w:color w:val="FF0000"/>
          <w:sz w:val="24"/>
          <w:szCs w:val="24"/>
        </w:rPr>
        <w:t xml:space="preserve">, which consists of three books - </w:t>
      </w:r>
      <w:r>
        <w:rPr>
          <w:rFonts w:ascii="Baskerville" w:hAnsi="Baskerville"/>
          <w:color w:val="FF0000"/>
          <w:sz w:val="24"/>
          <w:szCs w:val="24"/>
        </w:rPr>
        <w:t xml:space="preserve">S. Nelis, ‘What Lanfranc Taught, What Anselm Learned’ in </w:t>
      </w:r>
      <w:r>
        <w:rPr>
          <w:rFonts w:ascii="Baskerville" w:hAnsi="Baskerville"/>
          <w:i/>
          <w:color w:val="FF0000"/>
          <w:sz w:val="24"/>
          <w:szCs w:val="24"/>
        </w:rPr>
        <w:t>The Haskins Society Journal</w:t>
      </w:r>
      <w:r>
        <w:rPr>
          <w:rFonts w:ascii="Baskerville" w:hAnsi="Baskerville"/>
          <w:color w:val="FF0000"/>
          <w:sz w:val="24"/>
          <w:szCs w:val="24"/>
        </w:rPr>
        <w:t>, 2 (1990) 75-82, 78.</w:t>
      </w:r>
      <w:r>
        <w:rPr>
          <w:rFonts w:cs="Times New Roman" w:ascii="Baskerville" w:hAnsi="Baskerville"/>
          <w:color w:val="FF0000"/>
          <w:sz w:val="24"/>
          <w:szCs w:val="24"/>
        </w:rPr>
        <w:t>]</w:t>
      </w:r>
      <w:r>
        <w:rPr>
          <w:rFonts w:cs="Times New Roman" w:ascii="Baskerville" w:hAnsi="Baskerville"/>
          <w:i/>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It is easy to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Old Face" w:hAnsi="Baskerville Old Face"/>
          <w:color w:val="FF0000"/>
          <w:sz w:val="24"/>
          <w:szCs w:val="24"/>
        </w:rPr>
        <w:t xml:space="preserve">[IL: The fact that it is next to it in the catalogue does not necessarily mean that it was physically next to it in Anselm’s time, even assuming </w:t>
      </w:r>
      <w:r>
        <w:rPr>
          <w:rFonts w:cs="Times New Roman" w:ascii="Baskerville" w:hAnsi="Baskerville"/>
          <w:color w:val="FF0000"/>
          <w:sz w:val="24"/>
          <w:szCs w:val="24"/>
        </w:rPr>
        <w:t>the volumes were both present in Bec in the 11</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w:t>
      </w:r>
      <w:r>
        <w:rPr>
          <w:rFonts w:cs="Times New Roman" w:ascii="Baskerville" w:hAnsi="Baskerville"/>
          <w:sz w:val="24"/>
          <w:szCs w:val="24"/>
        </w:rPr>
        <w:t xml:space="preserve"> 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r>
        <w:rPr>
          <w:rFonts w:cs="Times New Roman" w:ascii="Baskerville" w:hAnsi="Baskerville"/>
          <w:sz w:val="24"/>
          <w:szCs w:val="24"/>
        </w:rPr>
        <w:t xml:space="preserve"> </w:t>
      </w:r>
      <w:r>
        <w:rPr>
          <w:rFonts w:cs="Times New Roman" w:ascii="Baskerville" w:hAnsi="Baskerville"/>
          <w:color w:val="FF0000"/>
          <w:sz w:val="24"/>
          <w:szCs w:val="24"/>
        </w:rPr>
        <w:t xml:space="preserve">[IL: The problem you need to address to support that point is that Seneca’s </w:t>
      </w:r>
      <w:r>
        <w:rPr>
          <w:rFonts w:cs="Times New Roman" w:ascii="Baskerville" w:hAnsi="Baskerville"/>
          <w:i/>
          <w:iCs/>
          <w:color w:val="FF0000"/>
          <w:sz w:val="24"/>
          <w:szCs w:val="24"/>
        </w:rPr>
        <w:t>Natural Questions</w:t>
      </w:r>
      <w:r>
        <w:rPr>
          <w:rFonts w:cs="Times New Roman" w:ascii="Baskerville" w:hAnsi="Baskerville"/>
          <w:color w:val="FF0000"/>
          <w:sz w:val="24"/>
          <w:szCs w:val="24"/>
        </w:rPr>
        <w:t xml:space="preserve"> was supposedly not rediscovered until the 12</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 See </w:t>
      </w:r>
      <w:r>
        <w:rPr>
          <w:rFonts w:ascii="Baskerville" w:hAnsi="Baskerville"/>
          <w:color w:val="FF0000"/>
          <w:sz w:val="24"/>
          <w:szCs w:val="24"/>
        </w:rPr>
        <w:t xml:space="preserve">M. Colish, </w:t>
      </w:r>
      <w:r>
        <w:rPr>
          <w:rFonts w:ascii="Baskerville" w:hAnsi="Baskerville"/>
          <w:i/>
          <w:iCs/>
          <w:color w:val="FF0000"/>
          <w:sz w:val="24"/>
          <w:szCs w:val="24"/>
        </w:rPr>
        <w:t>The Stoic Tradition from Antiquity to the Early Middle Ages</w:t>
      </w:r>
      <w:r>
        <w:rPr>
          <w:rFonts w:ascii="Baskerville" w:hAnsi="Baskerville"/>
          <w:color w:val="FF0000"/>
          <w:sz w:val="24"/>
          <w:szCs w:val="24"/>
        </w:rPr>
        <w:t xml:space="preserve">, Volume 1, Leiden: Brill 1990), p. 18. However, against that see H. Hine, ‘The Manuscript Tradition of Seneca's </w:t>
      </w:r>
      <w:r>
        <w:rPr>
          <w:rFonts w:ascii="Baskerville" w:hAnsi="Baskerville"/>
          <w:i/>
          <w:color w:val="FF0000"/>
          <w:sz w:val="24"/>
          <w:szCs w:val="24"/>
        </w:rPr>
        <w:t>Natural Questions</w:t>
      </w:r>
      <w:r>
        <w:rPr>
          <w:rFonts w:ascii="Baskerville" w:hAnsi="Baskerville"/>
          <w:color w:val="FF0000"/>
          <w:sz w:val="24"/>
          <w:szCs w:val="24"/>
        </w:rPr>
        <w:t xml:space="preserve">: Addenda’, </w:t>
      </w:r>
      <w:r>
        <w:rPr>
          <w:rFonts w:ascii="Baskerville" w:hAnsi="Baskerville"/>
          <w:i/>
          <w:color w:val="FF0000"/>
          <w:sz w:val="24"/>
          <w:szCs w:val="24"/>
        </w:rPr>
        <w:t>The Classical Quarterly</w:t>
      </w:r>
      <w:r>
        <w:rPr>
          <w:rFonts w:ascii="Baskerville" w:hAnsi="Baskerville"/>
          <w:color w:val="FF0000"/>
          <w:sz w:val="24"/>
          <w:szCs w:val="24"/>
        </w:rPr>
        <w:t>, 42 (1992) 558-562, 559.</w:t>
      </w:r>
      <w:r>
        <w:rPr>
          <w:rFonts w:cs="Times New Roman" w:ascii="Baskerville" w:hAnsi="Baskerville"/>
          <w:color w:val="FF0000"/>
          <w:sz w:val="24"/>
          <w:szCs w:val="24"/>
        </w:rPr>
        <w:t>]</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core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or ‘core meaning’?]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 xml:space="preserve">can be provided for doubtful things 5) as well as things not in doubt. </w:t>
      </w:r>
      <w:r>
        <w:rPr>
          <w:rFonts w:cs="Times New Roman" w:ascii="Baskerville Old Face" w:hAnsi="Baskerville Old Face"/>
          <w:color w:val="FF0000"/>
        </w:rPr>
        <w:t>[IL: Where does B say that?]</w:t>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6"/>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8"/>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39"/>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0"/>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1"/>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2"/>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3"/>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6"/>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xml:space="preserve">, or reliable. </w:t>
      </w:r>
      <w:r>
        <w:rPr>
          <w:rFonts w:cs="Times New Roman" w:ascii="Baskerville Old Face" w:hAnsi="Baskerville Old Face"/>
          <w:color w:val="FF0000"/>
        </w:rPr>
        <w:t xml:space="preserve">[IL: It might be helpful to the reader if you could explain why have you chosen to translate probabilis as reliable?] </w:t>
      </w:r>
      <w:r>
        <w:rPr>
          <w:rFonts w:cs="Times New Roman" w:ascii="Baskerville Old Face" w:hAnsi="Baskerville Old Face"/>
        </w:rPr>
        <w:t>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48"/>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49"/>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0"/>
      </w:r>
      <w:r>
        <w:rPr>
          <w:rFonts w:cs="Times New Roman" w:ascii="Baskerville Old Face" w:hAnsi="Baskerville Old Face"/>
        </w:rPr>
        <w:t xml:space="preserve"> </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1"/>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5"/>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color w:val="FF0000"/>
        </w:rPr>
      </w:pPr>
      <w:r>
        <w:rPr>
          <w:rFonts w:cs="Times New Roman" w:ascii="Baskerville Old Face" w:hAnsi="Baskerville Old Face"/>
          <w:color w:val="FF0000"/>
        </w:rPr>
        <w:t>[IL: The editio secunda should also be added here.]</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assumes that the reading ‘utraque rhetorica ii’ is taken in the composite sense, i.e. ‘both rhetorics, two [books] (total)’, rather than ‘both rhetorics, two books (each)’</w:t>
      </w:r>
      <w:r>
        <w:rPr>
          <w:rFonts w:cs="Times New Roman" w:ascii="Baskerville Old Face" w:hAnsi="Baskerville Old Face"/>
        </w:rPr>
        <w:t xml:space="preserve">. </w:t>
      </w:r>
      <w:r>
        <w:rPr>
          <w:rFonts w:cs="Times New Roman" w:ascii="Baskerville Old Face" w:hAnsi="Baskerville Old Face"/>
        </w:rPr>
        <w:t xml:space="preserve">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does not entail Anselm was conscious of this influence: he could have found the phrase in Seneca, forgotten about it, and then had it return to him weeks or months later. In this way, the assumption of the argument’s origin is quite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cs="Times New Roman"/>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cs="Times New Roman"/>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ind w:left="900" w:hanging="0"/>
        <w:jc w:val="both"/>
        <w:rPr>
          <w:rFonts w:ascii="Baskerville Old Face" w:hAnsi="Baskerville Old Face" w:cs="Times New Roman"/>
          <w:color w:val="FF0000"/>
        </w:rPr>
      </w:pPr>
      <w:r>
        <w:rPr>
          <w:rFonts w:cs="Times New Roman" w:ascii="Baskerville Old Face" w:hAnsi="Baskerville Old Face"/>
          <w:color w:val="FF0000"/>
        </w:rPr>
        <w:t xml:space="preserve">[IL: But Boethius expresses the relationship between argument and argumentation differently elsewhere (see </w:t>
      </w:r>
      <w:r>
        <w:rPr>
          <w:rFonts w:cs="Times New Roman" w:ascii="Baskerville Old Face" w:hAnsi="Baskerville Old Face"/>
          <w:i/>
          <w:iCs/>
          <w:color w:val="FF0000"/>
        </w:rPr>
        <w:t>In Ciceronis Topica</w:t>
      </w:r>
      <w:r>
        <w:rPr>
          <w:rFonts w:cs="Times New Roman" w:ascii="Baskerville Old Face" w:hAnsi="Baskerville Old Face"/>
          <w:color w:val="FF0000"/>
        </w:rPr>
        <w:t>). Anselm’s own usage of these terms also varies.]</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r>
        <w:rPr>
          <w:rFonts w:cs="Times New Roman" w:ascii="Baskerville Old Face" w:hAnsi="Baskerville Old Face"/>
          <w:color w:val="FF0000"/>
        </w:rPr>
        <w:t>[IL: On p. 18 Holopainen is referring to a usage of Abelard. On p. 21 in the quote from DG, it is sententia that is to be translated as meaning and Holopainen does so twice. There is no need here to translate intellectus as meaning. See Henry’s translation which makes perfect sense and maintains the distinction between sententia and intellectus.]</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BDIL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7">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3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5">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Application>LibreOffice/7.4.1.2$Linux_X86_64 LibreOffice_project/3c58a8f3a960df8bc8fd77b461821e42c061c5f0</Application>
  <AppVersion>15.0000</AppVersion>
  <Pages>33</Pages>
  <Words>9153</Words>
  <Characters>47251</Characters>
  <CharactersWithSpaces>56382</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2022-10-26T21:51:50Z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file>