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D2" w:rsidRDefault="00CB2293">
      <w:pPr>
        <w:pStyle w:val="Standard"/>
        <w:jc w:val="center"/>
      </w:pPr>
      <w:r>
        <w:t>[QUESTION 2: WHETHER LOGIC IS A COMMON SCIENCE]</w:t>
      </w:r>
    </w:p>
    <w:p w:rsidR="00FE56D2" w:rsidRDefault="00CB2293">
      <w:pPr>
        <w:pStyle w:val="Standard"/>
        <w:numPr>
          <w:ilvl w:val="0"/>
          <w:numId w:val="1"/>
        </w:numPr>
        <w:jc w:val="both"/>
      </w:pPr>
      <w:r>
        <w:t>We ask whether logic is a common science (</w:t>
      </w:r>
      <w:proofErr w:type="spellStart"/>
      <w:r>
        <w:rPr>
          <w:i/>
          <w:iCs/>
        </w:rPr>
        <w:t>scientia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communis</w:t>
      </w:r>
      <w:proofErr w:type="spellEnd"/>
      <w:r>
        <w:t>).</w:t>
      </w:r>
    </w:p>
    <w:p w:rsidR="00FE56D2" w:rsidRDefault="00CB2293" w:rsidP="00CB2293">
      <w:pPr>
        <w:pStyle w:val="Standard"/>
        <w:ind w:left="720"/>
        <w:jc w:val="both"/>
        <w:rPr>
          <w:b/>
          <w:bCs/>
        </w:rPr>
      </w:pPr>
      <w:r>
        <w:rPr>
          <w:b/>
          <w:bCs/>
        </w:rPr>
        <w:t>It seems not:</w:t>
      </w:r>
    </w:p>
    <w:p w:rsidR="00FE56D2" w:rsidRDefault="00CB2293" w:rsidP="00CB2293">
      <w:pPr>
        <w:pStyle w:val="Standard"/>
        <w:ind w:left="720"/>
        <w:jc w:val="both"/>
      </w:pPr>
      <w:r>
        <w:t xml:space="preserve">For the commonality of a science is from the commonality of </w:t>
      </w:r>
      <w:r>
        <w:t>its subject</w:t>
      </w:r>
      <w:r>
        <w:rPr>
          <w:rStyle w:val="FootnoteReference"/>
        </w:rPr>
        <w:footnoteReference w:id="1"/>
      </w:r>
      <w:r>
        <w:t>; [but] the subject of logic is distinct from the subjects of other sciences.</w:t>
      </w:r>
    </w:p>
    <w:p w:rsidR="00FE56D2" w:rsidRDefault="00CB2293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The opposite</w:t>
      </w:r>
      <w:r>
        <w:t xml:space="preserve"> is argued by Boethius</w:t>
      </w:r>
      <w:r>
        <w:rPr>
          <w:rStyle w:val="FootnoteReference"/>
        </w:rPr>
        <w:footnoteReference w:id="2"/>
      </w:r>
      <w:r>
        <w:t>:</w:t>
      </w:r>
    </w:p>
    <w:p w:rsidR="00FE56D2" w:rsidRDefault="00CB2293" w:rsidP="00CB2293">
      <w:pPr>
        <w:pStyle w:val="Standard"/>
        <w:ind w:left="720"/>
        <w:jc w:val="both"/>
      </w:pPr>
      <w:r>
        <w:t xml:space="preserve">'Logic treats of second intentions applied to first [intentions]'; but these are applicable to </w:t>
      </w:r>
      <w:r>
        <w:rPr>
          <w:i/>
          <w:iCs/>
        </w:rPr>
        <w:t>all</w:t>
      </w:r>
      <w:r>
        <w:t xml:space="preserve"> first [intentions].</w:t>
      </w:r>
    </w:p>
    <w:p w:rsidR="00FE56D2" w:rsidRDefault="00CB2293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We must say </w:t>
      </w:r>
      <w:r>
        <w:rPr>
          <w:b/>
          <w:bCs/>
        </w:rPr>
        <w:t>that</w:t>
      </w:r>
      <w:r>
        <w:t xml:space="preserve"> a science is called common from its subject. And so 'common' can be understood in two ways: either that the subject is predicable of the subjects of other sciences; or that the subject is used by other sciences.</w:t>
      </w:r>
    </w:p>
    <w:p w:rsidR="00FE56D2" w:rsidRDefault="00CB2293">
      <w:pPr>
        <w:pStyle w:val="Standard"/>
        <w:numPr>
          <w:ilvl w:val="0"/>
          <w:numId w:val="1"/>
        </w:numPr>
        <w:jc w:val="both"/>
      </w:pPr>
      <w:r>
        <w:t xml:space="preserve">Logic is not common in the first way </w:t>
      </w:r>
      <w:r>
        <w:t>except perhaps accidentally, if its subject is applicable to all [spheres]. In the s</w:t>
      </w:r>
      <w:bookmarkStart w:id="0" w:name="_GoBack"/>
      <w:bookmarkEnd w:id="0"/>
      <w:r>
        <w:t>econd way it is common.</w:t>
      </w:r>
    </w:p>
    <w:sectPr w:rsidR="00FE56D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B2293">
      <w:r>
        <w:separator/>
      </w:r>
    </w:p>
  </w:endnote>
  <w:endnote w:type="continuationSeparator" w:id="0">
    <w:p w:rsidR="00000000" w:rsidRDefault="00CB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B2293">
      <w:r>
        <w:rPr>
          <w:color w:val="000000"/>
        </w:rPr>
        <w:separator/>
      </w:r>
    </w:p>
  </w:footnote>
  <w:footnote w:type="continuationSeparator" w:id="0">
    <w:p w:rsidR="00000000" w:rsidRDefault="00CB2293">
      <w:r>
        <w:continuationSeparator/>
      </w:r>
    </w:p>
  </w:footnote>
  <w:footnote w:id="1">
    <w:p w:rsidR="00FE56D2" w:rsidRDefault="00CB2293">
      <w:pPr>
        <w:pStyle w:val="Footnote"/>
        <w:rPr>
          <w:b/>
          <w:bCs/>
        </w:rPr>
      </w:pPr>
      <w:r>
        <w:rPr>
          <w:rStyle w:val="FootnoteReference"/>
        </w:rPr>
        <w:footnoteRef/>
      </w:r>
      <w:proofErr w:type="spellStart"/>
      <w:proofErr w:type="gramStart"/>
      <w:r>
        <w:rPr>
          <w:b/>
          <w:bCs/>
        </w:rPr>
        <w:t>Aristot</w:t>
      </w:r>
      <w:proofErr w:type="spellEnd"/>
      <w:r>
        <w:rPr>
          <w:b/>
          <w:bCs/>
        </w:rPr>
        <w:t>.,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 xml:space="preserve">Anal. </w:t>
      </w:r>
      <w:proofErr w:type="gramStart"/>
      <w:r>
        <w:rPr>
          <w:i/>
          <w:iCs/>
        </w:rPr>
        <w:t>Post.</w:t>
      </w:r>
      <w:proofErr w:type="gramEnd"/>
      <w:r>
        <w:rPr>
          <w:i/>
          <w:iCs/>
        </w:rPr>
        <w:t xml:space="preserve"> </w:t>
      </w:r>
      <w:r>
        <w:t>I c. 28 t. 179 (AL IV</w:t>
      </w:r>
      <w:r>
        <w:rPr>
          <w:vertAlign w:val="superscript"/>
        </w:rPr>
        <w:t>2</w:t>
      </w:r>
      <w:r>
        <w:t xml:space="preserve"> 151; </w:t>
      </w:r>
      <w:r>
        <w:rPr>
          <w:b/>
          <w:bCs/>
        </w:rPr>
        <w:t>A</w:t>
      </w:r>
      <w:r>
        <w:t xml:space="preserve"> c. 28, 87</w:t>
      </w:r>
      <w:r>
        <w:rPr>
          <w:i/>
          <w:iCs/>
        </w:rPr>
        <w:t>a</w:t>
      </w:r>
      <w:r>
        <w:t xml:space="preserve"> 38-87</w:t>
      </w:r>
      <w:r>
        <w:rPr>
          <w:i/>
          <w:iCs/>
        </w:rPr>
        <w:t>b</w:t>
      </w:r>
      <w:r>
        <w:t xml:space="preserve"> 4); cf. </w:t>
      </w:r>
      <w:r>
        <w:rPr>
          <w:b/>
          <w:bCs/>
        </w:rPr>
        <w:t>Thomas,</w:t>
      </w:r>
      <w:r>
        <w:t xml:space="preserve"> </w:t>
      </w:r>
      <w:r>
        <w:rPr>
          <w:i/>
          <w:iCs/>
        </w:rPr>
        <w:t xml:space="preserve">Expos. </w:t>
      </w:r>
      <w:proofErr w:type="spellStart"/>
      <w:proofErr w:type="gramStart"/>
      <w:r>
        <w:rPr>
          <w:i/>
          <w:iCs/>
        </w:rPr>
        <w:t>libri</w:t>
      </w:r>
      <w:proofErr w:type="spellEnd"/>
      <w:proofErr w:type="gramEnd"/>
      <w:r>
        <w:rPr>
          <w:i/>
          <w:iCs/>
        </w:rPr>
        <w:t xml:space="preserve"> Post. </w:t>
      </w:r>
      <w:r>
        <w:t>I lect. 20 (I</w:t>
      </w:r>
      <w:r>
        <w:rPr>
          <w:vertAlign w:val="superscript"/>
        </w:rPr>
        <w:t>2</w:t>
      </w:r>
      <w:r>
        <w:t xml:space="preserve"> 75): “...logic will concern what is common to all, i.e. intentions of reason, which pertain to all things; </w:t>
      </w:r>
      <w:proofErr w:type="gramStart"/>
      <w:r>
        <w:t>But</w:t>
      </w:r>
      <w:proofErr w:type="gramEnd"/>
      <w:r>
        <w:t xml:space="preserve"> it is not t</w:t>
      </w:r>
      <w:r>
        <w:t xml:space="preserve">hat logic has those common reasons themselves as subjects... But even if the part of logic that is demonstrative is turned toward common intentions </w:t>
      </w:r>
      <w:r>
        <w:rPr>
          <w:i/>
          <w:iCs/>
        </w:rPr>
        <w:t xml:space="preserve">qua </w:t>
      </w:r>
      <w:r>
        <w:t>teaching (</w:t>
      </w:r>
      <w:proofErr w:type="spellStart"/>
      <w:r>
        <w:rPr>
          <w:i/>
          <w:iCs/>
        </w:rPr>
        <w:t>docendo</w:t>
      </w:r>
      <w:proofErr w:type="spellEnd"/>
      <w:r>
        <w:t xml:space="preserve">), the </w:t>
      </w:r>
      <w:r>
        <w:rPr>
          <w:i/>
          <w:iCs/>
        </w:rPr>
        <w:t xml:space="preserve">use </w:t>
      </w:r>
      <w:r>
        <w:t>of a demonstrative science still does not proceed from these common intentio</w:t>
      </w:r>
      <w:r>
        <w:t>ns”.</w:t>
      </w:r>
    </w:p>
  </w:footnote>
  <w:footnote w:id="2">
    <w:p w:rsidR="00FE56D2" w:rsidRDefault="00CB2293">
      <w:pPr>
        <w:pStyle w:val="Footnote"/>
      </w:pPr>
      <w:r>
        <w:rPr>
          <w:rStyle w:val="FootnoteReference"/>
        </w:rPr>
        <w:footnoteRef/>
      </w:r>
      <w:r>
        <w:t xml:space="preserve">More likely </w:t>
      </w:r>
      <w:r>
        <w:rPr>
          <w:b/>
          <w:bCs/>
        </w:rPr>
        <w:t>Avicenna</w:t>
      </w:r>
      <w:r>
        <w:t xml:space="preserve">, </w:t>
      </w:r>
      <w:r>
        <w:rPr>
          <w:i/>
          <w:iCs/>
        </w:rPr>
        <w:t xml:space="preserve">Metaph. </w:t>
      </w:r>
      <w:r>
        <w:t>I c. 2 (</w:t>
      </w:r>
      <w:proofErr w:type="spellStart"/>
      <w:r>
        <w:t>AviL</w:t>
      </w:r>
      <w:proofErr w:type="spellEnd"/>
      <w:r>
        <w:t xml:space="preserve"> 10): “Intentions understood secondarily (</w:t>
      </w:r>
      <w:proofErr w:type="spellStart"/>
      <w:r>
        <w:rPr>
          <w:i/>
          <w:iCs/>
        </w:rPr>
        <w:t>intentiones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intellectae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secundo</w:t>
      </w:r>
      <w:proofErr w:type="spellEnd"/>
      <w:r>
        <w:t xml:space="preserve">), which are added to </w:t>
      </w:r>
      <w:r>
        <w:t>intentions understood firstly (</w:t>
      </w:r>
      <w:r>
        <w:rPr>
          <w:i/>
          <w:iCs/>
        </w:rPr>
        <w:t xml:space="preserve">quae </w:t>
      </w:r>
      <w:proofErr w:type="spellStart"/>
      <w:r>
        <w:rPr>
          <w:i/>
          <w:iCs/>
        </w:rPr>
        <w:t>apponuntur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intentionibus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intellectis</w:t>
      </w:r>
      <w:proofErr w:type="spellEnd"/>
      <w:r>
        <w:rPr>
          <w:i/>
          <w:iCs/>
        </w:rPr>
        <w:t xml:space="preserve"> primo</w:t>
      </w:r>
      <w:r>
        <w:t>), are, as you knew, the subject of logic...”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E1946"/>
    <w:multiLevelType w:val="multilevel"/>
    <w:tmpl w:val="1FBA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E56D2"/>
    <w:rsid w:val="00CB2293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Archambault</dc:creator>
  <cp:lastModifiedBy>ftcrh</cp:lastModifiedBy>
  <cp:revision>2</cp:revision>
  <dcterms:created xsi:type="dcterms:W3CDTF">2014-03-07T16:25:00Z</dcterms:created>
  <dcterms:modified xsi:type="dcterms:W3CDTF">2014-03-07T16:25:00Z</dcterms:modified>
</cp:coreProperties>
</file>