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895" w:rsidRDefault="007400FF">
      <w:pPr>
        <w:pStyle w:val="Standard"/>
        <w:jc w:val="center"/>
      </w:pPr>
      <w:r>
        <w:t>[QUESTION 3: WHETHER THE SUBJECT OF LOGIC IS THE SYLLOGISM]</w:t>
      </w:r>
    </w:p>
    <w:p w:rsidR="00D96895" w:rsidRDefault="007400FF">
      <w:pPr>
        <w:pStyle w:val="Standard"/>
        <w:numPr>
          <w:ilvl w:val="0"/>
          <w:numId w:val="1"/>
        </w:numPr>
        <w:jc w:val="both"/>
      </w:pPr>
      <w:r>
        <w:t>We ask about subject of logic, whether it be the syllogism.</w:t>
      </w:r>
    </w:p>
    <w:p w:rsidR="00D96895" w:rsidRDefault="007400FF" w:rsidP="007400FF">
      <w:pPr>
        <w:pStyle w:val="Standard"/>
        <w:ind w:left="720"/>
        <w:jc w:val="both"/>
        <w:rPr>
          <w:b/>
          <w:bCs/>
        </w:rPr>
      </w:pPr>
      <w:r>
        <w:rPr>
          <w:b/>
          <w:bCs/>
        </w:rPr>
        <w:t>It seems not:</w:t>
      </w:r>
    </w:p>
    <w:p w:rsidR="00D96895" w:rsidRDefault="007400FF" w:rsidP="007400FF">
      <w:pPr>
        <w:pStyle w:val="Standard"/>
        <w:ind w:left="720"/>
        <w:jc w:val="both"/>
      </w:pPr>
      <w:r>
        <w:t>For all knowledge (</w:t>
      </w:r>
      <w:proofErr w:type="spellStart"/>
      <w:r>
        <w:rPr>
          <w:i/>
          <w:iCs/>
        </w:rPr>
        <w:t>scientia</w:t>
      </w:r>
      <w:proofErr w:type="spellEnd"/>
      <w:r>
        <w:t>)</w:t>
      </w:r>
      <w:r>
        <w:rPr>
          <w:i/>
          <w:iCs/>
        </w:rPr>
        <w:t xml:space="preserve"> </w:t>
      </w:r>
      <w:r>
        <w:t>is via syllogism. If, then, there is a knowledge of the syllogism, this will be via syllogism. But this is false:</w:t>
      </w:r>
    </w:p>
    <w:p w:rsidR="00D96895" w:rsidRDefault="007400FF">
      <w:pPr>
        <w:pStyle w:val="Standard"/>
        <w:numPr>
          <w:ilvl w:val="0"/>
          <w:numId w:val="1"/>
        </w:numPr>
        <w:jc w:val="both"/>
      </w:pPr>
      <w:r>
        <w:t xml:space="preserve">Both because the syllogism, which we seek knowledge of, is unknown, whereas the syllogism by which knowledge is had is known; for nothing is </w:t>
      </w:r>
      <w:r>
        <w:t>known through what is unknown.</w:t>
      </w:r>
    </w:p>
    <w:p w:rsidR="00D96895" w:rsidRDefault="007400FF">
      <w:pPr>
        <w:pStyle w:val="Standard"/>
        <w:numPr>
          <w:ilvl w:val="0"/>
          <w:numId w:val="1"/>
        </w:numPr>
        <w:jc w:val="both"/>
      </w:pPr>
      <w:r>
        <w:t>And because I am searching for a syllogism by which one possesses knowledge: either there is knowledge of this, or there isn't. If there isn't, then by the same reason neither is there [knowledge] of the syllogism in general</w:t>
      </w:r>
      <w:r>
        <w:t xml:space="preserve"> (</w:t>
      </w:r>
      <w:r>
        <w:rPr>
          <w:i/>
          <w:iCs/>
        </w:rPr>
        <w:t xml:space="preserve">in </w:t>
      </w:r>
      <w:proofErr w:type="spellStart"/>
      <w:r>
        <w:rPr>
          <w:i/>
          <w:iCs/>
        </w:rPr>
        <w:t>communi</w:t>
      </w:r>
      <w:proofErr w:type="spellEnd"/>
      <w:r>
        <w:t>); for whatever is known of the general [case] is known also for any particular. If there is, then [this will be] through another syllogism, and so we shall proceed to an infinite of syllogisms we'd have to have knowledge of. But this is incong</w:t>
      </w:r>
      <w:r>
        <w:t xml:space="preserve">ruous, for then none would be known. For, the infinite is unknown, from Aristotle's </w:t>
      </w:r>
      <w:r>
        <w:rPr>
          <w:i/>
          <w:iCs/>
        </w:rPr>
        <w:t xml:space="preserve">Physics </w:t>
      </w:r>
      <w:r>
        <w:t>I</w:t>
      </w:r>
      <w:r>
        <w:rPr>
          <w:rStyle w:val="FootnoteReference"/>
        </w:rPr>
        <w:footnoteReference w:id="1"/>
      </w:r>
      <w:r>
        <w:t>; therefore, the same [thing] is both known and unknown.</w:t>
      </w:r>
    </w:p>
    <w:p w:rsidR="00D96895" w:rsidRDefault="007400FF">
      <w:pPr>
        <w:pStyle w:val="Standard"/>
        <w:numPr>
          <w:ilvl w:val="0"/>
          <w:numId w:val="1"/>
        </w:numPr>
        <w:jc w:val="both"/>
      </w:pPr>
      <w:r>
        <w:t xml:space="preserve">Again, nothing is the subject of a whole and </w:t>
      </w:r>
      <w:r>
        <w:t>[its] part; but the syllogism is the subject of a part of logic</w:t>
      </w:r>
      <w:r>
        <w:rPr>
          <w:rStyle w:val="FootnoteReference"/>
        </w:rPr>
        <w:footnoteReference w:id="2"/>
      </w:r>
      <w:r>
        <w:t xml:space="preserve">, sc. the books of the </w:t>
      </w:r>
      <w:r>
        <w:rPr>
          <w:i/>
          <w:iCs/>
        </w:rPr>
        <w:t xml:space="preserve">Prior Analytics. </w:t>
      </w:r>
      <w:r>
        <w:t>Therefore, etc.</w:t>
      </w:r>
    </w:p>
    <w:p w:rsidR="00D96895" w:rsidRDefault="007400FF">
      <w:pPr>
        <w:pStyle w:val="Standard"/>
        <w:numPr>
          <w:ilvl w:val="0"/>
          <w:numId w:val="1"/>
        </w:numPr>
        <w:jc w:val="both"/>
      </w:pPr>
      <w:r>
        <w:t>Again, there never was a syllogism in sense, and so neither [is there] in the understanding. The consequence is plain from Aristotle'</w:t>
      </w:r>
      <w:r>
        <w:t xml:space="preserve">s </w:t>
      </w:r>
      <w:proofErr w:type="gramStart"/>
      <w:r>
        <w:rPr>
          <w:i/>
          <w:iCs/>
        </w:rPr>
        <w:t>On</w:t>
      </w:r>
      <w:proofErr w:type="gramEnd"/>
      <w:r>
        <w:rPr>
          <w:i/>
          <w:iCs/>
        </w:rPr>
        <w:t xml:space="preserve"> sense and what is sensed</w:t>
      </w:r>
      <w:r>
        <w:rPr>
          <w:rStyle w:val="FootnoteReference"/>
        </w:rPr>
        <w:footnoteReference w:id="3"/>
      </w:r>
      <w:r>
        <w:rPr>
          <w:i/>
          <w:iCs/>
        </w:rPr>
        <w:t>.</w:t>
      </w:r>
    </w:p>
    <w:p w:rsidR="00D96895" w:rsidRDefault="007400FF">
      <w:pPr>
        <w:pStyle w:val="Standard"/>
        <w:numPr>
          <w:ilvl w:val="0"/>
          <w:numId w:val="1"/>
        </w:numPr>
        <w:jc w:val="both"/>
        <w:rPr>
          <w:b/>
          <w:bCs/>
        </w:rPr>
      </w:pPr>
      <w:r>
        <w:rPr>
          <w:b/>
          <w:bCs/>
        </w:rPr>
        <w:t>For the opposite:</w:t>
      </w:r>
    </w:p>
    <w:p w:rsidR="00D96895" w:rsidRDefault="007400FF" w:rsidP="007400FF">
      <w:pPr>
        <w:pStyle w:val="Standard"/>
        <w:ind w:left="720"/>
        <w:jc w:val="both"/>
      </w:pPr>
      <w:r>
        <w:t>In logic, the properties (</w:t>
      </w:r>
      <w:proofErr w:type="spellStart"/>
      <w:r>
        <w:rPr>
          <w:i/>
          <w:iCs/>
        </w:rPr>
        <w:t>passiones</w:t>
      </w:r>
      <w:proofErr w:type="spellEnd"/>
      <w:r>
        <w:t>)</w:t>
      </w:r>
      <w:r>
        <w:rPr>
          <w:i/>
          <w:iCs/>
        </w:rPr>
        <w:t xml:space="preserve"> </w:t>
      </w:r>
      <w:r>
        <w:t xml:space="preserve">of the </w:t>
      </w:r>
      <w:r>
        <w:t>syllogism are shown (</w:t>
      </w:r>
      <w:proofErr w:type="spellStart"/>
      <w:r>
        <w:rPr>
          <w:i/>
          <w:iCs/>
        </w:rPr>
        <w:t>demonstrantur</w:t>
      </w:r>
      <w:proofErr w:type="spellEnd"/>
      <w:r>
        <w:t>)</w:t>
      </w:r>
      <w:r>
        <w:rPr>
          <w:i/>
          <w:iCs/>
        </w:rPr>
        <w:t xml:space="preserve"> </w:t>
      </w:r>
      <w:r>
        <w:t>principally from itself and from other [things] on account of it (</w:t>
      </w:r>
      <w:r>
        <w:rPr>
          <w:i/>
          <w:iCs/>
        </w:rPr>
        <w:t xml:space="preserve">propter </w:t>
      </w:r>
      <w:proofErr w:type="spellStart"/>
      <w:r>
        <w:rPr>
          <w:i/>
          <w:iCs/>
        </w:rPr>
        <w:t>ipsum</w:t>
      </w:r>
      <w:proofErr w:type="spellEnd"/>
      <w:r>
        <w:t xml:space="preserve">). Therefore, </w:t>
      </w:r>
      <w:proofErr w:type="spellStart"/>
      <w:r>
        <w:t>etc</w:t>
      </w:r>
      <w:proofErr w:type="spellEnd"/>
      <w:r>
        <w:rPr>
          <w:rStyle w:val="FootnoteReference"/>
        </w:rPr>
        <w:footnoteReference w:id="4"/>
      </w:r>
      <w:r>
        <w:t>.</w:t>
      </w:r>
    </w:p>
    <w:p w:rsidR="00D96895" w:rsidRDefault="007400FF">
      <w:pPr>
        <w:pStyle w:val="Standard"/>
        <w:numPr>
          <w:ilvl w:val="0"/>
          <w:numId w:val="1"/>
        </w:numPr>
        <w:jc w:val="both"/>
        <w:rPr>
          <w:b/>
          <w:bCs/>
        </w:rPr>
      </w:pPr>
      <w:r>
        <w:rPr>
          <w:b/>
          <w:bCs/>
        </w:rPr>
        <w:t>Some say</w:t>
      </w:r>
      <w:r>
        <w:rPr>
          <w:rStyle w:val="FootnoteReference"/>
        </w:rPr>
        <w:footnoteReference w:id="5"/>
      </w:r>
      <w:r>
        <w:t xml:space="preserve"> th</w:t>
      </w:r>
      <w:r>
        <w:t>at the subject of logic is the concept formed from the act of reason, since this is common to all the things logic considers. For the act of reason is threefold</w:t>
      </w:r>
      <w:r>
        <w:rPr>
          <w:rStyle w:val="FootnoteReference"/>
        </w:rPr>
        <w:footnoteReference w:id="6"/>
      </w:r>
      <w:r>
        <w:t xml:space="preserve">: first, understanding indivisibles; second, joining or dividing those indivisibles; third, moving discursively from the known to the unknown. On the </w:t>
      </w:r>
      <w:r>
        <w:t xml:space="preserve">concept formed from the first act, there is the book of </w:t>
      </w:r>
      <w:r>
        <w:rPr>
          <w:i/>
          <w:iCs/>
        </w:rPr>
        <w:t>Categories</w:t>
      </w:r>
      <w:r>
        <w:t xml:space="preserve"> which is on what is simple (</w:t>
      </w:r>
      <w:proofErr w:type="spellStart"/>
      <w:r>
        <w:rPr>
          <w:i/>
          <w:iCs/>
        </w:rPr>
        <w:t>incomplexo</w:t>
      </w:r>
      <w:proofErr w:type="spellEnd"/>
      <w:r>
        <w:t xml:space="preserve">); on the concept formed from the second act, there is the book </w:t>
      </w:r>
      <w:r>
        <w:rPr>
          <w:i/>
          <w:iCs/>
        </w:rPr>
        <w:t>On interpretation</w:t>
      </w:r>
      <w:r>
        <w:t>, which is on the statement (</w:t>
      </w:r>
      <w:proofErr w:type="spellStart"/>
      <w:r>
        <w:rPr>
          <w:i/>
          <w:iCs/>
        </w:rPr>
        <w:t>enunciatione</w:t>
      </w:r>
      <w:proofErr w:type="spellEnd"/>
      <w:r>
        <w:rPr>
          <w:i/>
          <w:iCs/>
        </w:rPr>
        <w:t>);</w:t>
      </w:r>
      <w:r>
        <w:t xml:space="preserve"> on the concept formed by t</w:t>
      </w:r>
      <w:r>
        <w:t>he third act there is the</w:t>
      </w:r>
      <w:r>
        <w:rPr>
          <w:i/>
          <w:iCs/>
        </w:rPr>
        <w:t xml:space="preserve"> </w:t>
      </w:r>
      <w:r>
        <w:t>new logic (</w:t>
      </w:r>
      <w:proofErr w:type="spellStart"/>
      <w:r>
        <w:rPr>
          <w:i/>
          <w:iCs/>
        </w:rPr>
        <w:t>logica</w:t>
      </w:r>
      <w:proofErr w:type="spellEnd"/>
      <w:r>
        <w:rPr>
          <w:i/>
          <w:iCs/>
        </w:rPr>
        <w:t xml:space="preserve"> nova</w:t>
      </w:r>
      <w:r>
        <w:t xml:space="preserve">), which is on the syllogism </w:t>
      </w:r>
      <w:r>
        <w:lastRenderedPageBreak/>
        <w:t>and its specific parts (</w:t>
      </w:r>
      <w:proofErr w:type="spellStart"/>
      <w:r>
        <w:rPr>
          <w:i/>
          <w:iCs/>
        </w:rPr>
        <w:t>partibus</w:t>
      </w:r>
      <w:proofErr w:type="spellEnd"/>
      <w:r>
        <w:rPr>
          <w:i/>
          <w:iCs/>
        </w:rPr>
        <w:t xml:space="preserve"> </w:t>
      </w:r>
      <w:proofErr w:type="spellStart"/>
      <w:r>
        <w:rPr>
          <w:i/>
          <w:iCs/>
        </w:rPr>
        <w:t>subiectivis</w:t>
      </w:r>
      <w:proofErr w:type="spellEnd"/>
      <w:r>
        <w:t>).</w:t>
      </w:r>
    </w:p>
    <w:p w:rsidR="00D96895" w:rsidRDefault="007400FF">
      <w:pPr>
        <w:pStyle w:val="Standard"/>
        <w:numPr>
          <w:ilvl w:val="0"/>
          <w:numId w:val="1"/>
        </w:numPr>
        <w:jc w:val="both"/>
        <w:rPr>
          <w:b/>
          <w:bCs/>
        </w:rPr>
      </w:pPr>
      <w:r>
        <w:t>Others posit that [logic] is concerned with second intentions applied to first [intentions], as Boethius</w:t>
      </w:r>
      <w:r>
        <w:rPr>
          <w:rStyle w:val="FootnoteReference"/>
        </w:rPr>
        <w:footnoteReference w:id="7"/>
      </w:r>
      <w:r>
        <w:t xml:space="preserve"> says that these are common to everything determined in logic.</w:t>
      </w:r>
    </w:p>
    <w:p w:rsidR="00D96895" w:rsidRDefault="007400FF">
      <w:pPr>
        <w:pStyle w:val="Standard"/>
        <w:numPr>
          <w:ilvl w:val="0"/>
          <w:numId w:val="1"/>
        </w:numPr>
        <w:jc w:val="both"/>
        <w:rPr>
          <w:b/>
          <w:bCs/>
        </w:rPr>
      </w:pPr>
      <w:r>
        <w:t>A third answer posits that being (</w:t>
      </w:r>
      <w:proofErr w:type="spellStart"/>
      <w:proofErr w:type="gramStart"/>
      <w:r>
        <w:rPr>
          <w:i/>
          <w:iCs/>
        </w:rPr>
        <w:t>ens</w:t>
      </w:r>
      <w:proofErr w:type="spellEnd"/>
      <w:proofErr w:type="gramEnd"/>
      <w:r>
        <w:t xml:space="preserve">) is the subject, since in </w:t>
      </w:r>
      <w:r>
        <w:rPr>
          <w:i/>
          <w:iCs/>
        </w:rPr>
        <w:t xml:space="preserve">Metaphysics </w:t>
      </w:r>
      <w:r>
        <w:t>IV</w:t>
      </w:r>
      <w:r>
        <w:rPr>
          <w:rStyle w:val="FootnoteReference"/>
        </w:rPr>
        <w:footnoteReference w:id="8"/>
      </w:r>
      <w:r>
        <w:t>, Aristotle [states that] t</w:t>
      </w:r>
      <w:r>
        <w:t>he metaphysician, dialectician, and sophist work on the same [subject]; the metaphysician works on being; therefore, etc.</w:t>
      </w:r>
    </w:p>
    <w:p w:rsidR="00D96895" w:rsidRDefault="007400FF">
      <w:pPr>
        <w:pStyle w:val="Standard"/>
        <w:numPr>
          <w:ilvl w:val="0"/>
          <w:numId w:val="1"/>
        </w:numPr>
        <w:jc w:val="both"/>
        <w:rPr>
          <w:b/>
          <w:bCs/>
        </w:rPr>
      </w:pPr>
      <w:r>
        <w:t>A fourth answer posits speech (</w:t>
      </w:r>
      <w:proofErr w:type="spellStart"/>
      <w:r>
        <w:rPr>
          <w:i/>
          <w:iCs/>
        </w:rPr>
        <w:t>oratio</w:t>
      </w:r>
      <w:proofErr w:type="spellEnd"/>
      <w:r>
        <w:t>)</w:t>
      </w:r>
      <w:r>
        <w:rPr>
          <w:rStyle w:val="FootnoteReference"/>
        </w:rPr>
        <w:footnoteReference w:id="9"/>
      </w:r>
      <w:r>
        <w:t xml:space="preserve">, since, this being the genus of the statement, the old logic is limited to this [i.e. speech] and its parts; and it is put in the definition of the syllogism in </w:t>
      </w:r>
      <w:r>
        <w:rPr>
          <w:i/>
          <w:iCs/>
        </w:rPr>
        <w:t xml:space="preserve">Prior Analytics </w:t>
      </w:r>
      <w:r>
        <w:t>I</w:t>
      </w:r>
      <w:r>
        <w:rPr>
          <w:rStyle w:val="FootnoteReference"/>
        </w:rPr>
        <w:footnoteReference w:id="10"/>
      </w:r>
      <w:r>
        <w:t>.</w:t>
      </w:r>
    </w:p>
    <w:p w:rsidR="00D96895" w:rsidRDefault="007400FF">
      <w:pPr>
        <w:pStyle w:val="Standard"/>
        <w:numPr>
          <w:ilvl w:val="0"/>
          <w:numId w:val="1"/>
        </w:numPr>
        <w:jc w:val="both"/>
        <w:rPr>
          <w:b/>
          <w:bCs/>
        </w:rPr>
      </w:pPr>
      <w:r>
        <w:t>A fifth answer posits argumentation</w:t>
      </w:r>
      <w:r>
        <w:rPr>
          <w:rStyle w:val="FootnoteReference"/>
        </w:rPr>
        <w:footnoteReference w:id="11"/>
      </w:r>
      <w:r>
        <w:t xml:space="preserve">, since the whole of </w:t>
      </w:r>
      <w:r>
        <w:t>logic is concerned with its aspects (</w:t>
      </w:r>
      <w:proofErr w:type="spellStart"/>
      <w:r>
        <w:rPr>
          <w:i/>
          <w:iCs/>
        </w:rPr>
        <w:t>speciebus</w:t>
      </w:r>
      <w:proofErr w:type="spellEnd"/>
      <w:r>
        <w:t>)</w:t>
      </w:r>
      <w:r>
        <w:rPr>
          <w:i/>
          <w:iCs/>
        </w:rPr>
        <w:t xml:space="preserve"> </w:t>
      </w:r>
      <w:r>
        <w:t>and parts.</w:t>
      </w:r>
    </w:p>
    <w:p w:rsidR="00D96895" w:rsidRDefault="007400FF">
      <w:pPr>
        <w:pStyle w:val="Standard"/>
        <w:numPr>
          <w:ilvl w:val="0"/>
          <w:numId w:val="1"/>
        </w:numPr>
        <w:jc w:val="both"/>
        <w:rPr>
          <w:b/>
          <w:bCs/>
        </w:rPr>
      </w:pPr>
      <w:r>
        <w:t>A sixth answer posits the syllogism</w:t>
      </w:r>
      <w:r>
        <w:rPr>
          <w:rStyle w:val="FootnoteReference"/>
        </w:rPr>
        <w:footnoteReference w:id="12"/>
      </w:r>
      <w:r>
        <w:t>, since all other things considered in logic are considered for the sake of it.</w:t>
      </w:r>
    </w:p>
    <w:p w:rsidR="00D96895" w:rsidRDefault="007400FF">
      <w:pPr>
        <w:pStyle w:val="Standard"/>
        <w:numPr>
          <w:ilvl w:val="0"/>
          <w:numId w:val="1"/>
        </w:numPr>
        <w:jc w:val="both"/>
        <w:rPr>
          <w:b/>
          <w:bCs/>
        </w:rPr>
      </w:pPr>
      <w:r>
        <w:rPr>
          <w:b/>
          <w:bCs/>
        </w:rPr>
        <w:t xml:space="preserve">To see which position </w:t>
      </w:r>
      <w:r>
        <w:t xml:space="preserve">is </w:t>
      </w:r>
      <w:proofErr w:type="gramStart"/>
      <w:r>
        <w:t>more true</w:t>
      </w:r>
      <w:proofErr w:type="gramEnd"/>
      <w:r>
        <w:t>, we must note that three conditions are req</w:t>
      </w:r>
      <w:r>
        <w:t>uired of the subject in a science. [The first is] that it is known what it is (</w:t>
      </w:r>
      <w:r>
        <w:rPr>
          <w:i/>
          <w:iCs/>
        </w:rPr>
        <w:t xml:space="preserve">quid </w:t>
      </w:r>
      <w:proofErr w:type="spellStart"/>
      <w:proofErr w:type="gramStart"/>
      <w:r>
        <w:rPr>
          <w:i/>
          <w:iCs/>
        </w:rPr>
        <w:t>est</w:t>
      </w:r>
      <w:proofErr w:type="spellEnd"/>
      <w:proofErr w:type="gramEnd"/>
      <w:r>
        <w:t>)</w:t>
      </w:r>
      <w:r>
        <w:rPr>
          <w:i/>
          <w:iCs/>
        </w:rPr>
        <w:t xml:space="preserve"> </w:t>
      </w:r>
      <w:r>
        <w:t>and that it is (</w:t>
      </w:r>
      <w:proofErr w:type="spellStart"/>
      <w:r>
        <w:rPr>
          <w:i/>
          <w:iCs/>
        </w:rPr>
        <w:t>quia</w:t>
      </w:r>
      <w:proofErr w:type="spellEnd"/>
      <w:r>
        <w:rPr>
          <w:i/>
          <w:iCs/>
        </w:rPr>
        <w:t xml:space="preserve"> </w:t>
      </w:r>
      <w:proofErr w:type="spellStart"/>
      <w:r>
        <w:rPr>
          <w:i/>
          <w:iCs/>
        </w:rPr>
        <w:t>est</w:t>
      </w:r>
      <w:proofErr w:type="spellEnd"/>
      <w:r>
        <w:t xml:space="preserve">), for these two must be presupposed for demonstration, as is stated in </w:t>
      </w:r>
      <w:r>
        <w:rPr>
          <w:i/>
          <w:iCs/>
        </w:rPr>
        <w:t xml:space="preserve">Posterior Analytics </w:t>
      </w:r>
      <w:r>
        <w:t>I</w:t>
      </w:r>
      <w:r>
        <w:rPr>
          <w:rStyle w:val="FootnoteReference"/>
        </w:rPr>
        <w:footnoteReference w:id="13"/>
      </w:r>
      <w:r>
        <w:t xml:space="preserve">. The second is that </w:t>
      </w:r>
      <w:r>
        <w:t>in that science, the properties (</w:t>
      </w:r>
      <w:proofErr w:type="spellStart"/>
      <w:r>
        <w:rPr>
          <w:i/>
          <w:iCs/>
        </w:rPr>
        <w:t>passiones</w:t>
      </w:r>
      <w:proofErr w:type="spellEnd"/>
      <w:r>
        <w:t>) of its subject be demonstrated of it from its quiddity (</w:t>
      </w:r>
      <w:r>
        <w:rPr>
          <w:i/>
          <w:iCs/>
        </w:rPr>
        <w:t xml:space="preserve">quid </w:t>
      </w:r>
      <w:proofErr w:type="spellStart"/>
      <w:proofErr w:type="gramStart"/>
      <w:r>
        <w:rPr>
          <w:i/>
          <w:iCs/>
        </w:rPr>
        <w:t>est</w:t>
      </w:r>
      <w:proofErr w:type="spellEnd"/>
      <w:proofErr w:type="gramEnd"/>
      <w:r>
        <w:t xml:space="preserve">). The third is that everything else determined in the science refers back to it and is considered for its sake. For otherwise, this unity lacking, </w:t>
      </w:r>
      <w:r>
        <w:t>there would be no unity of the science.</w:t>
      </w:r>
    </w:p>
    <w:p w:rsidR="00D96895" w:rsidRDefault="007400FF">
      <w:pPr>
        <w:pStyle w:val="Standard"/>
        <w:numPr>
          <w:ilvl w:val="0"/>
          <w:numId w:val="1"/>
        </w:numPr>
        <w:jc w:val="both"/>
        <w:rPr>
          <w:b/>
          <w:bCs/>
        </w:rPr>
      </w:pPr>
      <w:r>
        <w:t>The first two conditions are lacking from the first three opinions</w:t>
      </w:r>
      <w:r>
        <w:rPr>
          <w:rStyle w:val="FootnoteReference"/>
        </w:rPr>
        <w:footnoteReference w:id="14"/>
      </w:r>
      <w:r>
        <w:t xml:space="preserve"> put forth, since none of these are defined in logic in a general manner (</w:t>
      </w:r>
      <w:proofErr w:type="spellStart"/>
      <w:r>
        <w:rPr>
          <w:i/>
          <w:iCs/>
        </w:rPr>
        <w:t>secundum</w:t>
      </w:r>
      <w:proofErr w:type="spellEnd"/>
      <w:r>
        <w:rPr>
          <w:i/>
          <w:iCs/>
        </w:rPr>
        <w:t xml:space="preserve"> </w:t>
      </w:r>
      <w:proofErr w:type="spellStart"/>
      <w:r>
        <w:rPr>
          <w:i/>
          <w:iCs/>
        </w:rPr>
        <w:t>rationem</w:t>
      </w:r>
      <w:proofErr w:type="spellEnd"/>
      <w:r>
        <w:rPr>
          <w:i/>
          <w:iCs/>
        </w:rPr>
        <w:t xml:space="preserve"> </w:t>
      </w:r>
      <w:proofErr w:type="spellStart"/>
      <w:r>
        <w:rPr>
          <w:i/>
          <w:iCs/>
        </w:rPr>
        <w:t>generalem</w:t>
      </w:r>
      <w:proofErr w:type="spellEnd"/>
      <w:r>
        <w:t>),</w:t>
      </w:r>
      <w:r>
        <w:rPr>
          <w:i/>
          <w:iCs/>
        </w:rPr>
        <w:t xml:space="preserve"> </w:t>
      </w:r>
      <w:r>
        <w:t>as subjects are put fort</w:t>
      </w:r>
      <w:r>
        <w:t>h. It is neither a prerequisite (</w:t>
      </w:r>
      <w:proofErr w:type="spellStart"/>
      <w:proofErr w:type="gramStart"/>
      <w:r>
        <w:rPr>
          <w:i/>
          <w:iCs/>
        </w:rPr>
        <w:t>nec</w:t>
      </w:r>
      <w:proofErr w:type="spellEnd"/>
      <w:proofErr w:type="gramEnd"/>
      <w:r>
        <w:rPr>
          <w:i/>
          <w:iCs/>
        </w:rPr>
        <w:t xml:space="preserve"> </w:t>
      </w:r>
      <w:proofErr w:type="spellStart"/>
      <w:r>
        <w:rPr>
          <w:i/>
          <w:iCs/>
        </w:rPr>
        <w:t>praemittitur</w:t>
      </w:r>
      <w:proofErr w:type="spellEnd"/>
      <w:r>
        <w:t>) as a principle of knowledge (</w:t>
      </w:r>
      <w:r>
        <w:rPr>
          <w:i/>
          <w:iCs/>
        </w:rPr>
        <w:t>scientiae</w:t>
      </w:r>
      <w:r>
        <w:t>), nor is any property (</w:t>
      </w:r>
      <w:proofErr w:type="spellStart"/>
      <w:r>
        <w:rPr>
          <w:i/>
          <w:iCs/>
        </w:rPr>
        <w:t>passio</w:t>
      </w:r>
      <w:proofErr w:type="spellEnd"/>
      <w:r>
        <w:t xml:space="preserve">) of these demonstrated in general. Therefore, each of them is too common [to be a] subject. There is even no difference among these </w:t>
      </w:r>
      <w:r>
        <w:t>three, as is clear of the first and the second. We prove this of the third as well: for the subject here is either real being (</w:t>
      </w:r>
      <w:proofErr w:type="spellStart"/>
      <w:proofErr w:type="gramStart"/>
      <w:r>
        <w:rPr>
          <w:i/>
          <w:iCs/>
        </w:rPr>
        <w:t>ens</w:t>
      </w:r>
      <w:proofErr w:type="spellEnd"/>
      <w:proofErr w:type="gramEnd"/>
      <w:r>
        <w:rPr>
          <w:i/>
          <w:iCs/>
        </w:rPr>
        <w:t xml:space="preserve"> </w:t>
      </w:r>
      <w:proofErr w:type="spellStart"/>
      <w:r>
        <w:rPr>
          <w:i/>
          <w:iCs/>
        </w:rPr>
        <w:t>reale</w:t>
      </w:r>
      <w:proofErr w:type="spellEnd"/>
      <w:r>
        <w:t>) or</w:t>
      </w:r>
      <w:r>
        <w:rPr>
          <w:i/>
          <w:iCs/>
        </w:rPr>
        <w:t xml:space="preserve"> </w:t>
      </w:r>
      <w:r>
        <w:t>the being of reason (</w:t>
      </w:r>
      <w:proofErr w:type="spellStart"/>
      <w:r>
        <w:rPr>
          <w:i/>
          <w:iCs/>
        </w:rPr>
        <w:t>ens</w:t>
      </w:r>
      <w:proofErr w:type="spellEnd"/>
      <w:r>
        <w:rPr>
          <w:i/>
          <w:iCs/>
        </w:rPr>
        <w:t xml:space="preserve"> </w:t>
      </w:r>
      <w:proofErr w:type="spellStart"/>
      <w:r>
        <w:rPr>
          <w:i/>
          <w:iCs/>
        </w:rPr>
        <w:t>rationis</w:t>
      </w:r>
      <w:proofErr w:type="spellEnd"/>
      <w:r>
        <w:t xml:space="preserve">). If the first, then the science [itself] is real, </w:t>
      </w:r>
      <w:proofErr w:type="gramStart"/>
      <w:r>
        <w:t>which is false.</w:t>
      </w:r>
      <w:proofErr w:type="gramEnd"/>
      <w:r>
        <w:t xml:space="preserve"> If the second,</w:t>
      </w:r>
      <w:r>
        <w:t xml:space="preserve"> then it either treats the being of reason alone – that is, what is considered by the intellect – or the being of reason as </w:t>
      </w:r>
      <w:r>
        <w:rPr>
          <w:i/>
          <w:iCs/>
        </w:rPr>
        <w:t xml:space="preserve">caused </w:t>
      </w:r>
      <w:r>
        <w:t>by reason. If the first, then it is still would be a real [science]. For nothing is the subject of any science unless it is c</w:t>
      </w:r>
      <w:r>
        <w:t>onsidered by the intellect or reason, for only as such is it universal. Therefore, it must be granted that it is of being caused by reason, which is the same as the others.</w:t>
      </w:r>
    </w:p>
    <w:p w:rsidR="00D96895" w:rsidRDefault="007400FF">
      <w:pPr>
        <w:pStyle w:val="Standard"/>
        <w:numPr>
          <w:ilvl w:val="0"/>
          <w:numId w:val="1"/>
        </w:numPr>
        <w:jc w:val="both"/>
        <w:rPr>
          <w:b/>
          <w:bCs/>
        </w:rPr>
      </w:pPr>
      <w:r>
        <w:t>To the reason for the first</w:t>
      </w:r>
      <w:r>
        <w:rPr>
          <w:rStyle w:val="FootnoteReference"/>
        </w:rPr>
        <w:footnoteReference w:id="15"/>
      </w:r>
      <w:r>
        <w:t>, it is plain that the argument is in</w:t>
      </w:r>
      <w:r>
        <w:t xml:space="preserve">sufficient and commits the fallacy </w:t>
      </w:r>
      <w:r>
        <w:lastRenderedPageBreak/>
        <w:t>of the consequent, since the other two conditions of a subject are lacking.</w:t>
      </w:r>
    </w:p>
    <w:p w:rsidR="00D96895" w:rsidRDefault="007400FF">
      <w:pPr>
        <w:pStyle w:val="Standard"/>
        <w:numPr>
          <w:ilvl w:val="0"/>
          <w:numId w:val="1"/>
        </w:numPr>
        <w:jc w:val="both"/>
        <w:rPr>
          <w:b/>
          <w:bCs/>
        </w:rPr>
      </w:pPr>
      <w:r>
        <w:t>To the authority of Boethius</w:t>
      </w:r>
      <w:r>
        <w:rPr>
          <w:rStyle w:val="FootnoteReference"/>
        </w:rPr>
        <w:footnoteReference w:id="16"/>
      </w:r>
      <w:r>
        <w:t xml:space="preserve"> I say that logic is about these, but these are not its main (</w:t>
      </w:r>
      <w:proofErr w:type="spellStart"/>
      <w:r>
        <w:rPr>
          <w:i/>
          <w:iCs/>
        </w:rPr>
        <w:t>primum</w:t>
      </w:r>
      <w:proofErr w:type="spellEnd"/>
      <w:r>
        <w:t>) subject, but more common tha</w:t>
      </w:r>
      <w:r>
        <w:t>n the subject, just as we say that every science is of being since none is of non-being</w:t>
      </w:r>
      <w:r>
        <w:rPr>
          <w:rStyle w:val="FootnoteReference"/>
        </w:rPr>
        <w:footnoteReference w:id="17"/>
      </w:r>
      <w:r>
        <w:t>.</w:t>
      </w:r>
    </w:p>
    <w:p w:rsidR="00D96895" w:rsidRDefault="007400FF">
      <w:pPr>
        <w:pStyle w:val="Standard"/>
        <w:numPr>
          <w:ilvl w:val="0"/>
          <w:numId w:val="1"/>
        </w:numPr>
        <w:jc w:val="both"/>
        <w:rPr>
          <w:b/>
          <w:bCs/>
        </w:rPr>
      </w:pPr>
      <w:r>
        <w:t>To the reaso</w:t>
      </w:r>
      <w:r>
        <w:t>n for the third position</w:t>
      </w:r>
      <w:r>
        <w:rPr>
          <w:rStyle w:val="FootnoteReference"/>
        </w:rPr>
        <w:footnoteReference w:id="18"/>
      </w:r>
      <w:r>
        <w:t>, I say that they work on the same, not because the subject is the same, but because something is considered in logic whereby it is happens to work on all things. For many things are worked on in a science, but not</w:t>
      </w:r>
      <w:r>
        <w:t xml:space="preserve"> because each of those things is the primary (</w:t>
      </w:r>
      <w:proofErr w:type="spellStart"/>
      <w:r>
        <w:rPr>
          <w:i/>
          <w:iCs/>
        </w:rPr>
        <w:t>principale</w:t>
      </w:r>
      <w:proofErr w:type="spellEnd"/>
      <w:r>
        <w:t>) subject of the science.</w:t>
      </w:r>
    </w:p>
    <w:p w:rsidR="00D96895" w:rsidRDefault="007400FF">
      <w:pPr>
        <w:pStyle w:val="Standard"/>
        <w:numPr>
          <w:ilvl w:val="0"/>
          <w:numId w:val="1"/>
        </w:numPr>
        <w:jc w:val="both"/>
        <w:rPr>
          <w:b/>
          <w:bCs/>
        </w:rPr>
      </w:pPr>
      <w:r>
        <w:t>For the fourth [option]</w:t>
      </w:r>
      <w:r>
        <w:rPr>
          <w:rStyle w:val="FootnoteReference"/>
        </w:rPr>
        <w:footnoteReference w:id="19"/>
      </w:r>
      <w:r>
        <w:t>, sc. speech, the second and third conditions</w:t>
      </w:r>
      <w:r>
        <w:rPr>
          <w:rStyle w:val="FootnoteReference"/>
        </w:rPr>
        <w:footnoteReference w:id="20"/>
      </w:r>
      <w:r>
        <w:t xml:space="preserve"> are lacking. And when we accept that it belongs to the syllogism,</w:t>
      </w:r>
      <w:r>
        <w:t xml:space="preserve"> I say that it only equivocally [belongs] to it and the statement; and what is equivocal is not a subject, for neither is it definable; in the definition of the syllogism, it is taken [to mean] 'argument'.</w:t>
      </w:r>
    </w:p>
    <w:p w:rsidR="00D96895" w:rsidRDefault="007400FF">
      <w:pPr>
        <w:pStyle w:val="Standard"/>
        <w:numPr>
          <w:ilvl w:val="0"/>
          <w:numId w:val="1"/>
        </w:numPr>
        <w:jc w:val="both"/>
        <w:rPr>
          <w:b/>
          <w:bCs/>
        </w:rPr>
      </w:pPr>
      <w:r>
        <w:t>To the fifth [option]</w:t>
      </w:r>
      <w:r>
        <w:rPr>
          <w:rStyle w:val="FootnoteReference"/>
        </w:rPr>
        <w:footnoteReference w:id="21"/>
      </w:r>
      <w:r>
        <w:t xml:space="preserve">, sc. </w:t>
      </w:r>
      <w:r>
        <w:t>argumentation, the first</w:t>
      </w:r>
      <w:r>
        <w:rPr>
          <w:rStyle w:val="FootnoteReference"/>
        </w:rPr>
        <w:footnoteReference w:id="22"/>
      </w:r>
      <w:r>
        <w:t xml:space="preserve"> is lacking. For Aristotle never defines argumentation generally (</w:t>
      </w:r>
      <w:r>
        <w:rPr>
          <w:i/>
          <w:iCs/>
        </w:rPr>
        <w:t xml:space="preserve">in </w:t>
      </w:r>
      <w:proofErr w:type="spellStart"/>
      <w:r>
        <w:rPr>
          <w:i/>
          <w:iCs/>
        </w:rPr>
        <w:t>communi</w:t>
      </w:r>
      <w:proofErr w:type="spellEnd"/>
      <w:r>
        <w:t xml:space="preserve">), nor does he propose its definition as the principle of the science; rather, Boethius defines it in his </w:t>
      </w:r>
      <w:r>
        <w:rPr>
          <w:i/>
          <w:iCs/>
        </w:rPr>
        <w:t>Top</w:t>
      </w:r>
      <w:r>
        <w:rPr>
          <w:i/>
          <w:iCs/>
        </w:rPr>
        <w:t>ics</w:t>
      </w:r>
      <w:r>
        <w:rPr>
          <w:rStyle w:val="FootnoteReference"/>
          <w:i/>
          <w:iCs/>
        </w:rPr>
        <w:footnoteReference w:id="23"/>
      </w:r>
      <w:r>
        <w:t>. The second, as is clear from the general reason (</w:t>
      </w:r>
      <w:proofErr w:type="spellStart"/>
      <w:r>
        <w:rPr>
          <w:i/>
          <w:iCs/>
        </w:rPr>
        <w:t>secundum</w:t>
      </w:r>
      <w:proofErr w:type="spellEnd"/>
      <w:r>
        <w:rPr>
          <w:i/>
          <w:iCs/>
        </w:rPr>
        <w:t xml:space="preserve"> </w:t>
      </w:r>
      <w:proofErr w:type="spellStart"/>
      <w:r>
        <w:rPr>
          <w:i/>
          <w:iCs/>
        </w:rPr>
        <w:t>rationem</w:t>
      </w:r>
      <w:proofErr w:type="spellEnd"/>
      <w:r>
        <w:rPr>
          <w:i/>
          <w:iCs/>
        </w:rPr>
        <w:t xml:space="preserve"> </w:t>
      </w:r>
      <w:proofErr w:type="spellStart"/>
      <w:r>
        <w:rPr>
          <w:i/>
          <w:iCs/>
        </w:rPr>
        <w:t>generalem</w:t>
      </w:r>
      <w:proofErr w:type="spellEnd"/>
      <w:r>
        <w:t>), is a</w:t>
      </w:r>
      <w:r>
        <w:t xml:space="preserve">lso lacking. Next, I prove the third: for either it is equivocal, and then it is clear that there is not one science from </w:t>
      </w:r>
      <w:r>
        <w:rPr>
          <w:i/>
          <w:iCs/>
        </w:rPr>
        <w:t xml:space="preserve">its </w:t>
      </w:r>
      <w:r>
        <w:t>unity, for then neither what is knowable (</w:t>
      </w:r>
      <w:proofErr w:type="spellStart"/>
      <w:r>
        <w:rPr>
          <w:i/>
          <w:iCs/>
        </w:rPr>
        <w:t>scibile</w:t>
      </w:r>
      <w:proofErr w:type="spellEnd"/>
      <w:r>
        <w:t>) nor what is intelligible [in the science] is one; or it is analogous to what is</w:t>
      </w:r>
      <w:r>
        <w:t xml:space="preserve"> contained under it, and then there will not be one science from it, but from the unity of the primary [meaning] to which the others are subordinated (</w:t>
      </w:r>
      <w:proofErr w:type="spellStart"/>
      <w:r>
        <w:rPr>
          <w:i/>
          <w:iCs/>
        </w:rPr>
        <w:t>attribuuntur</w:t>
      </w:r>
      <w:proofErr w:type="spellEnd"/>
      <w:r>
        <w:rPr>
          <w:i/>
          <w:iCs/>
        </w:rPr>
        <w:t>)</w:t>
      </w:r>
      <w:r>
        <w:t>, – and this is 'syllogism' – just as the unity of metaphysics is from the unity of substanc</w:t>
      </w:r>
      <w:r>
        <w:t>e, to which all other beings are subordinated.</w:t>
      </w:r>
    </w:p>
    <w:p w:rsidR="00D96895" w:rsidRDefault="007400FF">
      <w:pPr>
        <w:pStyle w:val="Standard"/>
        <w:numPr>
          <w:ilvl w:val="0"/>
          <w:numId w:val="1"/>
        </w:numPr>
        <w:jc w:val="both"/>
        <w:rPr>
          <w:b/>
          <w:bCs/>
        </w:rPr>
      </w:pPr>
      <w:r>
        <w:rPr>
          <w:b/>
          <w:bCs/>
        </w:rPr>
        <w:t>We must say</w:t>
      </w:r>
      <w:r>
        <w:t>, then, that the first and proper subject [of logic] is the syllogism</w:t>
      </w:r>
      <w:r>
        <w:rPr>
          <w:rStyle w:val="FootnoteReference"/>
        </w:rPr>
        <w:footnoteReference w:id="24"/>
      </w:r>
      <w:r>
        <w:t>. It meets the first condition, since immediately after its parts are determined in the old logic (</w:t>
      </w:r>
      <w:r>
        <w:rPr>
          <w:i/>
          <w:iCs/>
        </w:rPr>
        <w:t xml:space="preserve">in </w:t>
      </w:r>
      <w:proofErr w:type="spellStart"/>
      <w:r>
        <w:rPr>
          <w:i/>
          <w:iCs/>
        </w:rPr>
        <w:t>veteri</w:t>
      </w:r>
      <w:proofErr w:type="spellEnd"/>
      <w:r>
        <w:rPr>
          <w:i/>
          <w:iCs/>
        </w:rPr>
        <w:t xml:space="preserve"> </w:t>
      </w:r>
      <w:proofErr w:type="spellStart"/>
      <w:r>
        <w:rPr>
          <w:i/>
          <w:iCs/>
        </w:rPr>
        <w:t>logica</w:t>
      </w:r>
      <w:proofErr w:type="spellEnd"/>
      <w:r>
        <w:t>)</w:t>
      </w:r>
      <w:proofErr w:type="gramStart"/>
      <w:r>
        <w:t>,</w:t>
      </w:r>
      <w:proofErr w:type="gramEnd"/>
      <w:r>
        <w:t xml:space="preserve"> [Aristotle] advances (</w:t>
      </w:r>
      <w:proofErr w:type="spellStart"/>
      <w:r>
        <w:rPr>
          <w:i/>
          <w:iCs/>
        </w:rPr>
        <w:t>praemittit</w:t>
      </w:r>
      <w:proofErr w:type="spellEnd"/>
      <w:r>
        <w:t xml:space="preserve">) its definition at the beginning of the </w:t>
      </w:r>
      <w:r>
        <w:rPr>
          <w:i/>
          <w:iCs/>
        </w:rPr>
        <w:t>Prior Analytics</w:t>
      </w:r>
      <w:r>
        <w:rPr>
          <w:rStyle w:val="FootnoteReference"/>
        </w:rPr>
        <w:footnoteReference w:id="25"/>
      </w:r>
      <w:r>
        <w:t>. And the second, since in the same [work] he demonstrates many properties (</w:t>
      </w:r>
      <w:proofErr w:type="spellStart"/>
      <w:r>
        <w:rPr>
          <w:i/>
          <w:iCs/>
        </w:rPr>
        <w:t>passiones</w:t>
      </w:r>
      <w:proofErr w:type="spellEnd"/>
      <w:r>
        <w:t>) of it through that definition – for instance, that mood and figure belong to it essentially (</w:t>
      </w:r>
      <w:r>
        <w:rPr>
          <w:i/>
          <w:iCs/>
        </w:rPr>
        <w:t xml:space="preserve">de </w:t>
      </w:r>
      <w:proofErr w:type="spellStart"/>
      <w:r>
        <w:rPr>
          <w:i/>
          <w:iCs/>
        </w:rPr>
        <w:t>inesse</w:t>
      </w:r>
      <w:proofErr w:type="spellEnd"/>
      <w:r>
        <w:t>)</w:t>
      </w:r>
      <w:r>
        <w:rPr>
          <w:i/>
          <w:iCs/>
        </w:rPr>
        <w:t>,</w:t>
      </w:r>
      <w:r>
        <w:t xml:space="preserve"> and in the chapter</w:t>
      </w:r>
      <w:r>
        <w:rPr>
          <w:rStyle w:val="FootnoteReference"/>
        </w:rPr>
        <w:footnoteReference w:id="26"/>
      </w:r>
      <w:r>
        <w:t xml:space="preserve"> beginning “Since therefore in these”, [he shows] that [every syllogism] has only three terms, from the fact that it must move to a conclusion (</w:t>
      </w:r>
      <w:r>
        <w:rPr>
          <w:i/>
          <w:iCs/>
        </w:rPr>
        <w:t xml:space="preserve">de necessitate </w:t>
      </w:r>
      <w:proofErr w:type="spellStart"/>
      <w:r>
        <w:rPr>
          <w:i/>
          <w:iCs/>
        </w:rPr>
        <w:t>accidere</w:t>
      </w:r>
      <w:proofErr w:type="spellEnd"/>
      <w:r>
        <w:rPr>
          <w:i/>
          <w:iCs/>
        </w:rPr>
        <w:t xml:space="preserve"> </w:t>
      </w:r>
      <w:proofErr w:type="spellStart"/>
      <w:r>
        <w:rPr>
          <w:i/>
          <w:iCs/>
        </w:rPr>
        <w:t>conclusioni</w:t>
      </w:r>
      <w:proofErr w:type="spellEnd"/>
      <w:r>
        <w:t xml:space="preserve">), </w:t>
      </w:r>
      <w:proofErr w:type="spellStart"/>
      <w:r>
        <w:t>etc</w:t>
      </w:r>
      <w:proofErr w:type="spellEnd"/>
      <w:r>
        <w:rPr>
          <w:rStyle w:val="FootnoteReference"/>
        </w:rPr>
        <w:footnoteReference w:id="27"/>
      </w:r>
      <w:r>
        <w:t>. And the third, since [Aristotle] determines its parts, sc. the simple (</w:t>
      </w:r>
      <w:proofErr w:type="spellStart"/>
      <w:r>
        <w:rPr>
          <w:i/>
          <w:iCs/>
        </w:rPr>
        <w:t>incomplexo</w:t>
      </w:r>
      <w:proofErr w:type="spellEnd"/>
      <w:r>
        <w:t xml:space="preserve">) and the statement and its integral and subjective </w:t>
      </w:r>
      <w:r>
        <w:t xml:space="preserve">parts, for the sake of it in the books of the </w:t>
      </w:r>
      <w:r>
        <w:rPr>
          <w:i/>
          <w:iCs/>
        </w:rPr>
        <w:t xml:space="preserve">Prior </w:t>
      </w:r>
      <w:r>
        <w:t xml:space="preserve">and </w:t>
      </w:r>
      <w:r>
        <w:rPr>
          <w:i/>
          <w:iCs/>
        </w:rPr>
        <w:t>Posterior Analytics</w:t>
      </w:r>
      <w:r>
        <w:t xml:space="preserve">; and [he treats of] the other kinds of argumentation because these are reduced to it as the imperfect [is] to the perfect; and of the sophistical </w:t>
      </w:r>
      <w:r>
        <w:lastRenderedPageBreak/>
        <w:t>syllogism, as its privation, since</w:t>
      </w:r>
      <w:r>
        <w:t xml:space="preserve"> it belongs to the same [science] to investigate [both] the condition (</w:t>
      </w:r>
      <w:r>
        <w:rPr>
          <w:i/>
          <w:iCs/>
        </w:rPr>
        <w:t>habitus</w:t>
      </w:r>
      <w:r>
        <w:t>) and the privation</w:t>
      </w:r>
      <w:r>
        <w:rPr>
          <w:rStyle w:val="FootnoteReference"/>
        </w:rPr>
        <w:footnoteReference w:id="28"/>
      </w:r>
      <w:r>
        <w:t>. And so it is plain that the divisions of logic are according to the divisions and attributes of [the syllogism].</w:t>
      </w:r>
    </w:p>
    <w:p w:rsidR="00D96895" w:rsidRDefault="007400FF">
      <w:pPr>
        <w:pStyle w:val="Standard"/>
        <w:numPr>
          <w:ilvl w:val="0"/>
          <w:numId w:val="1"/>
        </w:numPr>
        <w:jc w:val="both"/>
        <w:rPr>
          <w:b/>
          <w:bCs/>
        </w:rPr>
      </w:pPr>
      <w:r>
        <w:rPr>
          <w:b/>
          <w:bCs/>
        </w:rPr>
        <w:t>To the first</w:t>
      </w:r>
      <w:r>
        <w:t xml:space="preserve"> argument</w:t>
      </w:r>
      <w:r>
        <w:rPr>
          <w:rStyle w:val="FootnoteReference"/>
        </w:rPr>
        <w:footnoteReference w:id="29"/>
      </w:r>
      <w:r>
        <w:t>: I concede that the science is of the syllogism by a particular syllogis</w:t>
      </w:r>
      <w:r>
        <w:t>m.</w:t>
      </w:r>
    </w:p>
    <w:p w:rsidR="00D96895" w:rsidRDefault="007400FF">
      <w:pPr>
        <w:pStyle w:val="Standard"/>
        <w:numPr>
          <w:ilvl w:val="0"/>
          <w:numId w:val="1"/>
        </w:numPr>
        <w:jc w:val="both"/>
        <w:rPr>
          <w:b/>
          <w:bCs/>
        </w:rPr>
      </w:pPr>
      <w:r>
        <w:t>To the first</w:t>
      </w:r>
      <w:r>
        <w:rPr>
          <w:rStyle w:val="FootnoteReference"/>
        </w:rPr>
        <w:footnoteReference w:id="30"/>
      </w:r>
      <w:r>
        <w:t xml:space="preserve"> [reason] against this</w:t>
      </w:r>
      <w:r>
        <w:rPr>
          <w:rStyle w:val="FootnoteReference"/>
        </w:rPr>
        <w:footnoteReference w:id="31"/>
      </w:r>
      <w:r>
        <w:t>, I say that that syllogism is known as regards the truth of its premises, since these propositions are immediate; and with respect to the conclusion's followin</w:t>
      </w:r>
      <w:r>
        <w:t xml:space="preserve">g from the premises, since this is manifest </w:t>
      </w:r>
      <w:r>
        <w:rPr>
          <w:i/>
          <w:iCs/>
        </w:rPr>
        <w:t>per se</w:t>
      </w:r>
      <w:r>
        <w:t>, since “a syllogism is perfect which has need of nothing [else] to show itself necessary</w:t>
      </w:r>
      <w:r>
        <w:rPr>
          <w:rStyle w:val="FootnoteReference"/>
        </w:rPr>
        <w:footnoteReference w:id="32"/>
      </w:r>
      <w:r>
        <w:t>”, i.e. for it to be clear that the conclusion follows from the premises. But this syllogism by w</w:t>
      </w:r>
      <w:r>
        <w:t>hich the knowledge (</w:t>
      </w:r>
      <w:proofErr w:type="spellStart"/>
      <w:r>
        <w:rPr>
          <w:i/>
          <w:iCs/>
        </w:rPr>
        <w:t>scientia</w:t>
      </w:r>
      <w:proofErr w:type="spellEnd"/>
      <w:r>
        <w:t>) [is acquired] is unknown as a consequence (</w:t>
      </w:r>
      <w:proofErr w:type="spellStart"/>
      <w:r>
        <w:rPr>
          <w:i/>
          <w:iCs/>
        </w:rPr>
        <w:t>quoad</w:t>
      </w:r>
      <w:proofErr w:type="spellEnd"/>
      <w:r>
        <w:rPr>
          <w:i/>
          <w:iCs/>
        </w:rPr>
        <w:t xml:space="preserve"> </w:t>
      </w:r>
      <w:proofErr w:type="spellStart"/>
      <w:r>
        <w:rPr>
          <w:i/>
          <w:iCs/>
        </w:rPr>
        <w:t>passionem</w:t>
      </w:r>
      <w:proofErr w:type="spellEnd"/>
      <w:r>
        <w:t>) demonstrated of the syllogism commonly, so as such</w:t>
      </w:r>
      <w:r>
        <w:rPr>
          <w:rStyle w:val="FootnoteReference"/>
        </w:rPr>
        <w:footnoteReference w:id="33"/>
      </w:r>
      <w:r>
        <w:t xml:space="preserve"> the syllogism generally (</w:t>
      </w:r>
      <w:r>
        <w:rPr>
          <w:i/>
          <w:iCs/>
        </w:rPr>
        <w:t xml:space="preserve">in </w:t>
      </w:r>
      <w:proofErr w:type="spellStart"/>
      <w:r>
        <w:rPr>
          <w:i/>
          <w:iCs/>
        </w:rPr>
        <w:t>communi</w:t>
      </w:r>
      <w:proofErr w:type="spellEnd"/>
      <w:r>
        <w:t>) is unknown. For knowledge (</w:t>
      </w:r>
      <w:proofErr w:type="spellStart"/>
      <w:r>
        <w:rPr>
          <w:i/>
          <w:iCs/>
        </w:rPr>
        <w:t>cogn</w:t>
      </w:r>
      <w:r>
        <w:rPr>
          <w:i/>
          <w:iCs/>
        </w:rPr>
        <w:t>itio</w:t>
      </w:r>
      <w:proofErr w:type="spellEnd"/>
      <w:r>
        <w:t>) of the syllogism generally is not sought except as a consequence (</w:t>
      </w:r>
      <w:proofErr w:type="spellStart"/>
      <w:r>
        <w:rPr>
          <w:i/>
          <w:iCs/>
        </w:rPr>
        <w:t>quoad</w:t>
      </w:r>
      <w:proofErr w:type="spellEnd"/>
      <w:r>
        <w:rPr>
          <w:i/>
          <w:iCs/>
        </w:rPr>
        <w:t xml:space="preserve"> </w:t>
      </w:r>
      <w:proofErr w:type="spellStart"/>
      <w:r>
        <w:rPr>
          <w:i/>
          <w:iCs/>
        </w:rPr>
        <w:t>passionem</w:t>
      </w:r>
      <w:proofErr w:type="spellEnd"/>
      <w:r>
        <w:t>), and so it is not [the case] that the same is both known and unknown in the same [respect] (</w:t>
      </w:r>
      <w:proofErr w:type="spellStart"/>
      <w:r>
        <w:rPr>
          <w:i/>
          <w:iCs/>
        </w:rPr>
        <w:t>secundum</w:t>
      </w:r>
      <w:proofErr w:type="spellEnd"/>
      <w:r>
        <w:rPr>
          <w:i/>
          <w:iCs/>
        </w:rPr>
        <w:t xml:space="preserve"> idem</w:t>
      </w:r>
      <w:r>
        <w:t>).</w:t>
      </w:r>
    </w:p>
    <w:p w:rsidR="00D96895" w:rsidRDefault="007400FF">
      <w:pPr>
        <w:pStyle w:val="Standard"/>
        <w:numPr>
          <w:ilvl w:val="0"/>
          <w:numId w:val="1"/>
        </w:numPr>
        <w:jc w:val="both"/>
        <w:rPr>
          <w:b/>
          <w:bCs/>
        </w:rPr>
      </w:pPr>
      <w:r>
        <w:t>To the other</w:t>
      </w:r>
      <w:r>
        <w:rPr>
          <w:rStyle w:val="FootnoteReference"/>
        </w:rPr>
        <w:footnoteReference w:id="34"/>
      </w:r>
      <w:r>
        <w:t xml:space="preserve"> [reason] against this, I sa</w:t>
      </w:r>
      <w:r>
        <w:t>y that the knowledge (</w:t>
      </w:r>
      <w:proofErr w:type="spellStart"/>
      <w:r>
        <w:rPr>
          <w:i/>
          <w:iCs/>
        </w:rPr>
        <w:t>scientia</w:t>
      </w:r>
      <w:proofErr w:type="spellEnd"/>
      <w:r>
        <w:t>)</w:t>
      </w:r>
      <w:r>
        <w:rPr>
          <w:i/>
          <w:iCs/>
        </w:rPr>
        <w:t xml:space="preserve"> </w:t>
      </w:r>
      <w:r>
        <w:t xml:space="preserve">is of the syllogism by which the knowledge is [had]. And when it is asked, 'through </w:t>
      </w:r>
      <w:r>
        <w:rPr>
          <w:i/>
          <w:iCs/>
        </w:rPr>
        <w:t xml:space="preserve">which </w:t>
      </w:r>
      <w:r>
        <w:t>syllogism?', I say through itself, for inasmuch as any property (</w:t>
      </w:r>
      <w:proofErr w:type="spellStart"/>
      <w:r>
        <w:rPr>
          <w:i/>
          <w:iCs/>
        </w:rPr>
        <w:t>passio</w:t>
      </w:r>
      <w:proofErr w:type="spellEnd"/>
      <w:r>
        <w:t xml:space="preserve">) is shown by it [to hold] of every syllogism, it is shown [to </w:t>
      </w:r>
      <w:r>
        <w:t>hold] for itself inasmuch as it is a syllogism; nor does knowledge (</w:t>
      </w:r>
      <w:proofErr w:type="spellStart"/>
      <w:r>
        <w:rPr>
          <w:i/>
          <w:iCs/>
        </w:rPr>
        <w:t>scientia</w:t>
      </w:r>
      <w:proofErr w:type="spellEnd"/>
      <w:r>
        <w:t>) of the particular occur otherwise”</w:t>
      </w:r>
    </w:p>
    <w:p w:rsidR="00D96895" w:rsidRDefault="007400FF">
      <w:pPr>
        <w:pStyle w:val="Standard"/>
        <w:numPr>
          <w:ilvl w:val="0"/>
          <w:numId w:val="1"/>
        </w:numPr>
        <w:jc w:val="both"/>
        <w:rPr>
          <w:b/>
          <w:bCs/>
        </w:rPr>
      </w:pPr>
      <w:r>
        <w:t>To the second main argument</w:t>
      </w:r>
      <w:r>
        <w:rPr>
          <w:rStyle w:val="FootnoteReference"/>
        </w:rPr>
        <w:footnoteReference w:id="35"/>
      </w:r>
      <w:r>
        <w:t>, I say that the syllogism, with respect to the properties (</w:t>
      </w:r>
      <w:proofErr w:type="spellStart"/>
      <w:r>
        <w:rPr>
          <w:i/>
          <w:iCs/>
        </w:rPr>
        <w:t>proprietates</w:t>
      </w:r>
      <w:proofErr w:type="spellEnd"/>
      <w:r>
        <w:t>) formally consequent upon</w:t>
      </w:r>
      <w:r>
        <w:t xml:space="preserve"> it, is the subject of the books of the </w:t>
      </w:r>
      <w:r>
        <w:rPr>
          <w:i/>
          <w:iCs/>
        </w:rPr>
        <w:t>Prior Analytics</w:t>
      </w:r>
      <w:r>
        <w:t xml:space="preserve">. But it is the subject of the whole of logic with respect to </w:t>
      </w:r>
      <w:r>
        <w:rPr>
          <w:i/>
          <w:iCs/>
        </w:rPr>
        <w:t xml:space="preserve">all </w:t>
      </w:r>
      <w:r>
        <w:t>of its properties (</w:t>
      </w:r>
      <w:proofErr w:type="spellStart"/>
      <w:r>
        <w:rPr>
          <w:i/>
          <w:iCs/>
        </w:rPr>
        <w:t>passiones</w:t>
      </w:r>
      <w:proofErr w:type="spellEnd"/>
      <w:r>
        <w:t>), whether intrinsic (</w:t>
      </w:r>
      <w:r>
        <w:rPr>
          <w:i/>
          <w:iCs/>
        </w:rPr>
        <w:t>in se</w:t>
      </w:r>
      <w:r>
        <w:t xml:space="preserve">) or in its integral or subjective </w:t>
      </w:r>
      <w:proofErr w:type="gramStart"/>
      <w:r>
        <w:t>parts,</w:t>
      </w:r>
      <w:proofErr w:type="gramEnd"/>
      <w:r>
        <w:t xml:space="preserve"> or in what is reducible to it. Nor oug</w:t>
      </w:r>
      <w:r>
        <w:t>ht we call all things considered in a science [its] subject, but [only] the being (</w:t>
      </w:r>
      <w:proofErr w:type="spellStart"/>
      <w:r>
        <w:rPr>
          <w:i/>
          <w:iCs/>
        </w:rPr>
        <w:t>esse</w:t>
      </w:r>
      <w:proofErr w:type="spellEnd"/>
      <w:r>
        <w:t>) for the sake of which the others are considered; as occurs in the subject of natural science – which is the mobile body – where motion and nature, which are not mobile</w:t>
      </w:r>
      <w:r>
        <w:t xml:space="preserve"> bodies, are still discussed. – Or we can say that the major is false in sciences where the subject of the whole requires many things to be defined (</w:t>
      </w:r>
      <w:proofErr w:type="spellStart"/>
      <w:r>
        <w:rPr>
          <w:i/>
          <w:iCs/>
        </w:rPr>
        <w:t>determinari</w:t>
      </w:r>
      <w:proofErr w:type="spellEnd"/>
      <w:r>
        <w:t>) in order to be understood (</w:t>
      </w:r>
      <w:r>
        <w:rPr>
          <w:i/>
          <w:iCs/>
        </w:rPr>
        <w:t xml:space="preserve">propter </w:t>
      </w:r>
      <w:proofErr w:type="spellStart"/>
      <w:r>
        <w:rPr>
          <w:i/>
          <w:iCs/>
        </w:rPr>
        <w:t>eius</w:t>
      </w:r>
      <w:proofErr w:type="spellEnd"/>
      <w:r>
        <w:rPr>
          <w:i/>
          <w:iCs/>
        </w:rPr>
        <w:t xml:space="preserve"> </w:t>
      </w:r>
      <w:proofErr w:type="spellStart"/>
      <w:r>
        <w:rPr>
          <w:i/>
          <w:iCs/>
        </w:rPr>
        <w:t>cognitionem</w:t>
      </w:r>
      <w:proofErr w:type="spellEnd"/>
      <w:r>
        <w:t xml:space="preserve">). For then it will be necessary to define </w:t>
      </w:r>
      <w:r>
        <w:t xml:space="preserve">those many things in the science, and with this, the subject itself. And this is so, as is plain in the book of the </w:t>
      </w:r>
      <w:r>
        <w:rPr>
          <w:i/>
          <w:iCs/>
        </w:rPr>
        <w:t>Physics</w:t>
      </w:r>
      <w:r>
        <w:t>, with respect to the whole of natural science</w:t>
      </w:r>
      <w:r>
        <w:rPr>
          <w:rStyle w:val="FootnoteReference"/>
        </w:rPr>
        <w:footnoteReference w:id="36"/>
      </w:r>
      <w:r>
        <w:t>.</w:t>
      </w:r>
    </w:p>
    <w:p w:rsidR="00D96895" w:rsidRDefault="007400FF">
      <w:pPr>
        <w:pStyle w:val="Standard"/>
        <w:numPr>
          <w:ilvl w:val="0"/>
          <w:numId w:val="1"/>
        </w:numPr>
        <w:jc w:val="both"/>
        <w:rPr>
          <w:b/>
          <w:bCs/>
        </w:rPr>
      </w:pPr>
      <w:r>
        <w:t>To the third</w:t>
      </w:r>
      <w:r>
        <w:rPr>
          <w:rStyle w:val="FootnoteReference"/>
        </w:rPr>
        <w:footnoteReference w:id="37"/>
      </w:r>
      <w:r>
        <w:t xml:space="preserve"> I say that that proposition of Aristotle “there is nothing in the intellect” etc., is true of what is primarily intelligible, which is the quiddity of a material being, but not of all things that are intellig</w:t>
      </w:r>
      <w:r>
        <w:t xml:space="preserve">ible </w:t>
      </w:r>
      <w:r>
        <w:rPr>
          <w:i/>
          <w:iCs/>
        </w:rPr>
        <w:t>per se</w:t>
      </w:r>
      <w:r>
        <w:t xml:space="preserve">; for many things are understood </w:t>
      </w:r>
      <w:r>
        <w:rPr>
          <w:i/>
          <w:iCs/>
        </w:rPr>
        <w:t>per se</w:t>
      </w:r>
      <w:r>
        <w:t>, not because they form an image in sense, but by the reflection of the intellect; and so it is with the syllogism. “For '</w:t>
      </w:r>
      <w:r>
        <w:rPr>
          <w:i/>
          <w:iCs/>
        </w:rPr>
        <w:t>per se</w:t>
      </w:r>
      <w:r>
        <w:t xml:space="preserve">' </w:t>
      </w:r>
      <w:r>
        <w:lastRenderedPageBreak/>
        <w:t>extends farther than 'primarily' (</w:t>
      </w:r>
      <w:r>
        <w:rPr>
          <w:i/>
          <w:iCs/>
        </w:rPr>
        <w:t>primo</w:t>
      </w:r>
      <w:r>
        <w:t xml:space="preserve">),” as it says in </w:t>
      </w:r>
      <w:r>
        <w:rPr>
          <w:i/>
          <w:iCs/>
        </w:rPr>
        <w:t xml:space="preserve">Prior Analytics </w:t>
      </w:r>
      <w:r>
        <w:t>I</w:t>
      </w:r>
      <w:r>
        <w:rPr>
          <w:rStyle w:val="FootnoteReference"/>
        </w:rPr>
        <w:footnoteReference w:id="38"/>
      </w:r>
      <w:r>
        <w:t xml:space="preserve">. For the isosceles has three [angles] </w:t>
      </w:r>
      <w:r>
        <w:rPr>
          <w:i/>
          <w:iCs/>
        </w:rPr>
        <w:t>per se</w:t>
      </w:r>
      <w:r>
        <w:t>, but not primarily.</w:t>
      </w:r>
      <w:bookmarkStart w:id="0" w:name="_GoBack"/>
      <w:bookmarkEnd w:id="0"/>
    </w:p>
    <w:sectPr w:rsidR="00D9689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400FF">
      <w:r>
        <w:separator/>
      </w:r>
    </w:p>
  </w:endnote>
  <w:endnote w:type="continuationSeparator" w:id="0">
    <w:p w:rsidR="00000000" w:rsidRDefault="0074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400FF">
      <w:r>
        <w:rPr>
          <w:color w:val="000000"/>
        </w:rPr>
        <w:separator/>
      </w:r>
    </w:p>
  </w:footnote>
  <w:footnote w:type="continuationSeparator" w:id="0">
    <w:p w:rsidR="00000000" w:rsidRDefault="007400FF">
      <w:r>
        <w:continuationSeparator/>
      </w:r>
    </w:p>
  </w:footnote>
  <w:footnote w:id="1">
    <w:p w:rsidR="00D96895" w:rsidRDefault="007400FF">
      <w:pPr>
        <w:pStyle w:val="Footnote"/>
        <w:jc w:val="both"/>
        <w:rPr>
          <w:b/>
          <w:bCs/>
        </w:rPr>
      </w:pPr>
      <w:r>
        <w:rPr>
          <w:rStyle w:val="FootnoteReference"/>
        </w:rPr>
        <w:footnoteRef/>
      </w:r>
      <w:proofErr w:type="spellStart"/>
      <w:proofErr w:type="gramStart"/>
      <w:r>
        <w:rPr>
          <w:b/>
          <w:bCs/>
        </w:rPr>
        <w:t>Aristot</w:t>
      </w:r>
      <w:proofErr w:type="spellEnd"/>
      <w:r>
        <w:rPr>
          <w:b/>
          <w:bCs/>
        </w:rPr>
        <w:t>.,</w:t>
      </w:r>
      <w:proofErr w:type="gramEnd"/>
      <w:r>
        <w:rPr>
          <w:b/>
          <w:bCs/>
        </w:rPr>
        <w:t xml:space="preserve"> </w:t>
      </w:r>
      <w:proofErr w:type="spellStart"/>
      <w:r>
        <w:rPr>
          <w:i/>
          <w:iCs/>
        </w:rPr>
        <w:t>Physica</w:t>
      </w:r>
      <w:proofErr w:type="spellEnd"/>
      <w:r>
        <w:rPr>
          <w:i/>
          <w:iCs/>
        </w:rPr>
        <w:t xml:space="preserve"> </w:t>
      </w:r>
      <w:r>
        <w:t>I t. 35 (AL VII</w:t>
      </w:r>
      <w:r>
        <w:rPr>
          <w:vertAlign w:val="superscript"/>
        </w:rPr>
        <w:t>1</w:t>
      </w:r>
      <w:r>
        <w:t xml:space="preserve"> 19-20; </w:t>
      </w:r>
      <w:r>
        <w:rPr>
          <w:b/>
          <w:bCs/>
        </w:rPr>
        <w:t>A</w:t>
      </w:r>
      <w:r>
        <w:t xml:space="preserve"> c. 4 187</w:t>
      </w:r>
      <w:r>
        <w:rPr>
          <w:i/>
          <w:iCs/>
        </w:rPr>
        <w:t>b</w:t>
      </w:r>
      <w:r>
        <w:t xml:space="preserve"> 7-8): “So if the infinite, insofar as it is infinite, is unknown...”; </w:t>
      </w:r>
      <w:proofErr w:type="spellStart"/>
      <w:r>
        <w:rPr>
          <w:b/>
          <w:bCs/>
        </w:rPr>
        <w:t>Aristot</w:t>
      </w:r>
      <w:proofErr w:type="spellEnd"/>
      <w:r>
        <w:rPr>
          <w:b/>
          <w:bCs/>
        </w:rPr>
        <w:t>.,</w:t>
      </w:r>
      <w:r>
        <w:rPr>
          <w:i/>
          <w:iCs/>
        </w:rPr>
        <w:t xml:space="preserve"> Anal. </w:t>
      </w:r>
      <w:proofErr w:type="gramStart"/>
      <w:r>
        <w:rPr>
          <w:i/>
          <w:iCs/>
        </w:rPr>
        <w:t>post</w:t>
      </w:r>
      <w:proofErr w:type="gramEnd"/>
      <w:r>
        <w:rPr>
          <w:i/>
          <w:iCs/>
        </w:rPr>
        <w:t xml:space="preserve">. </w:t>
      </w:r>
      <w:r>
        <w:t>I c. 24 t. 167</w:t>
      </w:r>
      <w:r>
        <w:t xml:space="preserve"> (AL IV</w:t>
      </w:r>
      <w:r>
        <w:rPr>
          <w:vertAlign w:val="superscript"/>
        </w:rPr>
        <w:t>2</w:t>
      </w:r>
      <w:r>
        <w:t xml:space="preserve"> 147-48; </w:t>
      </w:r>
      <w:r>
        <w:rPr>
          <w:b/>
          <w:bCs/>
        </w:rPr>
        <w:t>A</w:t>
      </w:r>
      <w:r>
        <w:t xml:space="preserve"> c. 24, 86</w:t>
      </w:r>
      <w:r>
        <w:rPr>
          <w:i/>
          <w:iCs/>
        </w:rPr>
        <w:t>a</w:t>
      </w:r>
      <w:r>
        <w:t xml:space="preserve"> 5-6): “Now there are [things that are] unknowable insofar as they are infinite; but knowable insofar as they are limited”.</w:t>
      </w:r>
    </w:p>
  </w:footnote>
  <w:footnote w:id="2">
    <w:p w:rsidR="00D96895" w:rsidRDefault="007400FF">
      <w:pPr>
        <w:pStyle w:val="Footnote"/>
        <w:jc w:val="both"/>
        <w:rPr>
          <w:b/>
          <w:bCs/>
        </w:rPr>
      </w:pPr>
      <w:r>
        <w:rPr>
          <w:rStyle w:val="FootnoteReference"/>
        </w:rPr>
        <w:footnoteRef/>
      </w:r>
      <w:r>
        <w:rPr>
          <w:b/>
          <w:bCs/>
        </w:rPr>
        <w:t>Thomas</w:t>
      </w:r>
      <w:r>
        <w:t xml:space="preserve">, </w:t>
      </w:r>
      <w:r>
        <w:rPr>
          <w:i/>
          <w:iCs/>
        </w:rPr>
        <w:t xml:space="preserve">Expos. </w:t>
      </w:r>
      <w:proofErr w:type="spellStart"/>
      <w:proofErr w:type="gramStart"/>
      <w:r>
        <w:rPr>
          <w:i/>
          <w:iCs/>
        </w:rPr>
        <w:t>libri</w:t>
      </w:r>
      <w:proofErr w:type="spellEnd"/>
      <w:proofErr w:type="gramEnd"/>
      <w:r>
        <w:rPr>
          <w:i/>
          <w:iCs/>
        </w:rPr>
        <w:t xml:space="preserve"> Post</w:t>
      </w:r>
      <w:r>
        <w:t xml:space="preserve">. </w:t>
      </w:r>
      <w:proofErr w:type="gramStart"/>
      <w:r>
        <w:t xml:space="preserve">I </w:t>
      </w:r>
      <w:proofErr w:type="spellStart"/>
      <w:r>
        <w:t>prooem</w:t>
      </w:r>
      <w:proofErr w:type="spellEnd"/>
      <w:r>
        <w:t>.</w:t>
      </w:r>
      <w:proofErr w:type="gramEnd"/>
      <w:r>
        <w:t xml:space="preserve"> (I</w:t>
      </w:r>
      <w:r>
        <w:rPr>
          <w:vertAlign w:val="superscript"/>
        </w:rPr>
        <w:t>2</w:t>
      </w:r>
      <w:r>
        <w:t xml:space="preserve"> 6): “The certainty of a judgment possessed through a resolution is either from the form of the syllogism alone – and the book</w:t>
      </w:r>
      <w:r>
        <w:rPr>
          <w:i/>
          <w:iCs/>
        </w:rPr>
        <w:t xml:space="preserve"> </w:t>
      </w:r>
      <w:r>
        <w:t xml:space="preserve">of the </w:t>
      </w:r>
      <w:r>
        <w:rPr>
          <w:i/>
          <w:iCs/>
        </w:rPr>
        <w:t>Prior Analytics</w:t>
      </w:r>
      <w:r>
        <w:t>,</w:t>
      </w:r>
      <w:r>
        <w:t xml:space="preserve"> which treats of the syllogism as such, is ordered toward this...</w:t>
      </w:r>
      <w:proofErr w:type="gramStart"/>
      <w:r>
        <w:t>”.</w:t>
      </w:r>
      <w:proofErr w:type="gramEnd"/>
    </w:p>
  </w:footnote>
  <w:footnote w:id="3">
    <w:p w:rsidR="00D96895" w:rsidRDefault="007400FF">
      <w:pPr>
        <w:pStyle w:val="Footnote"/>
        <w:jc w:val="both"/>
        <w:rPr>
          <w:i/>
          <w:iCs/>
        </w:rPr>
      </w:pPr>
      <w:r>
        <w:rPr>
          <w:rStyle w:val="FootnoteReference"/>
        </w:rPr>
        <w:footnoteRef/>
      </w:r>
      <w:proofErr w:type="spellStart"/>
      <w:proofErr w:type="gramStart"/>
      <w:r>
        <w:rPr>
          <w:b/>
          <w:bCs/>
        </w:rPr>
        <w:t>Aristot</w:t>
      </w:r>
      <w:proofErr w:type="spellEnd"/>
      <w:r>
        <w:rPr>
          <w:b/>
          <w:bCs/>
        </w:rPr>
        <w:t>.,</w:t>
      </w:r>
      <w:proofErr w:type="gramEnd"/>
      <w:r>
        <w:rPr>
          <w:b/>
          <w:bCs/>
        </w:rPr>
        <w:t xml:space="preserve"> </w:t>
      </w:r>
      <w:r>
        <w:rPr>
          <w:i/>
          <w:iCs/>
        </w:rPr>
        <w:t xml:space="preserve">De </w:t>
      </w:r>
      <w:proofErr w:type="spellStart"/>
      <w:r>
        <w:rPr>
          <w:i/>
          <w:iCs/>
        </w:rPr>
        <w:t>sensu</w:t>
      </w:r>
      <w:proofErr w:type="spellEnd"/>
      <w:r>
        <w:rPr>
          <w:i/>
          <w:iCs/>
        </w:rPr>
        <w:t xml:space="preserve"> et </w:t>
      </w:r>
      <w:proofErr w:type="spellStart"/>
      <w:r>
        <w:rPr>
          <w:i/>
          <w:iCs/>
        </w:rPr>
        <w:t>sensato</w:t>
      </w:r>
      <w:proofErr w:type="spellEnd"/>
      <w:r>
        <w:t xml:space="preserve"> c. 6 (c. 6, 445</w:t>
      </w:r>
      <w:r>
        <w:rPr>
          <w:i/>
          <w:iCs/>
        </w:rPr>
        <w:t>b</w:t>
      </w:r>
      <w:r>
        <w:t xml:space="preserve"> 16-17); </w:t>
      </w:r>
      <w:proofErr w:type="spellStart"/>
      <w:r>
        <w:rPr>
          <w:i/>
          <w:iCs/>
        </w:rPr>
        <w:t>Auctoritates</w:t>
      </w:r>
      <w:proofErr w:type="spellEnd"/>
      <w:r>
        <w:rPr>
          <w:i/>
          <w:iCs/>
        </w:rPr>
        <w:t xml:space="preserve"> </w:t>
      </w:r>
      <w:proofErr w:type="spellStart"/>
      <w:r>
        <w:rPr>
          <w:i/>
          <w:iCs/>
        </w:rPr>
        <w:t>Aristotelis</w:t>
      </w:r>
      <w:proofErr w:type="spellEnd"/>
      <w:r>
        <w:t xml:space="preserve"> (ed. J. </w:t>
      </w:r>
      <w:proofErr w:type="spellStart"/>
      <w:r>
        <w:t>Hamesse</w:t>
      </w:r>
      <w:proofErr w:type="spellEnd"/>
      <w:r>
        <w:t xml:space="preserve"> p. 197): “Our intellect understands nothing apart from sense”.</w:t>
      </w:r>
    </w:p>
  </w:footnote>
  <w:footnote w:id="4">
    <w:p w:rsidR="00D96895" w:rsidRDefault="007400FF">
      <w:pPr>
        <w:pStyle w:val="Footnote"/>
        <w:jc w:val="both"/>
      </w:pPr>
      <w:r>
        <w:rPr>
          <w:rStyle w:val="FootnoteReference"/>
        </w:rPr>
        <w:footnoteRef/>
      </w:r>
      <w:r>
        <w:t xml:space="preserve">Cf. </w:t>
      </w:r>
      <w:proofErr w:type="spellStart"/>
      <w:r>
        <w:rPr>
          <w:b/>
          <w:bCs/>
        </w:rPr>
        <w:t>Robertus</w:t>
      </w:r>
      <w:proofErr w:type="spellEnd"/>
      <w:r>
        <w:rPr>
          <w:b/>
          <w:bCs/>
        </w:rPr>
        <w:t xml:space="preserve"> </w:t>
      </w:r>
      <w:proofErr w:type="spellStart"/>
      <w:r>
        <w:rPr>
          <w:b/>
          <w:bCs/>
        </w:rPr>
        <w:t>Kilwardby</w:t>
      </w:r>
      <w:proofErr w:type="spellEnd"/>
      <w:r>
        <w:rPr>
          <w:b/>
          <w:bCs/>
        </w:rPr>
        <w:t>,</w:t>
      </w:r>
      <w:r>
        <w:t xml:space="preserve"> </w:t>
      </w:r>
      <w:r>
        <w:rPr>
          <w:i/>
          <w:iCs/>
        </w:rPr>
        <w:t xml:space="preserve">De </w:t>
      </w:r>
      <w:proofErr w:type="spellStart"/>
      <w:r>
        <w:rPr>
          <w:i/>
          <w:iCs/>
        </w:rPr>
        <w:t>ortu</w:t>
      </w:r>
      <w:proofErr w:type="spellEnd"/>
      <w:r>
        <w:rPr>
          <w:i/>
          <w:iCs/>
        </w:rPr>
        <w:t xml:space="preserve"> </w:t>
      </w:r>
      <w:proofErr w:type="spellStart"/>
      <w:r>
        <w:rPr>
          <w:i/>
          <w:iCs/>
        </w:rPr>
        <w:t>scientiarum</w:t>
      </w:r>
      <w:proofErr w:type="spellEnd"/>
      <w:r>
        <w:t xml:space="preserve"> c. 49 (ed. G. Judy p. 160-61): “And so a discourse inquiring after an unknown</w:t>
      </w:r>
      <w:r>
        <w:t xml:space="preserve"> truth on a general question is a syllogism and its idea (</w:t>
      </w:r>
      <w:r>
        <w:rPr>
          <w:i/>
          <w:iCs/>
        </w:rPr>
        <w:t>species</w:t>
      </w:r>
      <w:r>
        <w:t>), which logic treats of”.</w:t>
      </w:r>
    </w:p>
  </w:footnote>
  <w:footnote w:id="5">
    <w:p w:rsidR="00D96895" w:rsidRDefault="007400FF">
      <w:pPr>
        <w:pStyle w:val="Footnote"/>
        <w:jc w:val="both"/>
      </w:pPr>
      <w:r>
        <w:rPr>
          <w:rStyle w:val="FootnoteReference"/>
        </w:rPr>
        <w:footnoteRef/>
      </w:r>
      <w:r>
        <w:t xml:space="preserve">Cf. </w:t>
      </w:r>
      <w:r>
        <w:rPr>
          <w:b/>
          <w:bCs/>
        </w:rPr>
        <w:t xml:space="preserve">Thomas, </w:t>
      </w:r>
      <w:r>
        <w:rPr>
          <w:i/>
          <w:iCs/>
        </w:rPr>
        <w:t xml:space="preserve">Expos. </w:t>
      </w:r>
      <w:proofErr w:type="spellStart"/>
      <w:proofErr w:type="gramStart"/>
      <w:r>
        <w:rPr>
          <w:i/>
          <w:iCs/>
        </w:rPr>
        <w:t>libri</w:t>
      </w:r>
      <w:proofErr w:type="spellEnd"/>
      <w:proofErr w:type="gramEnd"/>
      <w:r>
        <w:rPr>
          <w:i/>
          <w:iCs/>
        </w:rPr>
        <w:t xml:space="preserve"> Post </w:t>
      </w:r>
      <w:r>
        <w:t xml:space="preserve">I </w:t>
      </w:r>
      <w:proofErr w:type="spellStart"/>
      <w:r>
        <w:t>prooem</w:t>
      </w:r>
      <w:proofErr w:type="spellEnd"/>
      <w:r>
        <w:t xml:space="preserve"> (I</w:t>
      </w:r>
      <w:r>
        <w:rPr>
          <w:vertAlign w:val="superscript"/>
        </w:rPr>
        <w:t>2</w:t>
      </w:r>
      <w:r>
        <w:t xml:space="preserve"> 4-5): “We ought, then, to admit three parts of logic according to the diversity of the acts of reason. Now </w:t>
      </w:r>
      <w:r>
        <w:t xml:space="preserve">there are three acts of reason. The first two of these belong to reason on account of its being a kind of understanding. For one act of understanding is </w:t>
      </w:r>
      <w:r>
        <w:rPr>
          <w:i/>
          <w:iCs/>
        </w:rPr>
        <w:t>understanding indivisibles</w:t>
      </w:r>
      <w:r>
        <w:t xml:space="preserve">, or </w:t>
      </w:r>
      <w:r>
        <w:rPr>
          <w:i/>
          <w:iCs/>
        </w:rPr>
        <w:t xml:space="preserve">simples </w:t>
      </w:r>
      <w:r>
        <w:t>(</w:t>
      </w:r>
      <w:proofErr w:type="spellStart"/>
      <w:r>
        <w:rPr>
          <w:i/>
          <w:iCs/>
        </w:rPr>
        <w:t>incomplexorum</w:t>
      </w:r>
      <w:proofErr w:type="spellEnd"/>
      <w:r>
        <w:t>), from which we conceive what a thing is; and thi</w:t>
      </w:r>
      <w:r>
        <w:t xml:space="preserve">s operation is called by some </w:t>
      </w:r>
      <w:r>
        <w:rPr>
          <w:i/>
          <w:iCs/>
        </w:rPr>
        <w:t xml:space="preserve">informing the understanding </w:t>
      </w:r>
      <w:r>
        <w:t>(</w:t>
      </w:r>
      <w:proofErr w:type="spellStart"/>
      <w:r>
        <w:rPr>
          <w:i/>
          <w:iCs/>
        </w:rPr>
        <w:t>informatio</w:t>
      </w:r>
      <w:proofErr w:type="spellEnd"/>
      <w:r>
        <w:rPr>
          <w:i/>
          <w:iCs/>
        </w:rPr>
        <w:t xml:space="preserve"> </w:t>
      </w:r>
      <w:proofErr w:type="spellStart"/>
      <w:r>
        <w:rPr>
          <w:i/>
          <w:iCs/>
        </w:rPr>
        <w:t>intellectus</w:t>
      </w:r>
      <w:proofErr w:type="spellEnd"/>
      <w:r>
        <w:t xml:space="preserve">), or </w:t>
      </w:r>
      <w:r>
        <w:rPr>
          <w:i/>
          <w:iCs/>
        </w:rPr>
        <w:t xml:space="preserve">imagining through understanding </w:t>
      </w:r>
      <w:r>
        <w:t>(</w:t>
      </w:r>
      <w:proofErr w:type="spellStart"/>
      <w:r>
        <w:rPr>
          <w:i/>
          <w:iCs/>
        </w:rPr>
        <w:t>imaginatio</w:t>
      </w:r>
      <w:proofErr w:type="spellEnd"/>
      <w:r>
        <w:rPr>
          <w:i/>
          <w:iCs/>
        </w:rPr>
        <w:t xml:space="preserve"> per </w:t>
      </w:r>
      <w:proofErr w:type="spellStart"/>
      <w:r>
        <w:rPr>
          <w:i/>
          <w:iCs/>
        </w:rPr>
        <w:t>intellectum</w:t>
      </w:r>
      <w:proofErr w:type="spellEnd"/>
      <w:r>
        <w:t xml:space="preserve">); and the teaching that is ordered toward this operation of reason is given by Aristotle in the book of </w:t>
      </w:r>
      <w:r>
        <w:rPr>
          <w:i/>
          <w:iCs/>
        </w:rPr>
        <w:t>Categories</w:t>
      </w:r>
      <w:r>
        <w:t xml:space="preserve">. While the second operation of understanding is </w:t>
      </w:r>
      <w:r>
        <w:rPr>
          <w:i/>
          <w:iCs/>
        </w:rPr>
        <w:t xml:space="preserve">joining or separating [things] understood </w:t>
      </w:r>
      <w:r>
        <w:t>(</w:t>
      </w:r>
      <w:proofErr w:type="spellStart"/>
      <w:r>
        <w:rPr>
          <w:i/>
          <w:iCs/>
        </w:rPr>
        <w:t>compositio</w:t>
      </w:r>
      <w:proofErr w:type="spellEnd"/>
      <w:r>
        <w:rPr>
          <w:i/>
          <w:iCs/>
        </w:rPr>
        <w:t xml:space="preserve"> </w:t>
      </w:r>
      <w:proofErr w:type="spellStart"/>
      <w:r>
        <w:rPr>
          <w:i/>
          <w:iCs/>
        </w:rPr>
        <w:t>vel</w:t>
      </w:r>
      <w:proofErr w:type="spellEnd"/>
      <w:r>
        <w:rPr>
          <w:i/>
          <w:iCs/>
        </w:rPr>
        <w:t xml:space="preserve"> </w:t>
      </w:r>
      <w:proofErr w:type="spellStart"/>
      <w:r>
        <w:rPr>
          <w:i/>
          <w:iCs/>
        </w:rPr>
        <w:t>divisio</w:t>
      </w:r>
      <w:proofErr w:type="spellEnd"/>
      <w:r>
        <w:rPr>
          <w:i/>
          <w:iCs/>
        </w:rPr>
        <w:t xml:space="preserve"> </w:t>
      </w:r>
      <w:proofErr w:type="spellStart"/>
      <w:r>
        <w:rPr>
          <w:i/>
          <w:iCs/>
        </w:rPr>
        <w:t>intellectuum</w:t>
      </w:r>
      <w:proofErr w:type="spellEnd"/>
      <w:r>
        <w:t xml:space="preserve">), in which lie truth and falsity; and the teaching dedicated to this act of reason is given by Aristotle in the book </w:t>
      </w:r>
      <w:proofErr w:type="gramStart"/>
      <w:r>
        <w:rPr>
          <w:i/>
          <w:iCs/>
        </w:rPr>
        <w:t>O</w:t>
      </w:r>
      <w:r>
        <w:rPr>
          <w:i/>
          <w:iCs/>
        </w:rPr>
        <w:t>n</w:t>
      </w:r>
      <w:proofErr w:type="gramEnd"/>
      <w:r>
        <w:rPr>
          <w:i/>
          <w:iCs/>
        </w:rPr>
        <w:t xml:space="preserve"> interpretation</w:t>
      </w:r>
      <w:r>
        <w:t>. While the third act of reason is what is proper to reason, sc. moving discursively from one into another, in order to come to recognize what is unknown through what is known; and the remaining books of logic are dedicated to this act”.</w:t>
      </w:r>
    </w:p>
  </w:footnote>
  <w:footnote w:id="6">
    <w:p w:rsidR="00D96895" w:rsidRDefault="007400FF">
      <w:pPr>
        <w:pStyle w:val="Footnote"/>
        <w:jc w:val="both"/>
      </w:pPr>
      <w:r>
        <w:rPr>
          <w:rStyle w:val="FootnoteReference"/>
        </w:rPr>
        <w:footnoteRef/>
      </w:r>
      <w:r>
        <w:t xml:space="preserve">Cf. </w:t>
      </w:r>
      <w:proofErr w:type="spellStart"/>
      <w:r>
        <w:rPr>
          <w:b/>
          <w:bCs/>
        </w:rPr>
        <w:t>Aristot</w:t>
      </w:r>
      <w:proofErr w:type="spellEnd"/>
      <w:r>
        <w:rPr>
          <w:b/>
          <w:bCs/>
        </w:rPr>
        <w:t>.,</w:t>
      </w:r>
      <w:r>
        <w:t xml:space="preserve"> </w:t>
      </w:r>
      <w:r>
        <w:rPr>
          <w:i/>
          <w:iCs/>
        </w:rPr>
        <w:t xml:space="preserve">De an. </w:t>
      </w:r>
      <w:r>
        <w:t>III t. 21 (</w:t>
      </w:r>
      <w:r>
        <w:rPr>
          <w:b/>
          <w:bCs/>
        </w:rPr>
        <w:t>Γ</w:t>
      </w:r>
      <w:r>
        <w:t xml:space="preserve"> c. 6, 430</w:t>
      </w:r>
      <w:r>
        <w:rPr>
          <w:i/>
          <w:iCs/>
        </w:rPr>
        <w:t>a</w:t>
      </w:r>
      <w:r>
        <w:t xml:space="preserve"> 26-28); </w:t>
      </w:r>
      <w:proofErr w:type="spellStart"/>
      <w:r>
        <w:rPr>
          <w:i/>
          <w:iCs/>
        </w:rPr>
        <w:t>Auctoritates</w:t>
      </w:r>
      <w:proofErr w:type="spellEnd"/>
      <w:r>
        <w:rPr>
          <w:i/>
          <w:iCs/>
        </w:rPr>
        <w:t xml:space="preserve"> </w:t>
      </w:r>
      <w:proofErr w:type="spellStart"/>
      <w:r>
        <w:rPr>
          <w:i/>
          <w:iCs/>
        </w:rPr>
        <w:t>Aristotelis</w:t>
      </w:r>
      <w:proofErr w:type="spellEnd"/>
      <w:r>
        <w:t xml:space="preserve"> (ed. J. </w:t>
      </w:r>
      <w:proofErr w:type="spellStart"/>
      <w:r>
        <w:t>Hamesse</w:t>
      </w:r>
      <w:proofErr w:type="spellEnd"/>
      <w:r>
        <w:t xml:space="preserve"> p. 187): “The operation of the intellect is twofold: one [part of] which is called the apprehension of simple terms (</w:t>
      </w:r>
      <w:proofErr w:type="spellStart"/>
      <w:r>
        <w:rPr>
          <w:i/>
          <w:iCs/>
        </w:rPr>
        <w:t>simplicium</w:t>
      </w:r>
      <w:proofErr w:type="spellEnd"/>
      <w:r>
        <w:rPr>
          <w:i/>
          <w:iCs/>
        </w:rPr>
        <w:t xml:space="preserve"> </w:t>
      </w:r>
      <w:proofErr w:type="spellStart"/>
      <w:r>
        <w:rPr>
          <w:i/>
          <w:iCs/>
        </w:rPr>
        <w:t>terminorum</w:t>
      </w:r>
      <w:proofErr w:type="spellEnd"/>
      <w:r>
        <w:rPr>
          <w:i/>
          <w:iCs/>
        </w:rPr>
        <w:t xml:space="preserve"> </w:t>
      </w:r>
      <w:proofErr w:type="spellStart"/>
      <w:r>
        <w:rPr>
          <w:i/>
          <w:iCs/>
        </w:rPr>
        <w:t>apprehensio</w:t>
      </w:r>
      <w:proofErr w:type="spellEnd"/>
      <w:r>
        <w:t>); the other, the joining and dividing of simple apprehended terms (</w:t>
      </w:r>
      <w:proofErr w:type="spellStart"/>
      <w:r>
        <w:rPr>
          <w:i/>
          <w:iCs/>
        </w:rPr>
        <w:t>simplicium</w:t>
      </w:r>
      <w:proofErr w:type="spellEnd"/>
      <w:r>
        <w:rPr>
          <w:i/>
          <w:iCs/>
        </w:rPr>
        <w:t xml:space="preserve"> </w:t>
      </w:r>
      <w:proofErr w:type="spellStart"/>
      <w:r>
        <w:rPr>
          <w:i/>
          <w:iCs/>
        </w:rPr>
        <w:t>terminorum</w:t>
      </w:r>
      <w:proofErr w:type="spellEnd"/>
      <w:r>
        <w:rPr>
          <w:i/>
          <w:iCs/>
        </w:rPr>
        <w:t xml:space="preserve"> </w:t>
      </w:r>
      <w:proofErr w:type="spellStart"/>
      <w:r>
        <w:rPr>
          <w:i/>
          <w:iCs/>
        </w:rPr>
        <w:t>apprehensorum</w:t>
      </w:r>
      <w:proofErr w:type="spellEnd"/>
      <w:r>
        <w:rPr>
          <w:i/>
          <w:iCs/>
        </w:rPr>
        <w:t xml:space="preserve"> </w:t>
      </w:r>
      <w:proofErr w:type="spellStart"/>
      <w:r>
        <w:rPr>
          <w:i/>
          <w:iCs/>
        </w:rPr>
        <w:t>c</w:t>
      </w:r>
      <w:r>
        <w:rPr>
          <w:i/>
          <w:iCs/>
        </w:rPr>
        <w:t>ompositio</w:t>
      </w:r>
      <w:proofErr w:type="spellEnd"/>
      <w:r>
        <w:rPr>
          <w:i/>
          <w:iCs/>
        </w:rPr>
        <w:t xml:space="preserve"> et </w:t>
      </w:r>
      <w:proofErr w:type="spellStart"/>
      <w:r>
        <w:rPr>
          <w:i/>
          <w:iCs/>
        </w:rPr>
        <w:t>divisio</w:t>
      </w:r>
      <w:proofErr w:type="spellEnd"/>
      <w:r>
        <w:t>): under which a third is comprehended, sc. abstract reasoning (</w:t>
      </w:r>
      <w:proofErr w:type="spellStart"/>
      <w:r>
        <w:rPr>
          <w:i/>
          <w:iCs/>
        </w:rPr>
        <w:t>ratiocinatio</w:t>
      </w:r>
      <w:proofErr w:type="spellEnd"/>
      <w:r>
        <w:rPr>
          <w:i/>
          <w:iCs/>
        </w:rPr>
        <w:t xml:space="preserve"> </w:t>
      </w:r>
      <w:proofErr w:type="spellStart"/>
      <w:r>
        <w:rPr>
          <w:i/>
          <w:iCs/>
        </w:rPr>
        <w:t>remota</w:t>
      </w:r>
      <w:proofErr w:type="spellEnd"/>
      <w:r>
        <w:t>)”.</w:t>
      </w:r>
    </w:p>
  </w:footnote>
  <w:footnote w:id="7">
    <w:p w:rsidR="00D96895" w:rsidRDefault="007400FF">
      <w:pPr>
        <w:pStyle w:val="Footnote"/>
        <w:jc w:val="both"/>
      </w:pPr>
      <w:r>
        <w:rPr>
          <w:rStyle w:val="FootnoteReference"/>
        </w:rPr>
        <w:footnoteRef/>
      </w:r>
      <w:r>
        <w:t xml:space="preserve">More likely </w:t>
      </w:r>
      <w:proofErr w:type="spellStart"/>
      <w:r>
        <w:rPr>
          <w:b/>
          <w:bCs/>
        </w:rPr>
        <w:t>Avicena</w:t>
      </w:r>
      <w:proofErr w:type="spellEnd"/>
      <w:r>
        <w:rPr>
          <w:b/>
          <w:bCs/>
        </w:rPr>
        <w:t xml:space="preserve">, </w:t>
      </w:r>
      <w:r>
        <w:rPr>
          <w:i/>
          <w:iCs/>
        </w:rPr>
        <w:t xml:space="preserve">Metaph. </w:t>
      </w:r>
      <w:proofErr w:type="gramStart"/>
      <w:r>
        <w:t>I c. 2 (</w:t>
      </w:r>
      <w:proofErr w:type="spellStart"/>
      <w:r>
        <w:t>AviL</w:t>
      </w:r>
      <w:proofErr w:type="spellEnd"/>
      <w:r>
        <w:t xml:space="preserve"> 10).</w:t>
      </w:r>
      <w:proofErr w:type="gramEnd"/>
    </w:p>
  </w:footnote>
  <w:footnote w:id="8">
    <w:p w:rsidR="00D96895" w:rsidRDefault="007400FF">
      <w:pPr>
        <w:pStyle w:val="Footnote"/>
        <w:jc w:val="both"/>
        <w:rPr>
          <w:b/>
          <w:bCs/>
        </w:rPr>
      </w:pPr>
      <w:r>
        <w:rPr>
          <w:rStyle w:val="FootnoteReference"/>
        </w:rPr>
        <w:footnoteRef/>
      </w:r>
      <w:proofErr w:type="spellStart"/>
      <w:proofErr w:type="gramStart"/>
      <w:r>
        <w:rPr>
          <w:b/>
          <w:bCs/>
        </w:rPr>
        <w:t>Aristot</w:t>
      </w:r>
      <w:proofErr w:type="spellEnd"/>
      <w:r>
        <w:rPr>
          <w:b/>
          <w:bCs/>
        </w:rPr>
        <w:t>.,</w:t>
      </w:r>
      <w:proofErr w:type="gramEnd"/>
      <w:r>
        <w:rPr>
          <w:b/>
          <w:bCs/>
        </w:rPr>
        <w:t xml:space="preserve"> </w:t>
      </w:r>
      <w:r>
        <w:rPr>
          <w:i/>
          <w:iCs/>
        </w:rPr>
        <w:t>Metaph</w:t>
      </w:r>
      <w:r>
        <w:t>. IV t. 5 (AL XXV</w:t>
      </w:r>
      <w:r>
        <w:rPr>
          <w:vertAlign w:val="superscript"/>
        </w:rPr>
        <w:t>2</w:t>
      </w:r>
      <w:r>
        <w:t xml:space="preserve"> 63; </w:t>
      </w:r>
      <w:r>
        <w:rPr>
          <w:b/>
          <w:bCs/>
        </w:rPr>
        <w:t xml:space="preserve">Γ </w:t>
      </w:r>
      <w:r>
        <w:t>c. 2, 1004</w:t>
      </w:r>
      <w:r>
        <w:rPr>
          <w:i/>
          <w:iCs/>
        </w:rPr>
        <w:t>b</w:t>
      </w:r>
      <w:r>
        <w:t xml:space="preserve"> 22-23): “For sophistry and dialectics are concerned with the same genus as philosophy is”; the Arabic-Latin translation has: “...for the logician and sophist work on what it befits the philosopher to work on”.</w:t>
      </w:r>
    </w:p>
  </w:footnote>
  <w:footnote w:id="9">
    <w:p w:rsidR="00D96895" w:rsidRDefault="007400FF">
      <w:pPr>
        <w:pStyle w:val="Footnote"/>
        <w:jc w:val="both"/>
        <w:rPr>
          <w:b/>
          <w:bCs/>
        </w:rPr>
      </w:pPr>
      <w:r>
        <w:rPr>
          <w:rStyle w:val="FootnoteReference"/>
        </w:rPr>
        <w:footnoteRef/>
      </w:r>
      <w:proofErr w:type="gramStart"/>
      <w:r>
        <w:rPr>
          <w:b/>
          <w:bCs/>
        </w:rPr>
        <w:t xml:space="preserve">Boethius, </w:t>
      </w:r>
      <w:r>
        <w:rPr>
          <w:i/>
          <w:iCs/>
        </w:rPr>
        <w:t xml:space="preserve">In </w:t>
      </w:r>
      <w:proofErr w:type="spellStart"/>
      <w:r>
        <w:rPr>
          <w:i/>
          <w:iCs/>
        </w:rPr>
        <w:t>Categ</w:t>
      </w:r>
      <w:proofErr w:type="spellEnd"/>
      <w:r>
        <w:rPr>
          <w:i/>
          <w:iCs/>
        </w:rPr>
        <w:t>.</w:t>
      </w:r>
      <w:proofErr w:type="gramEnd"/>
      <w:r>
        <w:rPr>
          <w:i/>
          <w:iCs/>
        </w:rPr>
        <w:t xml:space="preserve"> </w:t>
      </w:r>
      <w:proofErr w:type="spellStart"/>
      <w:proofErr w:type="gramStart"/>
      <w:r>
        <w:rPr>
          <w:i/>
          <w:iCs/>
        </w:rPr>
        <w:t>Aristot</w:t>
      </w:r>
      <w:proofErr w:type="spellEnd"/>
      <w:r>
        <w:rPr>
          <w:i/>
          <w:iCs/>
        </w:rPr>
        <w:t>.</w:t>
      </w:r>
      <w:proofErr w:type="gramEnd"/>
      <w:r>
        <w:rPr>
          <w:i/>
          <w:iCs/>
        </w:rPr>
        <w:t xml:space="preserve"> </w:t>
      </w:r>
      <w:r>
        <w:t>I (PL 64, 161CD): “Therefore, since every logical art is on spee</w:t>
      </w:r>
      <w:r>
        <w:t>ch (</w:t>
      </w:r>
      <w:proofErr w:type="spellStart"/>
      <w:r>
        <w:rPr>
          <w:i/>
          <w:iCs/>
        </w:rPr>
        <w:t>oratione</w:t>
      </w:r>
      <w:proofErr w:type="spellEnd"/>
      <w:r>
        <w:t>), and this work principally treats of speaking (</w:t>
      </w:r>
      <w:proofErr w:type="spellStart"/>
      <w:r>
        <w:rPr>
          <w:i/>
          <w:iCs/>
        </w:rPr>
        <w:t>vocibus</w:t>
      </w:r>
      <w:proofErr w:type="spellEnd"/>
      <w:r>
        <w:t>)...”</w:t>
      </w:r>
    </w:p>
  </w:footnote>
  <w:footnote w:id="10">
    <w:p w:rsidR="00D96895" w:rsidRDefault="007400FF">
      <w:pPr>
        <w:pStyle w:val="Footnote"/>
        <w:jc w:val="both"/>
        <w:rPr>
          <w:b/>
          <w:bCs/>
        </w:rPr>
      </w:pPr>
      <w:r>
        <w:rPr>
          <w:rStyle w:val="FootnoteReference"/>
        </w:rPr>
        <w:footnoteRef/>
      </w:r>
      <w:proofErr w:type="spellStart"/>
      <w:proofErr w:type="gramStart"/>
      <w:r>
        <w:rPr>
          <w:b/>
          <w:bCs/>
        </w:rPr>
        <w:t>A</w:t>
      </w:r>
      <w:r>
        <w:rPr>
          <w:b/>
          <w:bCs/>
        </w:rPr>
        <w:t>ristot</w:t>
      </w:r>
      <w:proofErr w:type="spellEnd"/>
      <w:r>
        <w:rPr>
          <w:b/>
          <w:bCs/>
        </w:rPr>
        <w:t>.,</w:t>
      </w:r>
      <w:proofErr w:type="gramEnd"/>
      <w:r>
        <w:rPr>
          <w:b/>
          <w:bCs/>
        </w:rPr>
        <w:t xml:space="preserve"> </w:t>
      </w:r>
      <w:r>
        <w:rPr>
          <w:i/>
          <w:iCs/>
        </w:rPr>
        <w:t xml:space="preserve">Anal. </w:t>
      </w:r>
      <w:proofErr w:type="spellStart"/>
      <w:r>
        <w:rPr>
          <w:i/>
          <w:iCs/>
        </w:rPr>
        <w:t>Priora</w:t>
      </w:r>
      <w:proofErr w:type="spellEnd"/>
      <w:r>
        <w:t xml:space="preserve"> I c. 1 (AL III</w:t>
      </w:r>
      <w:r>
        <w:rPr>
          <w:vertAlign w:val="superscript"/>
        </w:rPr>
        <w:t>1</w:t>
      </w:r>
      <w:r>
        <w:t xml:space="preserve"> 6; </w:t>
      </w:r>
      <w:proofErr w:type="gramStart"/>
      <w:r>
        <w:rPr>
          <w:b/>
          <w:bCs/>
        </w:rPr>
        <w:t>A</w:t>
      </w:r>
      <w:proofErr w:type="gramEnd"/>
      <w:r>
        <w:t xml:space="preserve"> c. 1, 24</w:t>
      </w:r>
      <w:r>
        <w:rPr>
          <w:i/>
          <w:iCs/>
        </w:rPr>
        <w:t>b</w:t>
      </w:r>
      <w:r>
        <w:t xml:space="preserve"> 18-20): “Now a syllogism is a speech in which, certain things being posited, something else follows of necessity from what is posited because these things are so”.</w:t>
      </w:r>
    </w:p>
  </w:footnote>
  <w:footnote w:id="11">
    <w:p w:rsidR="00D96895" w:rsidRDefault="007400FF">
      <w:pPr>
        <w:pStyle w:val="Footnote"/>
        <w:jc w:val="both"/>
        <w:rPr>
          <w:b/>
          <w:bCs/>
        </w:rPr>
      </w:pPr>
      <w:r>
        <w:rPr>
          <w:rStyle w:val="FootnoteReference"/>
        </w:rPr>
        <w:footnoteRef/>
      </w:r>
      <w:proofErr w:type="spellStart"/>
      <w:r>
        <w:rPr>
          <w:b/>
          <w:bCs/>
        </w:rPr>
        <w:t>Albertus</w:t>
      </w:r>
      <w:proofErr w:type="spellEnd"/>
      <w:r>
        <w:rPr>
          <w:b/>
          <w:bCs/>
        </w:rPr>
        <w:t xml:space="preserve"> M., </w:t>
      </w:r>
      <w:r>
        <w:rPr>
          <w:i/>
          <w:iCs/>
        </w:rPr>
        <w:t xml:space="preserve">Liber de </w:t>
      </w:r>
      <w:proofErr w:type="spellStart"/>
      <w:r>
        <w:rPr>
          <w:i/>
          <w:iCs/>
        </w:rPr>
        <w:t>praedicabilibus</w:t>
      </w:r>
      <w:proofErr w:type="spellEnd"/>
      <w:r>
        <w:rPr>
          <w:i/>
          <w:iCs/>
        </w:rPr>
        <w:t xml:space="preserve"> </w:t>
      </w:r>
      <w:r>
        <w:t xml:space="preserve">I c. 4 (ed. </w:t>
      </w:r>
      <w:proofErr w:type="spellStart"/>
      <w:r>
        <w:t>Borgnet</w:t>
      </w:r>
      <w:proofErr w:type="spellEnd"/>
      <w:r>
        <w:t xml:space="preserve"> I 8</w:t>
      </w:r>
      <w:r>
        <w:rPr>
          <w:i/>
          <w:iCs/>
        </w:rPr>
        <w:t>a</w:t>
      </w:r>
      <w:r>
        <w:t>): “Argumentation is, then, the proper subject of teaching logic (</w:t>
      </w:r>
      <w:proofErr w:type="spellStart"/>
      <w:r>
        <w:rPr>
          <w:i/>
          <w:iCs/>
        </w:rPr>
        <w:t>logicae</w:t>
      </w:r>
      <w:proofErr w:type="spellEnd"/>
      <w:r>
        <w:rPr>
          <w:i/>
          <w:iCs/>
        </w:rPr>
        <w:t xml:space="preserve"> </w:t>
      </w:r>
      <w:proofErr w:type="spellStart"/>
      <w:r>
        <w:rPr>
          <w:i/>
          <w:iCs/>
        </w:rPr>
        <w:t>docentis</w:t>
      </w:r>
      <w:proofErr w:type="spellEnd"/>
      <w:r>
        <w:t xml:space="preserve">). And this is the judgment of three philosophers, sc. Avicenna, </w:t>
      </w:r>
      <w:proofErr w:type="spellStart"/>
      <w:r>
        <w:t>Alfarabi</w:t>
      </w:r>
      <w:proofErr w:type="spellEnd"/>
      <w:r>
        <w:t xml:space="preserve">, and </w:t>
      </w:r>
      <w:proofErr w:type="spellStart"/>
      <w:r>
        <w:t>Algazel</w:t>
      </w:r>
      <w:proofErr w:type="spellEnd"/>
      <w:r>
        <w:t>”.</w:t>
      </w:r>
    </w:p>
  </w:footnote>
  <w:footnote w:id="12">
    <w:p w:rsidR="00D96895" w:rsidRDefault="007400FF">
      <w:pPr>
        <w:pStyle w:val="Footnote"/>
        <w:jc w:val="both"/>
        <w:rPr>
          <w:b/>
          <w:bCs/>
        </w:rPr>
      </w:pPr>
      <w:r>
        <w:rPr>
          <w:rStyle w:val="FootnoteReference"/>
        </w:rPr>
        <w:footnoteRef/>
      </w:r>
      <w:proofErr w:type="spellStart"/>
      <w:r>
        <w:rPr>
          <w:b/>
          <w:bCs/>
        </w:rPr>
        <w:t>Albertus</w:t>
      </w:r>
      <w:proofErr w:type="spellEnd"/>
      <w:r>
        <w:rPr>
          <w:b/>
          <w:bCs/>
        </w:rPr>
        <w:t xml:space="preserve"> M., </w:t>
      </w:r>
      <w:r>
        <w:rPr>
          <w:i/>
          <w:iCs/>
        </w:rPr>
        <w:t xml:space="preserve">Liber de </w:t>
      </w:r>
      <w:proofErr w:type="spellStart"/>
      <w:r>
        <w:rPr>
          <w:i/>
          <w:iCs/>
        </w:rPr>
        <w:t>praedicabilibus</w:t>
      </w:r>
      <w:proofErr w:type="spellEnd"/>
      <w:r>
        <w:rPr>
          <w:i/>
          <w:iCs/>
        </w:rPr>
        <w:t xml:space="preserve"> </w:t>
      </w:r>
      <w:r>
        <w:t xml:space="preserve">I c. 4 (ed. </w:t>
      </w:r>
      <w:proofErr w:type="spellStart"/>
      <w:r>
        <w:t>Borgnet</w:t>
      </w:r>
      <w:proofErr w:type="spellEnd"/>
      <w:r>
        <w:t xml:space="preserve"> I 8</w:t>
      </w:r>
      <w:r>
        <w:rPr>
          <w:i/>
          <w:iCs/>
        </w:rPr>
        <w:t>b</w:t>
      </w:r>
      <w:r>
        <w:t>): “The whole of logic, then, has argumentation or syllogism as its subject.</w:t>
      </w:r>
      <w:proofErr w:type="gramStart"/>
      <w:r>
        <w:t>”;</w:t>
      </w:r>
      <w:proofErr w:type="gramEnd"/>
      <w:r>
        <w:t xml:space="preserve"> </w:t>
      </w:r>
      <w:r>
        <w:rPr>
          <w:b/>
          <w:bCs/>
        </w:rPr>
        <w:t xml:space="preserve">Thomas, </w:t>
      </w:r>
      <w:r>
        <w:rPr>
          <w:i/>
          <w:iCs/>
        </w:rPr>
        <w:t xml:space="preserve">Expos. </w:t>
      </w:r>
      <w:proofErr w:type="spellStart"/>
      <w:proofErr w:type="gramStart"/>
      <w:r>
        <w:rPr>
          <w:i/>
          <w:iCs/>
        </w:rPr>
        <w:t>libri</w:t>
      </w:r>
      <w:proofErr w:type="spellEnd"/>
      <w:proofErr w:type="gramEnd"/>
      <w:r>
        <w:rPr>
          <w:i/>
          <w:iCs/>
        </w:rPr>
        <w:t xml:space="preserve"> Post</w:t>
      </w:r>
      <w:r>
        <w:t>. I lect. 20 (I</w:t>
      </w:r>
      <w:r>
        <w:rPr>
          <w:vertAlign w:val="superscript"/>
        </w:rPr>
        <w:t>2</w:t>
      </w:r>
      <w:r>
        <w:t xml:space="preserve"> 75): For logic consider</w:t>
      </w:r>
      <w:r>
        <w:t>s the syllogism and the statement and the category, or whatever else of this sort, as subjects”.</w:t>
      </w:r>
    </w:p>
  </w:footnote>
  <w:footnote w:id="13">
    <w:p w:rsidR="00D96895" w:rsidRDefault="007400FF">
      <w:pPr>
        <w:pStyle w:val="Footnote"/>
        <w:jc w:val="both"/>
        <w:rPr>
          <w:b/>
          <w:bCs/>
        </w:rPr>
      </w:pPr>
      <w:r>
        <w:rPr>
          <w:rStyle w:val="FootnoteReference"/>
        </w:rPr>
        <w:footnoteRef/>
      </w:r>
      <w:proofErr w:type="spellStart"/>
      <w:proofErr w:type="gramStart"/>
      <w:r>
        <w:rPr>
          <w:b/>
          <w:bCs/>
        </w:rPr>
        <w:t>Aristot</w:t>
      </w:r>
      <w:proofErr w:type="spellEnd"/>
      <w:r>
        <w:rPr>
          <w:b/>
          <w:bCs/>
        </w:rPr>
        <w:t>.,</w:t>
      </w:r>
      <w:proofErr w:type="gramEnd"/>
      <w:r>
        <w:rPr>
          <w:b/>
          <w:bCs/>
        </w:rPr>
        <w:t xml:space="preserve"> </w:t>
      </w:r>
      <w:r>
        <w:rPr>
          <w:i/>
          <w:iCs/>
        </w:rPr>
        <w:t xml:space="preserve">Anal. </w:t>
      </w:r>
      <w:proofErr w:type="gramStart"/>
      <w:r>
        <w:rPr>
          <w:i/>
          <w:iCs/>
        </w:rPr>
        <w:t>post</w:t>
      </w:r>
      <w:proofErr w:type="gramEnd"/>
      <w:r>
        <w:rPr>
          <w:i/>
          <w:iCs/>
        </w:rPr>
        <w:t xml:space="preserve">. </w:t>
      </w:r>
      <w:r>
        <w:t>I c. 1 (AL IV</w:t>
      </w:r>
      <w:r>
        <w:rPr>
          <w:vertAlign w:val="superscript"/>
        </w:rPr>
        <w:t>1</w:t>
      </w:r>
      <w:r>
        <w:t xml:space="preserve"> 5; </w:t>
      </w:r>
      <w:r>
        <w:rPr>
          <w:b/>
          <w:bCs/>
        </w:rPr>
        <w:t>A</w:t>
      </w:r>
      <w:r>
        <w:t xml:space="preserve"> c. 1,</w:t>
      </w:r>
      <w:r>
        <w:t xml:space="preserve"> 71</w:t>
      </w:r>
      <w:r>
        <w:rPr>
          <w:i/>
          <w:iCs/>
        </w:rPr>
        <w:t>a</w:t>
      </w:r>
      <w:r>
        <w:t xml:space="preserve"> 11-16); cf. </w:t>
      </w:r>
      <w:proofErr w:type="spellStart"/>
      <w:r>
        <w:rPr>
          <w:i/>
          <w:iCs/>
        </w:rPr>
        <w:t>Auctoritates</w:t>
      </w:r>
      <w:proofErr w:type="spellEnd"/>
      <w:r>
        <w:rPr>
          <w:i/>
          <w:iCs/>
        </w:rPr>
        <w:t xml:space="preserve"> </w:t>
      </w:r>
      <w:proofErr w:type="spellStart"/>
      <w:r>
        <w:rPr>
          <w:i/>
          <w:iCs/>
        </w:rPr>
        <w:t>Aristotelis</w:t>
      </w:r>
      <w:proofErr w:type="spellEnd"/>
      <w:r>
        <w:rPr>
          <w:i/>
          <w:iCs/>
        </w:rPr>
        <w:t xml:space="preserve"> </w:t>
      </w:r>
      <w:r>
        <w:t xml:space="preserve">(ed. J. </w:t>
      </w:r>
      <w:proofErr w:type="spellStart"/>
      <w:r>
        <w:t>Hamesse</w:t>
      </w:r>
      <w:proofErr w:type="spellEnd"/>
      <w:r>
        <w:t xml:space="preserve"> p. 311): “Here again we hold that in any science we ought to presuppose the existence of its subject (</w:t>
      </w:r>
      <w:proofErr w:type="spellStart"/>
      <w:r>
        <w:rPr>
          <w:i/>
          <w:iCs/>
        </w:rPr>
        <w:t>subiectum</w:t>
      </w:r>
      <w:proofErr w:type="spellEnd"/>
      <w:r>
        <w:rPr>
          <w:i/>
          <w:iCs/>
        </w:rPr>
        <w:t xml:space="preserve"> </w:t>
      </w:r>
      <w:proofErr w:type="spellStart"/>
      <w:r>
        <w:rPr>
          <w:i/>
          <w:iCs/>
        </w:rPr>
        <w:t>esse</w:t>
      </w:r>
      <w:proofErr w:type="spellEnd"/>
      <w:r>
        <w:t>), as well as what it might express (</w:t>
      </w:r>
      <w:r>
        <w:rPr>
          <w:i/>
          <w:iCs/>
        </w:rPr>
        <w:t xml:space="preserve">quid </w:t>
      </w:r>
      <w:proofErr w:type="spellStart"/>
      <w:r>
        <w:rPr>
          <w:i/>
          <w:iCs/>
        </w:rPr>
        <w:t>significet</w:t>
      </w:r>
      <w:proofErr w:type="spellEnd"/>
      <w:r>
        <w:rPr>
          <w:i/>
          <w:iCs/>
        </w:rPr>
        <w:t xml:space="preserve"> </w:t>
      </w:r>
      <w:proofErr w:type="spellStart"/>
      <w:r>
        <w:rPr>
          <w:i/>
          <w:iCs/>
        </w:rPr>
        <w:t>ipsum</w:t>
      </w:r>
      <w:proofErr w:type="spellEnd"/>
      <w:r>
        <w:t>)”.</w:t>
      </w:r>
    </w:p>
  </w:footnote>
  <w:footnote w:id="14">
    <w:p w:rsidR="00D96895" w:rsidRDefault="007400FF">
      <w:pPr>
        <w:pStyle w:val="Footnote"/>
        <w:jc w:val="both"/>
      </w:pPr>
      <w:r>
        <w:rPr>
          <w:rStyle w:val="FootnoteReference"/>
        </w:rPr>
        <w:footnoteRef/>
      </w:r>
      <w:r>
        <w:t>Cf. n. 7-9 above.</w:t>
      </w:r>
    </w:p>
  </w:footnote>
  <w:footnote w:id="15">
    <w:p w:rsidR="00D96895" w:rsidRDefault="007400FF">
      <w:pPr>
        <w:pStyle w:val="Footnote"/>
        <w:jc w:val="both"/>
      </w:pPr>
      <w:r>
        <w:rPr>
          <w:rStyle w:val="FootnoteReference"/>
        </w:rPr>
        <w:footnoteRef/>
      </w:r>
      <w:r>
        <w:t>Cf. n. 7 above.</w:t>
      </w:r>
    </w:p>
  </w:footnote>
  <w:footnote w:id="16">
    <w:p w:rsidR="00D96895" w:rsidRDefault="007400FF">
      <w:pPr>
        <w:pStyle w:val="Footnote"/>
        <w:jc w:val="both"/>
      </w:pPr>
      <w:r>
        <w:rPr>
          <w:rStyle w:val="FootnoteReference"/>
        </w:rPr>
        <w:footnoteRef/>
      </w:r>
      <w:r>
        <w:t>Cf. n. 8 above.</w:t>
      </w:r>
    </w:p>
  </w:footnote>
  <w:footnote w:id="17">
    <w:p w:rsidR="00D96895" w:rsidRDefault="007400FF">
      <w:pPr>
        <w:pStyle w:val="Footnote"/>
        <w:jc w:val="both"/>
      </w:pPr>
      <w:r>
        <w:rPr>
          <w:rStyle w:val="FootnoteReference"/>
        </w:rPr>
        <w:footnoteRef/>
      </w:r>
      <w:r>
        <w:t xml:space="preserve">Cf. </w:t>
      </w:r>
      <w:proofErr w:type="spellStart"/>
      <w:r>
        <w:rPr>
          <w:b/>
          <w:bCs/>
        </w:rPr>
        <w:t>Aristot</w:t>
      </w:r>
      <w:proofErr w:type="spellEnd"/>
      <w:r>
        <w:rPr>
          <w:b/>
          <w:bCs/>
        </w:rPr>
        <w:t xml:space="preserve">., </w:t>
      </w:r>
      <w:r>
        <w:rPr>
          <w:i/>
          <w:iCs/>
        </w:rPr>
        <w:t xml:space="preserve">Anal. </w:t>
      </w:r>
      <w:proofErr w:type="gramStart"/>
      <w:r>
        <w:rPr>
          <w:i/>
          <w:iCs/>
        </w:rPr>
        <w:t>post</w:t>
      </w:r>
      <w:proofErr w:type="gramEnd"/>
      <w:r>
        <w:rPr>
          <w:i/>
          <w:iCs/>
        </w:rPr>
        <w:t xml:space="preserve">. </w:t>
      </w:r>
      <w:r>
        <w:t>I c. 2 (AL IV</w:t>
      </w:r>
      <w:r>
        <w:rPr>
          <w:vertAlign w:val="superscript"/>
        </w:rPr>
        <w:t>1</w:t>
      </w:r>
      <w:r>
        <w:t xml:space="preserve"> 7; </w:t>
      </w:r>
      <w:proofErr w:type="gramStart"/>
      <w:r>
        <w:rPr>
          <w:b/>
          <w:bCs/>
        </w:rPr>
        <w:t>A</w:t>
      </w:r>
      <w:proofErr w:type="gramEnd"/>
      <w:r>
        <w:t xml:space="preserve"> c. 2, 71</w:t>
      </w:r>
      <w:r>
        <w:rPr>
          <w:i/>
          <w:iCs/>
        </w:rPr>
        <w:t>b</w:t>
      </w:r>
      <w:r>
        <w:t xml:space="preserve"> 25-26); </w:t>
      </w:r>
      <w:proofErr w:type="spellStart"/>
      <w:r>
        <w:rPr>
          <w:i/>
          <w:iCs/>
        </w:rPr>
        <w:t>Auctoritates</w:t>
      </w:r>
      <w:proofErr w:type="spellEnd"/>
      <w:r>
        <w:rPr>
          <w:i/>
          <w:iCs/>
        </w:rPr>
        <w:t xml:space="preserve"> </w:t>
      </w:r>
      <w:proofErr w:type="spellStart"/>
      <w:r>
        <w:rPr>
          <w:i/>
          <w:iCs/>
        </w:rPr>
        <w:t>Aristotelis</w:t>
      </w:r>
      <w:proofErr w:type="spellEnd"/>
      <w:r>
        <w:t xml:space="preserve"> (ed. J. </w:t>
      </w:r>
      <w:proofErr w:type="spellStart"/>
      <w:r>
        <w:t>Hamesse</w:t>
      </w:r>
      <w:proofErr w:type="spellEnd"/>
      <w:r>
        <w:t xml:space="preserve"> p. 312): “...there is no science of non-being”.</w:t>
      </w:r>
    </w:p>
  </w:footnote>
  <w:footnote w:id="18">
    <w:p w:rsidR="00D96895" w:rsidRDefault="007400FF">
      <w:pPr>
        <w:pStyle w:val="Footnote"/>
        <w:jc w:val="both"/>
      </w:pPr>
      <w:r>
        <w:rPr>
          <w:rStyle w:val="FootnoteReference"/>
        </w:rPr>
        <w:footnoteRef/>
      </w:r>
      <w:r>
        <w:t>Cf. n. 9 above.</w:t>
      </w:r>
    </w:p>
  </w:footnote>
  <w:footnote w:id="19">
    <w:p w:rsidR="00D96895" w:rsidRDefault="007400FF">
      <w:pPr>
        <w:pStyle w:val="Footnote"/>
        <w:jc w:val="both"/>
      </w:pPr>
      <w:r>
        <w:rPr>
          <w:rStyle w:val="FootnoteReference"/>
        </w:rPr>
        <w:footnoteRef/>
      </w:r>
      <w:r>
        <w:t>Cf. n. 10 above.</w:t>
      </w:r>
    </w:p>
  </w:footnote>
  <w:footnote w:id="20">
    <w:p w:rsidR="00D96895" w:rsidRDefault="007400FF">
      <w:pPr>
        <w:pStyle w:val="Footnote"/>
        <w:jc w:val="both"/>
      </w:pPr>
      <w:r>
        <w:rPr>
          <w:rStyle w:val="FootnoteReference"/>
        </w:rPr>
        <w:footnoteRef/>
      </w:r>
      <w:r>
        <w:t>Cf. n. 13 above.</w:t>
      </w:r>
    </w:p>
  </w:footnote>
  <w:footnote w:id="21">
    <w:p w:rsidR="00D96895" w:rsidRDefault="007400FF">
      <w:pPr>
        <w:pStyle w:val="Footnote"/>
        <w:jc w:val="both"/>
      </w:pPr>
      <w:r>
        <w:rPr>
          <w:rStyle w:val="FootnoteReference"/>
        </w:rPr>
        <w:footnoteRef/>
      </w:r>
      <w:r>
        <w:t>Cf. n. 11 above.</w:t>
      </w:r>
    </w:p>
  </w:footnote>
  <w:footnote w:id="22">
    <w:p w:rsidR="00D96895" w:rsidRDefault="007400FF">
      <w:pPr>
        <w:pStyle w:val="Footnote"/>
        <w:jc w:val="both"/>
      </w:pPr>
      <w:r>
        <w:rPr>
          <w:rStyle w:val="FootnoteReference"/>
        </w:rPr>
        <w:footnoteRef/>
      </w:r>
      <w:r>
        <w:t>I. e. the first condition; cf. n. 13 above.</w:t>
      </w:r>
    </w:p>
  </w:footnote>
  <w:footnote w:id="23">
    <w:p w:rsidR="00D96895" w:rsidRDefault="007400FF">
      <w:pPr>
        <w:pStyle w:val="Footnote"/>
        <w:jc w:val="both"/>
        <w:rPr>
          <w:b/>
          <w:bCs/>
        </w:rPr>
      </w:pPr>
      <w:r>
        <w:rPr>
          <w:rStyle w:val="FootnoteReference"/>
        </w:rPr>
        <w:footnoteRef/>
      </w:r>
      <w:r>
        <w:rPr>
          <w:b/>
          <w:bCs/>
        </w:rPr>
        <w:t xml:space="preserve">Boethius, </w:t>
      </w:r>
      <w:r>
        <w:rPr>
          <w:i/>
          <w:iCs/>
        </w:rPr>
        <w:t xml:space="preserve">De </w:t>
      </w:r>
      <w:proofErr w:type="spellStart"/>
      <w:r>
        <w:rPr>
          <w:i/>
          <w:iCs/>
        </w:rPr>
        <w:t>differentiis</w:t>
      </w:r>
      <w:proofErr w:type="spellEnd"/>
      <w:r>
        <w:rPr>
          <w:i/>
          <w:iCs/>
        </w:rPr>
        <w:t xml:space="preserve"> </w:t>
      </w:r>
      <w:proofErr w:type="spellStart"/>
      <w:r>
        <w:rPr>
          <w:i/>
          <w:iCs/>
        </w:rPr>
        <w:t>topicis</w:t>
      </w:r>
      <w:proofErr w:type="spellEnd"/>
      <w:r>
        <w:t xml:space="preserve"> (PL 64, 1180C): “An argument is an account making something uncertain trustworthy (</w:t>
      </w:r>
      <w:r>
        <w:rPr>
          <w:i/>
          <w:iCs/>
        </w:rPr>
        <w:t xml:space="preserve">Argumentum </w:t>
      </w:r>
      <w:proofErr w:type="spellStart"/>
      <w:proofErr w:type="gramStart"/>
      <w:r>
        <w:rPr>
          <w:i/>
          <w:iCs/>
        </w:rPr>
        <w:t>est</w:t>
      </w:r>
      <w:proofErr w:type="spellEnd"/>
      <w:proofErr w:type="gramEnd"/>
      <w:r>
        <w:rPr>
          <w:i/>
          <w:iCs/>
        </w:rPr>
        <w:t xml:space="preserve"> ratio </w:t>
      </w:r>
      <w:proofErr w:type="spellStart"/>
      <w:r>
        <w:rPr>
          <w:i/>
          <w:iCs/>
        </w:rPr>
        <w:t>rei</w:t>
      </w:r>
      <w:proofErr w:type="spellEnd"/>
      <w:r>
        <w:rPr>
          <w:i/>
          <w:iCs/>
        </w:rPr>
        <w:t xml:space="preserve"> </w:t>
      </w:r>
      <w:proofErr w:type="spellStart"/>
      <w:r>
        <w:rPr>
          <w:i/>
          <w:iCs/>
        </w:rPr>
        <w:t>dubiae</w:t>
      </w:r>
      <w:proofErr w:type="spellEnd"/>
      <w:r>
        <w:rPr>
          <w:i/>
          <w:iCs/>
        </w:rPr>
        <w:t xml:space="preserve"> </w:t>
      </w:r>
      <w:proofErr w:type="spellStart"/>
      <w:r>
        <w:rPr>
          <w:i/>
          <w:iCs/>
        </w:rPr>
        <w:t>faciens</w:t>
      </w:r>
      <w:proofErr w:type="spellEnd"/>
      <w:r>
        <w:rPr>
          <w:i/>
          <w:iCs/>
        </w:rPr>
        <w:t xml:space="preserve"> </w:t>
      </w:r>
      <w:proofErr w:type="spellStart"/>
      <w:r>
        <w:rPr>
          <w:i/>
          <w:iCs/>
        </w:rPr>
        <w:t>fidem</w:t>
      </w:r>
      <w:proofErr w:type="spellEnd"/>
      <w:r>
        <w:t>).”</w:t>
      </w:r>
    </w:p>
  </w:footnote>
  <w:footnote w:id="24">
    <w:p w:rsidR="00D96895" w:rsidRDefault="007400FF">
      <w:pPr>
        <w:pStyle w:val="Footnote"/>
        <w:jc w:val="both"/>
      </w:pPr>
      <w:r>
        <w:rPr>
          <w:rStyle w:val="FootnoteReference"/>
        </w:rPr>
        <w:footnoteRef/>
      </w:r>
      <w:r>
        <w:t>Cf. n. 12 above.</w:t>
      </w:r>
    </w:p>
  </w:footnote>
  <w:footnote w:id="25">
    <w:p w:rsidR="00D96895" w:rsidRDefault="007400FF">
      <w:pPr>
        <w:pStyle w:val="Footnote"/>
        <w:jc w:val="both"/>
        <w:rPr>
          <w:b/>
          <w:bCs/>
        </w:rPr>
      </w:pPr>
      <w:r>
        <w:rPr>
          <w:rStyle w:val="FootnoteReference"/>
        </w:rPr>
        <w:footnoteRef/>
      </w:r>
      <w:proofErr w:type="spellStart"/>
      <w:proofErr w:type="gramStart"/>
      <w:r>
        <w:rPr>
          <w:b/>
          <w:bCs/>
        </w:rPr>
        <w:t>Aristot</w:t>
      </w:r>
      <w:proofErr w:type="spellEnd"/>
      <w:r>
        <w:rPr>
          <w:b/>
          <w:bCs/>
        </w:rPr>
        <w:t>.,</w:t>
      </w:r>
      <w:proofErr w:type="gramEnd"/>
      <w:r>
        <w:rPr>
          <w:b/>
          <w:bCs/>
        </w:rPr>
        <w:t xml:space="preserve"> </w:t>
      </w:r>
      <w:r>
        <w:rPr>
          <w:i/>
          <w:iCs/>
        </w:rPr>
        <w:t xml:space="preserve">Anal. </w:t>
      </w:r>
      <w:proofErr w:type="spellStart"/>
      <w:r>
        <w:rPr>
          <w:i/>
          <w:iCs/>
        </w:rPr>
        <w:t>Priora</w:t>
      </w:r>
      <w:proofErr w:type="spellEnd"/>
      <w:r>
        <w:rPr>
          <w:i/>
          <w:iCs/>
        </w:rPr>
        <w:t xml:space="preserve"> </w:t>
      </w:r>
      <w:r>
        <w:t>I c. 1 (AL III</w:t>
      </w:r>
      <w:r>
        <w:rPr>
          <w:vertAlign w:val="superscript"/>
        </w:rPr>
        <w:t>1</w:t>
      </w:r>
      <w:r>
        <w:t xml:space="preserve"> 6; </w:t>
      </w:r>
      <w:r>
        <w:rPr>
          <w:b/>
          <w:bCs/>
        </w:rPr>
        <w:t>A</w:t>
      </w:r>
      <w:r>
        <w:t xml:space="preserve"> c. 1, 24</w:t>
      </w:r>
      <w:r>
        <w:rPr>
          <w:i/>
          <w:iCs/>
        </w:rPr>
        <w:t>b</w:t>
      </w:r>
      <w:r>
        <w:t xml:space="preserve"> 22-24): “I therefore call that syllogism perfect which has need of nothing else besides what are take</w:t>
      </w:r>
      <w:r>
        <w:t>n up [in it] to make its necessity apparent”.</w:t>
      </w:r>
    </w:p>
  </w:footnote>
  <w:footnote w:id="26">
    <w:p w:rsidR="00D96895" w:rsidRDefault="007400FF">
      <w:pPr>
        <w:pStyle w:val="Footnote"/>
        <w:jc w:val="both"/>
        <w:rPr>
          <w:b/>
          <w:bCs/>
        </w:rPr>
      </w:pPr>
      <w:r>
        <w:rPr>
          <w:rStyle w:val="FootnoteReference"/>
        </w:rPr>
        <w:footnoteRef/>
      </w:r>
      <w:proofErr w:type="spellStart"/>
      <w:proofErr w:type="gramStart"/>
      <w:r>
        <w:rPr>
          <w:b/>
          <w:bCs/>
        </w:rPr>
        <w:t>Aristot</w:t>
      </w:r>
      <w:proofErr w:type="spellEnd"/>
      <w:r>
        <w:rPr>
          <w:b/>
          <w:bCs/>
        </w:rPr>
        <w:t>.,</w:t>
      </w:r>
      <w:proofErr w:type="gramEnd"/>
      <w:r>
        <w:rPr>
          <w:b/>
          <w:bCs/>
        </w:rPr>
        <w:t xml:space="preserve"> </w:t>
      </w:r>
      <w:r>
        <w:rPr>
          <w:i/>
          <w:iCs/>
        </w:rPr>
        <w:t xml:space="preserve">Anal. </w:t>
      </w:r>
      <w:proofErr w:type="spellStart"/>
      <w:proofErr w:type="gramStart"/>
      <w:r>
        <w:rPr>
          <w:i/>
          <w:iCs/>
        </w:rPr>
        <w:t>Priora</w:t>
      </w:r>
      <w:proofErr w:type="spellEnd"/>
      <w:r>
        <w:rPr>
          <w:i/>
          <w:iCs/>
        </w:rPr>
        <w:t xml:space="preserve"> </w:t>
      </w:r>
      <w:r>
        <w:t>I c. 23 (AL III</w:t>
      </w:r>
      <w:r>
        <w:rPr>
          <w:vertAlign w:val="superscript"/>
        </w:rPr>
        <w:t>3</w:t>
      </w:r>
      <w:r>
        <w:t xml:space="preserve"> 228; </w:t>
      </w:r>
      <w:r>
        <w:rPr>
          <w:b/>
          <w:bCs/>
        </w:rPr>
        <w:t>A</w:t>
      </w:r>
      <w:r>
        <w:t xml:space="preserve"> c. 23, 40</w:t>
      </w:r>
      <w:r>
        <w:rPr>
          <w:i/>
          <w:iCs/>
        </w:rPr>
        <w:t>b</w:t>
      </w:r>
      <w:r>
        <w:t xml:space="preserve"> 17).</w:t>
      </w:r>
      <w:proofErr w:type="gramEnd"/>
    </w:p>
  </w:footnote>
  <w:footnote w:id="27">
    <w:p w:rsidR="00D96895" w:rsidRDefault="007400FF">
      <w:pPr>
        <w:pStyle w:val="Footnote"/>
        <w:jc w:val="both"/>
      </w:pPr>
      <w:r>
        <w:rPr>
          <w:rStyle w:val="FootnoteReference"/>
        </w:rPr>
        <w:footnoteRef/>
      </w:r>
      <w:r>
        <w:t xml:space="preserve">In the exposition of John </w:t>
      </w:r>
      <w:proofErr w:type="spellStart"/>
      <w:r>
        <w:t>Foxal</w:t>
      </w:r>
      <w:proofErr w:type="spellEnd"/>
      <w:r>
        <w:t xml:space="preserve"> we read (f. 6</w:t>
      </w:r>
      <w:r>
        <w:t>5</w:t>
      </w:r>
      <w:r>
        <w:rPr>
          <w:i/>
          <w:iCs/>
        </w:rPr>
        <w:t>rb</w:t>
      </w:r>
      <w:r>
        <w:t>): “...'of necessity (</w:t>
      </w:r>
      <w:proofErr w:type="spellStart"/>
      <w:r>
        <w:rPr>
          <w:i/>
          <w:iCs/>
        </w:rPr>
        <w:t>ex necessitate</w:t>
      </w:r>
      <w:proofErr w:type="spellEnd"/>
      <w:r>
        <w:t xml:space="preserve">) to move to a conclusion', i.e. that the conclusion follows necessarily from the premises”; in the commentary of Mauritius de </w:t>
      </w:r>
      <w:proofErr w:type="spellStart"/>
      <w:r>
        <w:t>Portu</w:t>
      </w:r>
      <w:proofErr w:type="spellEnd"/>
      <w:r>
        <w:t xml:space="preserve"> it has (ed. </w:t>
      </w:r>
      <w:proofErr w:type="spellStart"/>
      <w:r>
        <w:t>Viv</w:t>
      </w:r>
      <w:r>
        <w:t>ès</w:t>
      </w:r>
      <w:proofErr w:type="spellEnd"/>
      <w:r>
        <w:t xml:space="preserve"> I 82</w:t>
      </w:r>
      <w:r>
        <w:rPr>
          <w:i/>
          <w:iCs/>
        </w:rPr>
        <w:t>a</w:t>
      </w:r>
      <w:r>
        <w:t>): “And what follows is not there in the text of Aristotle, b</w:t>
      </w:r>
      <w:r>
        <w:t>ut is the teaching of the Doctor (</w:t>
      </w:r>
      <w:proofErr w:type="spellStart"/>
      <w:r>
        <w:rPr>
          <w:i/>
          <w:iCs/>
        </w:rPr>
        <w:t>littera</w:t>
      </w:r>
      <w:proofErr w:type="spellEnd"/>
      <w:r>
        <w:rPr>
          <w:i/>
          <w:iCs/>
        </w:rPr>
        <w:t xml:space="preserve"> </w:t>
      </w:r>
      <w:proofErr w:type="spellStart"/>
      <w:r>
        <w:rPr>
          <w:i/>
          <w:iCs/>
        </w:rPr>
        <w:t>Doctoris</w:t>
      </w:r>
      <w:proofErr w:type="spellEnd"/>
      <w:r>
        <w:t>) when he states 'from the fact that it must move to a conclusion'...”.</w:t>
      </w:r>
    </w:p>
  </w:footnote>
  <w:footnote w:id="28">
    <w:p w:rsidR="00D96895" w:rsidRDefault="007400FF">
      <w:pPr>
        <w:pStyle w:val="Footnote"/>
        <w:jc w:val="both"/>
      </w:pPr>
      <w:r>
        <w:rPr>
          <w:rStyle w:val="FootnoteReference"/>
        </w:rPr>
        <w:footnoteRef/>
      </w:r>
      <w:r>
        <w:t xml:space="preserve">Cf. </w:t>
      </w:r>
      <w:proofErr w:type="spellStart"/>
      <w:r>
        <w:rPr>
          <w:i/>
          <w:iCs/>
        </w:rPr>
        <w:t>Auctoritates</w:t>
      </w:r>
      <w:proofErr w:type="spellEnd"/>
      <w:r>
        <w:rPr>
          <w:i/>
          <w:iCs/>
        </w:rPr>
        <w:t xml:space="preserve"> </w:t>
      </w:r>
      <w:proofErr w:type="spellStart"/>
      <w:r>
        <w:rPr>
          <w:i/>
          <w:iCs/>
        </w:rPr>
        <w:t>Aristotelis</w:t>
      </w:r>
      <w:proofErr w:type="spellEnd"/>
      <w:r>
        <w:rPr>
          <w:i/>
          <w:iCs/>
        </w:rPr>
        <w:t xml:space="preserve"> </w:t>
      </w:r>
      <w:r>
        <w:t xml:space="preserve">(ed. J. </w:t>
      </w:r>
      <w:proofErr w:type="spellStart"/>
      <w:r>
        <w:t>Hamesse</w:t>
      </w:r>
      <w:proofErr w:type="spellEnd"/>
      <w:r>
        <w:t xml:space="preserve"> p. 122. 187): “It belongs to the same science to consider opposites: that is, the teaching of opposites is the </w:t>
      </w:r>
      <w:r>
        <w:t xml:space="preserve">same”; “A privation is known through its habit”; see </w:t>
      </w:r>
      <w:proofErr w:type="spellStart"/>
      <w:proofErr w:type="gramStart"/>
      <w:r>
        <w:rPr>
          <w:b/>
          <w:bCs/>
        </w:rPr>
        <w:t>Aristot</w:t>
      </w:r>
      <w:proofErr w:type="spellEnd"/>
      <w:r>
        <w:rPr>
          <w:b/>
          <w:bCs/>
        </w:rPr>
        <w:t>.,</w:t>
      </w:r>
      <w:proofErr w:type="gramEnd"/>
      <w:r>
        <w:t xml:space="preserve"> </w:t>
      </w:r>
      <w:r>
        <w:rPr>
          <w:i/>
          <w:iCs/>
        </w:rPr>
        <w:t>Metaph.</w:t>
      </w:r>
      <w:r>
        <w:t xml:space="preserve"> IV t. 4 (AL XXV</w:t>
      </w:r>
      <w:r>
        <w:rPr>
          <w:vertAlign w:val="superscript"/>
        </w:rPr>
        <w:t>2</w:t>
      </w:r>
      <w:r>
        <w:t xml:space="preserve"> 62; </w:t>
      </w:r>
      <w:r>
        <w:rPr>
          <w:b/>
          <w:bCs/>
        </w:rPr>
        <w:t>Γ</w:t>
      </w:r>
      <w:r>
        <w:t xml:space="preserve"> c. 2, 1004a 9-10); </w:t>
      </w:r>
      <w:r>
        <w:rPr>
          <w:i/>
          <w:iCs/>
        </w:rPr>
        <w:t xml:space="preserve">Metaph. </w:t>
      </w:r>
      <w:r>
        <w:t>V t. 16 (AL XXV</w:t>
      </w:r>
      <w:r>
        <w:rPr>
          <w:vertAlign w:val="superscript"/>
        </w:rPr>
        <w:t>2</w:t>
      </w:r>
      <w:r>
        <w:t xml:space="preserve"> 97; Δ c. 10, 1018</w:t>
      </w:r>
      <w:r>
        <w:rPr>
          <w:i/>
          <w:iCs/>
        </w:rPr>
        <w:t>a</w:t>
      </w:r>
      <w:r>
        <w:t xml:space="preserve"> 20-24).</w:t>
      </w:r>
    </w:p>
  </w:footnote>
  <w:footnote w:id="29">
    <w:p w:rsidR="00D96895" w:rsidRDefault="007400FF">
      <w:pPr>
        <w:pStyle w:val="Footnote"/>
        <w:jc w:val="both"/>
      </w:pPr>
      <w:r>
        <w:rPr>
          <w:rStyle w:val="FootnoteReference"/>
        </w:rPr>
        <w:footnoteRef/>
      </w:r>
      <w:r>
        <w:t>Cf. n. 1 above.</w:t>
      </w:r>
    </w:p>
  </w:footnote>
  <w:footnote w:id="30">
    <w:p w:rsidR="00D96895" w:rsidRDefault="007400FF">
      <w:pPr>
        <w:pStyle w:val="Footnote"/>
        <w:jc w:val="both"/>
      </w:pPr>
      <w:r>
        <w:rPr>
          <w:rStyle w:val="FootnoteReference"/>
        </w:rPr>
        <w:footnoteRef/>
      </w:r>
      <w:r>
        <w:t>Cf. n. 2 above.</w:t>
      </w:r>
    </w:p>
  </w:footnote>
  <w:footnote w:id="31">
    <w:p w:rsidR="00D96895" w:rsidRDefault="007400FF">
      <w:pPr>
        <w:pStyle w:val="Footnote"/>
        <w:jc w:val="both"/>
      </w:pPr>
      <w:r>
        <w:rPr>
          <w:rStyle w:val="FootnoteReference"/>
        </w:rPr>
        <w:footnoteRef/>
      </w:r>
      <w:proofErr w:type="gramStart"/>
      <w:r>
        <w:t xml:space="preserve">I.e. against </w:t>
      </w:r>
      <w:proofErr w:type="spellStart"/>
      <w:r>
        <w:t>Scotus</w:t>
      </w:r>
      <w:proofErr w:type="spellEnd"/>
      <w:r>
        <w:t>' answer in n. 21.</w:t>
      </w:r>
      <w:proofErr w:type="gramEnd"/>
    </w:p>
  </w:footnote>
  <w:footnote w:id="32">
    <w:p w:rsidR="00D96895" w:rsidRDefault="007400FF">
      <w:pPr>
        <w:pStyle w:val="Footnote"/>
        <w:jc w:val="both"/>
      </w:pPr>
      <w:r>
        <w:rPr>
          <w:rStyle w:val="FootnoteReference"/>
        </w:rPr>
        <w:footnoteRef/>
      </w:r>
      <w:r>
        <w:t>Cf. n. 20 above.</w:t>
      </w:r>
    </w:p>
  </w:footnote>
  <w:footnote w:id="33">
    <w:p w:rsidR="00D96895" w:rsidRDefault="007400FF">
      <w:pPr>
        <w:pStyle w:val="Footnote"/>
        <w:jc w:val="both"/>
      </w:pPr>
      <w:r>
        <w:rPr>
          <w:rStyle w:val="FootnoteReference"/>
        </w:rPr>
        <w:footnoteRef/>
      </w:r>
      <w:proofErr w:type="gramStart"/>
      <w:r>
        <w:t>Sc. as a consequence (</w:t>
      </w:r>
      <w:proofErr w:type="spellStart"/>
      <w:r>
        <w:rPr>
          <w:i/>
          <w:iCs/>
        </w:rPr>
        <w:t>quoad</w:t>
      </w:r>
      <w:proofErr w:type="spellEnd"/>
      <w:r>
        <w:rPr>
          <w:i/>
          <w:iCs/>
        </w:rPr>
        <w:t xml:space="preserve"> quam </w:t>
      </w:r>
      <w:proofErr w:type="spellStart"/>
      <w:r>
        <w:rPr>
          <w:i/>
          <w:iCs/>
        </w:rPr>
        <w:t>passionem</w:t>
      </w:r>
      <w:proofErr w:type="spellEnd"/>
      <w:r>
        <w:t>).</w:t>
      </w:r>
      <w:proofErr w:type="gramEnd"/>
    </w:p>
  </w:footnote>
  <w:footnote w:id="34">
    <w:p w:rsidR="00D96895" w:rsidRDefault="007400FF">
      <w:pPr>
        <w:pStyle w:val="Footnote"/>
        <w:jc w:val="both"/>
      </w:pPr>
      <w:r>
        <w:rPr>
          <w:rStyle w:val="FootnoteReference"/>
        </w:rPr>
        <w:footnoteRef/>
      </w:r>
      <w:r>
        <w:t>Cf. n. 3 above.</w:t>
      </w:r>
    </w:p>
  </w:footnote>
  <w:footnote w:id="35">
    <w:p w:rsidR="00D96895" w:rsidRDefault="007400FF">
      <w:pPr>
        <w:pStyle w:val="Footnote"/>
        <w:jc w:val="both"/>
      </w:pPr>
      <w:r>
        <w:rPr>
          <w:rStyle w:val="FootnoteReference"/>
        </w:rPr>
        <w:footnoteRef/>
      </w:r>
      <w:r>
        <w:t>Cf. n. 4 above.</w:t>
      </w:r>
    </w:p>
  </w:footnote>
  <w:footnote w:id="36">
    <w:p w:rsidR="00D96895" w:rsidRDefault="007400FF">
      <w:pPr>
        <w:pStyle w:val="Footnote"/>
        <w:jc w:val="both"/>
      </w:pPr>
      <w:r>
        <w:rPr>
          <w:rStyle w:val="FootnoteReference"/>
        </w:rPr>
        <w:footnoteRef/>
      </w:r>
      <w:r>
        <w:t xml:space="preserve">Cf. </w:t>
      </w:r>
      <w:proofErr w:type="spellStart"/>
      <w:r>
        <w:rPr>
          <w:b/>
          <w:bCs/>
        </w:rPr>
        <w:t>Aegidius</w:t>
      </w:r>
      <w:proofErr w:type="spellEnd"/>
      <w:r>
        <w:rPr>
          <w:b/>
          <w:bCs/>
        </w:rPr>
        <w:t xml:space="preserve"> Rom., </w:t>
      </w:r>
      <w:proofErr w:type="spellStart"/>
      <w:r>
        <w:rPr>
          <w:i/>
          <w:iCs/>
        </w:rPr>
        <w:t>Physica</w:t>
      </w:r>
      <w:proofErr w:type="spellEnd"/>
      <w:r>
        <w:t xml:space="preserve"> prolog. (</w:t>
      </w:r>
      <w:proofErr w:type="gramStart"/>
      <w:r>
        <w:t>ed</w:t>
      </w:r>
      <w:proofErr w:type="gramEnd"/>
      <w:r>
        <w:t>. Venice 1502, f. 2</w:t>
      </w:r>
      <w:r>
        <w:rPr>
          <w:i/>
          <w:iCs/>
        </w:rPr>
        <w:t>rb</w:t>
      </w:r>
      <w:r>
        <w:t xml:space="preserve">): “And since physics is </w:t>
      </w:r>
      <w:r>
        <w:t>thus essentially concerned with mobile body, we ought to accept, after the division of mobile body, books partially belonging to (</w:t>
      </w:r>
      <w:proofErr w:type="spellStart"/>
      <w:r>
        <w:rPr>
          <w:i/>
          <w:iCs/>
        </w:rPr>
        <w:t>partiales</w:t>
      </w:r>
      <w:proofErr w:type="spellEnd"/>
      <w:r>
        <w:rPr>
          <w:i/>
          <w:iCs/>
        </w:rPr>
        <w:t xml:space="preserve"> </w:t>
      </w:r>
      <w:proofErr w:type="spellStart"/>
      <w:r>
        <w:rPr>
          <w:i/>
          <w:iCs/>
        </w:rPr>
        <w:t>libros</w:t>
      </w:r>
      <w:proofErr w:type="spellEnd"/>
      <w:r>
        <w:t>) natural science. For mobile body, as is commonly said, is so simply or by limitation (</w:t>
      </w:r>
      <w:proofErr w:type="spellStart"/>
      <w:r>
        <w:rPr>
          <w:i/>
          <w:iCs/>
        </w:rPr>
        <w:t>contracte</w:t>
      </w:r>
      <w:proofErr w:type="spellEnd"/>
      <w:r>
        <w:t xml:space="preserve">). And so it </w:t>
      </w:r>
      <w:r>
        <w:t xml:space="preserve">is defined simply in the book of </w:t>
      </w:r>
      <w:r>
        <w:rPr>
          <w:i/>
          <w:iCs/>
        </w:rPr>
        <w:t>Physics</w:t>
      </w:r>
      <w:r>
        <w:t>”.</w:t>
      </w:r>
    </w:p>
  </w:footnote>
  <w:footnote w:id="37">
    <w:p w:rsidR="00D96895" w:rsidRDefault="007400FF">
      <w:pPr>
        <w:pStyle w:val="Footnote"/>
      </w:pPr>
      <w:r>
        <w:rPr>
          <w:rStyle w:val="FootnoteReference"/>
        </w:rPr>
        <w:footnoteRef/>
      </w:r>
      <w:r>
        <w:t xml:space="preserve">Cf. n. 5 above; cf. </w:t>
      </w:r>
      <w:proofErr w:type="spellStart"/>
      <w:r>
        <w:rPr>
          <w:b/>
          <w:bCs/>
        </w:rPr>
        <w:t>Aegidius</w:t>
      </w:r>
      <w:proofErr w:type="spellEnd"/>
      <w:r>
        <w:rPr>
          <w:b/>
          <w:bCs/>
        </w:rPr>
        <w:t xml:space="preserve"> Rom., </w:t>
      </w:r>
      <w:r>
        <w:rPr>
          <w:i/>
          <w:iCs/>
        </w:rPr>
        <w:t xml:space="preserve">Anal. </w:t>
      </w:r>
      <w:proofErr w:type="gramStart"/>
      <w:r>
        <w:rPr>
          <w:i/>
          <w:iCs/>
        </w:rPr>
        <w:t>Post.</w:t>
      </w:r>
      <w:proofErr w:type="gramEnd"/>
      <w:r>
        <w:rPr>
          <w:i/>
          <w:iCs/>
        </w:rPr>
        <w:t xml:space="preserve"> </w:t>
      </w:r>
      <w:r>
        <w:t>I t. 33 (ed. Venice 1520, f. 62J. 63E): “We must say that nothing is in the intellect that was not first in sense... therefore, sense is in itself the</w:t>
      </w:r>
      <w:r>
        <w:t xml:space="preserve"> doorway of all learning (</w:t>
      </w:r>
      <w:proofErr w:type="spellStart"/>
      <w:r>
        <w:rPr>
          <w:i/>
          <w:iCs/>
        </w:rPr>
        <w:t>totius</w:t>
      </w:r>
      <w:proofErr w:type="spellEnd"/>
      <w:r>
        <w:rPr>
          <w:i/>
          <w:iCs/>
        </w:rPr>
        <w:t xml:space="preserve"> </w:t>
      </w:r>
      <w:proofErr w:type="spellStart"/>
      <w:r>
        <w:rPr>
          <w:i/>
          <w:iCs/>
        </w:rPr>
        <w:t>cognitionis</w:t>
      </w:r>
      <w:proofErr w:type="spellEnd"/>
      <w:r>
        <w:t>)”.</w:t>
      </w:r>
    </w:p>
  </w:footnote>
  <w:footnote w:id="38">
    <w:p w:rsidR="00D96895" w:rsidRDefault="007400FF">
      <w:pPr>
        <w:pStyle w:val="Footnote"/>
        <w:rPr>
          <w:b/>
          <w:bCs/>
        </w:rPr>
      </w:pPr>
      <w:r>
        <w:rPr>
          <w:rStyle w:val="FootnoteReference"/>
        </w:rPr>
        <w:footnoteRef/>
      </w:r>
      <w:proofErr w:type="spellStart"/>
      <w:proofErr w:type="gramStart"/>
      <w:r>
        <w:rPr>
          <w:b/>
          <w:bCs/>
        </w:rPr>
        <w:t>Aristot</w:t>
      </w:r>
      <w:proofErr w:type="spellEnd"/>
      <w:r>
        <w:rPr>
          <w:b/>
          <w:bCs/>
        </w:rPr>
        <w:t>.,</w:t>
      </w:r>
      <w:proofErr w:type="gramEnd"/>
      <w:r>
        <w:rPr>
          <w:b/>
          <w:bCs/>
        </w:rPr>
        <w:t xml:space="preserve"> </w:t>
      </w:r>
      <w:r>
        <w:rPr>
          <w:i/>
          <w:iCs/>
        </w:rPr>
        <w:t xml:space="preserve">Anal. </w:t>
      </w:r>
      <w:proofErr w:type="spellStart"/>
      <w:r>
        <w:rPr>
          <w:i/>
          <w:iCs/>
        </w:rPr>
        <w:t>Post.</w:t>
      </w:r>
      <w:r>
        <w:t>I</w:t>
      </w:r>
      <w:proofErr w:type="spellEnd"/>
      <w:r>
        <w:t xml:space="preserve"> c. 4 (AL IV</w:t>
      </w:r>
      <w:r>
        <w:rPr>
          <w:vertAlign w:val="superscript"/>
        </w:rPr>
        <w:t>1</w:t>
      </w:r>
      <w:r>
        <w:t xml:space="preserve"> 14; </w:t>
      </w:r>
      <w:r>
        <w:rPr>
          <w:b/>
          <w:bCs/>
        </w:rPr>
        <w:t>A</w:t>
      </w:r>
      <w:r>
        <w:t xml:space="preserve"> c. 4, 73</w:t>
      </w:r>
      <w:r>
        <w:rPr>
          <w:i/>
          <w:iCs/>
        </w:rPr>
        <w:t>b</w:t>
      </w:r>
      <w:r>
        <w:t xml:space="preserve"> 38-39): “But perhaps the </w:t>
      </w:r>
      <w:proofErr w:type="spellStart"/>
      <w:r>
        <w:t>ίσοσκελές</w:t>
      </w:r>
      <w:proofErr w:type="spellEnd"/>
      <w:r>
        <w:t xml:space="preserve"> certainly has [three angles] equal to two right [angles], but [it does] not [have this] primarily (</w:t>
      </w:r>
      <w:proofErr w:type="spellStart"/>
      <w:r>
        <w:rPr>
          <w:i/>
          <w:iCs/>
        </w:rPr>
        <w:t>primum</w:t>
      </w:r>
      <w:proofErr w:type="spellEnd"/>
      <w:r>
        <w:t>); rather, the triangle [has this]</w:t>
      </w:r>
      <w:r>
        <w:rPr>
          <w:i/>
          <w:iCs/>
        </w:rPr>
        <w:t xml:space="preserve"> </w:t>
      </w:r>
      <w:r>
        <w:t>primarily”.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7C5D"/>
    <w:multiLevelType w:val="multilevel"/>
    <w:tmpl w:val="6E7CF2C4"/>
    <w:lvl w:ilvl="0">
      <w:start w:val="1"/>
      <w:numFmt w:val="decimal"/>
      <w:lvlText w:val="%1."/>
      <w:lvlJc w:val="left"/>
      <w:pPr>
        <w:ind w:left="720" w:hanging="360"/>
      </w:pPr>
      <w:rPr>
        <w:rFonts w:hint="default"/>
        <w:b w:val="0"/>
        <w:bCs w:val="0"/>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6895"/>
    <w:rsid w:val="007400FF"/>
    <w:rsid w:val="00D9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character" w:customStyle="1" w:styleId="NumberingSymbols">
    <w:name w:val="Numbering Symbols"/>
    <w:rPr>
      <w:b w:val="0"/>
      <w:bCs w:val="0"/>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character" w:customStyle="1" w:styleId="NumberingSymbols">
    <w:name w:val="Numbering Symbols"/>
    <w:rPr>
      <w:b w:val="0"/>
      <w:bCs w:val="0"/>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1655</Words>
  <Characters>9438</Characters>
  <Application>Microsoft Office Word</Application>
  <DocSecurity>0</DocSecurity>
  <Lines>78</Lines>
  <Paragraphs>22</Paragraphs>
  <ScaleCrop>false</ScaleCrop>
  <Company>Hewlett-Packard Company</Company>
  <LinksUpToDate>false</LinksUpToDate>
  <CharactersWithSpaces>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Archambault</dc:creator>
  <cp:lastModifiedBy>ftcrh</cp:lastModifiedBy>
  <cp:revision>2</cp:revision>
  <dcterms:created xsi:type="dcterms:W3CDTF">2014-03-07T16:27:00Z</dcterms:created>
  <dcterms:modified xsi:type="dcterms:W3CDTF">2014-03-07T16:27:00Z</dcterms:modified>
</cp:coreProperties>
</file>