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9C0D" w14:textId="77777777" w:rsidR="00D567EC" w:rsidRDefault="00D567EC" w:rsidP="00C87BC5"/>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21"/>
      </w:tblGrid>
      <w:tr w:rsidR="00D567EC" w14:paraId="51FE7DD9" w14:textId="77777777" w:rsidTr="00B84D19">
        <w:tc>
          <w:tcPr>
            <w:tcW w:w="2831" w:type="dxa"/>
          </w:tcPr>
          <w:p w14:paraId="52C166CE" w14:textId="77777777" w:rsidR="00D567EC" w:rsidRPr="003408BF" w:rsidRDefault="00D567EC" w:rsidP="00B84D19">
            <w:pPr>
              <w:rPr>
                <w:szCs w:val="24"/>
              </w:rPr>
            </w:pPr>
            <w:r w:rsidRPr="003408BF">
              <w:rPr>
                <w:szCs w:val="24"/>
              </w:rPr>
              <w:t>Class Code/</w:t>
            </w:r>
            <w:r w:rsidR="00B84D19">
              <w:rPr>
                <w:szCs w:val="24"/>
              </w:rPr>
              <w:t xml:space="preserve"> T</w:t>
            </w:r>
            <w:r w:rsidRPr="003408BF">
              <w:rPr>
                <w:szCs w:val="24"/>
              </w:rPr>
              <w:t>itle:</w:t>
            </w:r>
          </w:p>
        </w:tc>
        <w:tc>
          <w:tcPr>
            <w:tcW w:w="5521" w:type="dxa"/>
          </w:tcPr>
          <w:p w14:paraId="6091BCA2" w14:textId="03B6D622" w:rsidR="00D567EC" w:rsidRDefault="00322C29">
            <w:r>
              <w:t>ME975 – Satellite Data Assimilation and Analysis</w:t>
            </w:r>
          </w:p>
        </w:tc>
      </w:tr>
      <w:tr w:rsidR="00D567EC" w14:paraId="0A36617F" w14:textId="77777777" w:rsidTr="00B84D19">
        <w:trPr>
          <w:trHeight w:val="851"/>
        </w:trPr>
        <w:tc>
          <w:tcPr>
            <w:tcW w:w="2831" w:type="dxa"/>
          </w:tcPr>
          <w:p w14:paraId="2B2ED65C" w14:textId="77777777" w:rsidR="00D567EC" w:rsidRPr="003408BF" w:rsidRDefault="00B84D19" w:rsidP="00B84D19">
            <w:pPr>
              <w:rPr>
                <w:szCs w:val="24"/>
              </w:rPr>
            </w:pPr>
            <w:r>
              <w:rPr>
                <w:szCs w:val="24"/>
              </w:rPr>
              <w:t>Technical paper t</w:t>
            </w:r>
            <w:r w:rsidR="00D567EC" w:rsidRPr="003408BF">
              <w:rPr>
                <w:szCs w:val="24"/>
              </w:rPr>
              <w:t>itle:</w:t>
            </w:r>
          </w:p>
        </w:tc>
        <w:tc>
          <w:tcPr>
            <w:tcW w:w="5521" w:type="dxa"/>
          </w:tcPr>
          <w:p w14:paraId="3EE249CF" w14:textId="3F43A95B" w:rsidR="00D567EC" w:rsidRPr="00322C29" w:rsidRDefault="00322C29">
            <w:pPr>
              <w:rPr>
                <w:szCs w:val="24"/>
              </w:rPr>
            </w:pPr>
            <w:r>
              <w:rPr>
                <w:szCs w:val="24"/>
              </w:rPr>
              <w:t>Individual Project Report</w:t>
            </w:r>
          </w:p>
        </w:tc>
      </w:tr>
      <w:tr w:rsidR="00D567EC" w14:paraId="038058E8" w14:textId="77777777" w:rsidTr="00B84D19">
        <w:tc>
          <w:tcPr>
            <w:tcW w:w="2831" w:type="dxa"/>
          </w:tcPr>
          <w:p w14:paraId="6346E9B3" w14:textId="77777777" w:rsidR="00D567EC" w:rsidRPr="003408BF" w:rsidRDefault="00D567EC" w:rsidP="00B84D19">
            <w:pPr>
              <w:rPr>
                <w:szCs w:val="24"/>
              </w:rPr>
            </w:pPr>
            <w:r w:rsidRPr="003408BF">
              <w:rPr>
                <w:szCs w:val="24"/>
              </w:rPr>
              <w:t xml:space="preserve">Student </w:t>
            </w:r>
            <w:r w:rsidR="00B84D19">
              <w:rPr>
                <w:szCs w:val="24"/>
              </w:rPr>
              <w:t xml:space="preserve">Name/ </w:t>
            </w:r>
            <w:r w:rsidRPr="003408BF">
              <w:rPr>
                <w:szCs w:val="24"/>
              </w:rPr>
              <w:t>Number:</w:t>
            </w:r>
          </w:p>
        </w:tc>
        <w:tc>
          <w:tcPr>
            <w:tcW w:w="5521" w:type="dxa"/>
          </w:tcPr>
          <w:p w14:paraId="32806A72" w14:textId="41375293" w:rsidR="00D567EC" w:rsidRDefault="00322C29">
            <w:r>
              <w:t>Jacob Currie – 201718558</w:t>
            </w:r>
          </w:p>
        </w:tc>
      </w:tr>
      <w:tr w:rsidR="00B84D19" w14:paraId="74DB67F8" w14:textId="77777777" w:rsidTr="00B84D19">
        <w:tc>
          <w:tcPr>
            <w:tcW w:w="2831" w:type="dxa"/>
          </w:tcPr>
          <w:p w14:paraId="6DDF6650" w14:textId="77777777" w:rsidR="00B84D19" w:rsidRPr="003408BF" w:rsidRDefault="00B84D19">
            <w:pPr>
              <w:rPr>
                <w:szCs w:val="24"/>
              </w:rPr>
            </w:pPr>
            <w:r>
              <w:rPr>
                <w:szCs w:val="24"/>
              </w:rPr>
              <w:t>Supervisor:</w:t>
            </w:r>
          </w:p>
        </w:tc>
        <w:tc>
          <w:tcPr>
            <w:tcW w:w="5521" w:type="dxa"/>
          </w:tcPr>
          <w:p w14:paraId="2E650772" w14:textId="715010B7" w:rsidR="00B84D19" w:rsidRDefault="00322C29">
            <w:r>
              <w:t>Dr. Annalisa Riccardi</w:t>
            </w:r>
          </w:p>
        </w:tc>
      </w:tr>
      <w:tr w:rsidR="00D567EC" w14:paraId="40D5B523" w14:textId="77777777" w:rsidTr="00B84D19">
        <w:tc>
          <w:tcPr>
            <w:tcW w:w="2831" w:type="dxa"/>
          </w:tcPr>
          <w:p w14:paraId="203080D8" w14:textId="77777777" w:rsidR="00D567EC" w:rsidRPr="003408BF" w:rsidRDefault="00D567EC">
            <w:pPr>
              <w:rPr>
                <w:szCs w:val="24"/>
              </w:rPr>
            </w:pPr>
            <w:r w:rsidRPr="003408BF">
              <w:rPr>
                <w:szCs w:val="24"/>
              </w:rPr>
              <w:t>Date:</w:t>
            </w:r>
          </w:p>
        </w:tc>
        <w:tc>
          <w:tcPr>
            <w:tcW w:w="5521" w:type="dxa"/>
          </w:tcPr>
          <w:p w14:paraId="7FCB99BC" w14:textId="4B5F868A" w:rsidR="00D567EC" w:rsidRDefault="00322C29">
            <w:r>
              <w:t>03/04/2022</w:t>
            </w:r>
          </w:p>
        </w:tc>
      </w:tr>
      <w:tr w:rsidR="00B84D19" w14:paraId="5263256D" w14:textId="77777777" w:rsidTr="00B84D19">
        <w:tc>
          <w:tcPr>
            <w:tcW w:w="2831" w:type="dxa"/>
          </w:tcPr>
          <w:p w14:paraId="6192D2A9" w14:textId="77777777" w:rsidR="00B84D19" w:rsidRPr="003408BF" w:rsidRDefault="00B84D19">
            <w:pPr>
              <w:rPr>
                <w:szCs w:val="24"/>
              </w:rPr>
            </w:pPr>
            <w:r>
              <w:rPr>
                <w:szCs w:val="24"/>
              </w:rPr>
              <w:t>Word count:</w:t>
            </w:r>
          </w:p>
        </w:tc>
        <w:tc>
          <w:tcPr>
            <w:tcW w:w="5521" w:type="dxa"/>
          </w:tcPr>
          <w:p w14:paraId="58A87A28" w14:textId="77777777" w:rsidR="00B84D19" w:rsidRDefault="00B84D19"/>
        </w:tc>
      </w:tr>
    </w:tbl>
    <w:p w14:paraId="409F98B8" w14:textId="77777777" w:rsidR="00D64700" w:rsidRPr="00D64700" w:rsidRDefault="00D64700" w:rsidP="00375EBC">
      <w:pPr>
        <w:pStyle w:val="TOCHeading"/>
      </w:pPr>
      <w:r>
        <w:t>A</w:t>
      </w:r>
      <w:r w:rsidRPr="00D64700">
        <w:t>bstract</w:t>
      </w:r>
    </w:p>
    <w:p w14:paraId="45B2A7AE" w14:textId="77777777" w:rsidR="00D567EC" w:rsidRDefault="00D567EC" w:rsidP="00D567EC"/>
    <w:p w14:paraId="71D79A12" w14:textId="77777777" w:rsidR="00D64700" w:rsidRDefault="00D567EC" w:rsidP="00375EBC">
      <w:pPr>
        <w:pStyle w:val="TOCHeading"/>
      </w:pPr>
      <w:r>
        <w:br w:type="page"/>
      </w:r>
    </w:p>
    <w:sdt>
      <w:sdtPr>
        <w:rPr>
          <w:rFonts w:eastAsiaTheme="minorHAnsi" w:cstheme="minorBidi"/>
          <w:b w:val="0"/>
          <w:sz w:val="24"/>
          <w:szCs w:val="22"/>
          <w:lang w:val="en-GB"/>
        </w:rPr>
        <w:id w:val="-379718706"/>
        <w:docPartObj>
          <w:docPartGallery w:val="Table of Contents"/>
          <w:docPartUnique/>
        </w:docPartObj>
      </w:sdtPr>
      <w:sdtEndPr>
        <w:rPr>
          <w:bCs/>
          <w:noProof/>
        </w:rPr>
      </w:sdtEndPr>
      <w:sdtContent>
        <w:p w14:paraId="773E98E6" w14:textId="77777777" w:rsidR="004A7CBB" w:rsidRPr="00375EBC" w:rsidRDefault="004A7CBB">
          <w:pPr>
            <w:pStyle w:val="TOCHeading"/>
          </w:pPr>
          <w:r w:rsidRPr="00375EBC">
            <w:t>Contents</w:t>
          </w:r>
        </w:p>
        <w:p w14:paraId="29CBDB8B" w14:textId="2C5D8958" w:rsidR="00E31F92" w:rsidRDefault="004A7CBB">
          <w:pPr>
            <w:pStyle w:val="TOC1"/>
            <w:tabs>
              <w:tab w:val="left" w:pos="660"/>
              <w:tab w:val="right" w:leader="dot" w:pos="821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00279824" w:history="1">
            <w:r w:rsidR="00E31F92" w:rsidRPr="00F0139A">
              <w:rPr>
                <w:rStyle w:val="Hyperlink"/>
                <w:noProof/>
              </w:rPr>
              <w:t>1.0</w:t>
            </w:r>
            <w:r w:rsidR="00E31F92">
              <w:rPr>
                <w:rFonts w:asciiTheme="minorHAnsi" w:eastAsiaTheme="minorEastAsia" w:hAnsiTheme="minorHAnsi"/>
                <w:noProof/>
                <w:sz w:val="22"/>
                <w:lang w:eastAsia="en-GB"/>
              </w:rPr>
              <w:tab/>
            </w:r>
            <w:r w:rsidR="00E31F92" w:rsidRPr="00F0139A">
              <w:rPr>
                <w:rStyle w:val="Hyperlink"/>
                <w:noProof/>
              </w:rPr>
              <w:t>Introduction</w:t>
            </w:r>
            <w:r w:rsidR="00E31F92">
              <w:rPr>
                <w:noProof/>
                <w:webHidden/>
              </w:rPr>
              <w:tab/>
            </w:r>
            <w:r w:rsidR="00E31F92">
              <w:rPr>
                <w:noProof/>
                <w:webHidden/>
              </w:rPr>
              <w:fldChar w:fldCharType="begin"/>
            </w:r>
            <w:r w:rsidR="00E31F92">
              <w:rPr>
                <w:noProof/>
                <w:webHidden/>
              </w:rPr>
              <w:instrText xml:space="preserve"> PAGEREF _Toc100279824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0CB23FBC" w14:textId="05737D6C"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25" w:history="1">
            <w:r w:rsidR="00E31F92" w:rsidRPr="00F0139A">
              <w:rPr>
                <w:rStyle w:val="Hyperlink"/>
                <w:noProof/>
              </w:rPr>
              <w:t>1.1</w:t>
            </w:r>
            <w:r w:rsidR="00E31F92">
              <w:rPr>
                <w:rFonts w:asciiTheme="minorHAnsi" w:eastAsiaTheme="minorEastAsia" w:hAnsiTheme="minorHAnsi"/>
                <w:noProof/>
                <w:sz w:val="22"/>
                <w:lang w:eastAsia="en-GB"/>
              </w:rPr>
              <w:tab/>
            </w:r>
            <w:r w:rsidR="00E31F92" w:rsidRPr="00F0139A">
              <w:rPr>
                <w:rStyle w:val="Hyperlink"/>
                <w:noProof/>
              </w:rPr>
              <w:t>Project Objectives</w:t>
            </w:r>
            <w:r w:rsidR="00E31F92">
              <w:rPr>
                <w:noProof/>
                <w:webHidden/>
              </w:rPr>
              <w:tab/>
            </w:r>
            <w:r w:rsidR="00E31F92">
              <w:rPr>
                <w:noProof/>
                <w:webHidden/>
              </w:rPr>
              <w:fldChar w:fldCharType="begin"/>
            </w:r>
            <w:r w:rsidR="00E31F92">
              <w:rPr>
                <w:noProof/>
                <w:webHidden/>
              </w:rPr>
              <w:instrText xml:space="preserve"> PAGEREF _Toc100279825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2D43D9C7" w14:textId="4C7FE9DD"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26" w:history="1">
            <w:r w:rsidR="00E31F92" w:rsidRPr="00F0139A">
              <w:rPr>
                <w:rStyle w:val="Hyperlink"/>
                <w:noProof/>
              </w:rPr>
              <w:t>1.2</w:t>
            </w:r>
            <w:r w:rsidR="00E31F92">
              <w:rPr>
                <w:rFonts w:asciiTheme="minorHAnsi" w:eastAsiaTheme="minorEastAsia" w:hAnsiTheme="minorHAnsi"/>
                <w:noProof/>
                <w:sz w:val="22"/>
                <w:lang w:eastAsia="en-GB"/>
              </w:rPr>
              <w:tab/>
            </w:r>
            <w:r w:rsidR="00E31F92" w:rsidRPr="00F0139A">
              <w:rPr>
                <w:rStyle w:val="Hyperlink"/>
                <w:noProof/>
              </w:rPr>
              <w:t>Background</w:t>
            </w:r>
            <w:r w:rsidR="00E31F92">
              <w:rPr>
                <w:noProof/>
                <w:webHidden/>
              </w:rPr>
              <w:tab/>
            </w:r>
            <w:r w:rsidR="00E31F92">
              <w:rPr>
                <w:noProof/>
                <w:webHidden/>
              </w:rPr>
              <w:fldChar w:fldCharType="begin"/>
            </w:r>
            <w:r w:rsidR="00E31F92">
              <w:rPr>
                <w:noProof/>
                <w:webHidden/>
              </w:rPr>
              <w:instrText xml:space="preserve"> PAGEREF _Toc100279826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1F066FE7" w14:textId="3BA096F8"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27" w:history="1">
            <w:r w:rsidR="00E31F92" w:rsidRPr="00F0139A">
              <w:rPr>
                <w:rStyle w:val="Hyperlink"/>
                <w:noProof/>
              </w:rPr>
              <w:t>2.0</w:t>
            </w:r>
            <w:r w:rsidR="00E31F92">
              <w:rPr>
                <w:rFonts w:asciiTheme="minorHAnsi" w:eastAsiaTheme="minorEastAsia" w:hAnsiTheme="minorHAnsi"/>
                <w:noProof/>
                <w:sz w:val="22"/>
                <w:lang w:eastAsia="en-GB"/>
              </w:rPr>
              <w:tab/>
            </w:r>
            <w:r w:rsidR="00E31F92" w:rsidRPr="00F0139A">
              <w:rPr>
                <w:rStyle w:val="Hyperlink"/>
                <w:noProof/>
              </w:rPr>
              <w:t>Literature review</w:t>
            </w:r>
            <w:r w:rsidR="00E31F92">
              <w:rPr>
                <w:noProof/>
                <w:webHidden/>
              </w:rPr>
              <w:tab/>
            </w:r>
            <w:r w:rsidR="00E31F92">
              <w:rPr>
                <w:noProof/>
                <w:webHidden/>
              </w:rPr>
              <w:fldChar w:fldCharType="begin"/>
            </w:r>
            <w:r w:rsidR="00E31F92">
              <w:rPr>
                <w:noProof/>
                <w:webHidden/>
              </w:rPr>
              <w:instrText xml:space="preserve"> PAGEREF _Toc100279827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54FFA4C4" w14:textId="2519ED88"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28" w:history="1">
            <w:r w:rsidR="00E31F92" w:rsidRPr="00F0139A">
              <w:rPr>
                <w:rStyle w:val="Hyperlink"/>
                <w:noProof/>
              </w:rPr>
              <w:t>2.1</w:t>
            </w:r>
            <w:r w:rsidR="00E31F92">
              <w:rPr>
                <w:rFonts w:asciiTheme="minorHAnsi" w:eastAsiaTheme="minorEastAsia" w:hAnsiTheme="minorHAnsi"/>
                <w:noProof/>
                <w:sz w:val="22"/>
                <w:lang w:eastAsia="en-GB"/>
              </w:rPr>
              <w:tab/>
            </w:r>
            <w:r w:rsidR="00E31F92" w:rsidRPr="00F0139A">
              <w:rPr>
                <w:rStyle w:val="Hyperlink"/>
                <w:noProof/>
              </w:rPr>
              <w:t>NO2 Harmful effects</w:t>
            </w:r>
            <w:r w:rsidR="00E31F92">
              <w:rPr>
                <w:noProof/>
                <w:webHidden/>
              </w:rPr>
              <w:tab/>
            </w:r>
            <w:r w:rsidR="00E31F92">
              <w:rPr>
                <w:noProof/>
                <w:webHidden/>
              </w:rPr>
              <w:fldChar w:fldCharType="begin"/>
            </w:r>
            <w:r w:rsidR="00E31F92">
              <w:rPr>
                <w:noProof/>
                <w:webHidden/>
              </w:rPr>
              <w:instrText xml:space="preserve"> PAGEREF _Toc100279828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6E60E7B7" w14:textId="18244F09"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29" w:history="1">
            <w:r w:rsidR="00E31F92" w:rsidRPr="00F0139A">
              <w:rPr>
                <w:rStyle w:val="Hyperlink"/>
                <w:noProof/>
              </w:rPr>
              <w:t>2.2</w:t>
            </w:r>
            <w:r w:rsidR="00E31F92">
              <w:rPr>
                <w:rFonts w:asciiTheme="minorHAnsi" w:eastAsiaTheme="minorEastAsia" w:hAnsiTheme="minorHAnsi"/>
                <w:noProof/>
                <w:sz w:val="22"/>
                <w:lang w:eastAsia="en-GB"/>
              </w:rPr>
              <w:tab/>
            </w:r>
            <w:r w:rsidR="00E31F92" w:rsidRPr="00F0139A">
              <w:rPr>
                <w:rStyle w:val="Hyperlink"/>
                <w:noProof/>
              </w:rPr>
              <w:t>NO2 Sources and Production</w:t>
            </w:r>
            <w:r w:rsidR="00E31F92">
              <w:rPr>
                <w:noProof/>
                <w:webHidden/>
              </w:rPr>
              <w:tab/>
            </w:r>
            <w:r w:rsidR="00E31F92">
              <w:rPr>
                <w:noProof/>
                <w:webHidden/>
              </w:rPr>
              <w:fldChar w:fldCharType="begin"/>
            </w:r>
            <w:r w:rsidR="00E31F92">
              <w:rPr>
                <w:noProof/>
                <w:webHidden/>
              </w:rPr>
              <w:instrText xml:space="preserve"> PAGEREF _Toc100279829 \h </w:instrText>
            </w:r>
            <w:r w:rsidR="00E31F92">
              <w:rPr>
                <w:noProof/>
                <w:webHidden/>
              </w:rPr>
            </w:r>
            <w:r w:rsidR="00E31F92">
              <w:rPr>
                <w:noProof/>
                <w:webHidden/>
              </w:rPr>
              <w:fldChar w:fldCharType="separate"/>
            </w:r>
            <w:r w:rsidR="00E31F92">
              <w:rPr>
                <w:noProof/>
                <w:webHidden/>
              </w:rPr>
              <w:t>1</w:t>
            </w:r>
            <w:r w:rsidR="00E31F92">
              <w:rPr>
                <w:noProof/>
                <w:webHidden/>
              </w:rPr>
              <w:fldChar w:fldCharType="end"/>
            </w:r>
          </w:hyperlink>
        </w:p>
        <w:p w14:paraId="16A642A1" w14:textId="0AF140B8"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30" w:history="1">
            <w:r w:rsidR="00E31F92" w:rsidRPr="00F0139A">
              <w:rPr>
                <w:rStyle w:val="Hyperlink"/>
                <w:noProof/>
              </w:rPr>
              <w:t>2.3</w:t>
            </w:r>
            <w:r w:rsidR="00E31F92">
              <w:rPr>
                <w:rFonts w:asciiTheme="minorHAnsi" w:eastAsiaTheme="minorEastAsia" w:hAnsiTheme="minorHAnsi"/>
                <w:noProof/>
                <w:sz w:val="22"/>
                <w:lang w:eastAsia="en-GB"/>
              </w:rPr>
              <w:tab/>
            </w:r>
            <w:r w:rsidR="00E31F92" w:rsidRPr="00F0139A">
              <w:rPr>
                <w:rStyle w:val="Hyperlink"/>
                <w:noProof/>
              </w:rPr>
              <w:t>Previous Research</w:t>
            </w:r>
            <w:r w:rsidR="00E31F92">
              <w:rPr>
                <w:noProof/>
                <w:webHidden/>
              </w:rPr>
              <w:tab/>
            </w:r>
            <w:r w:rsidR="00E31F92">
              <w:rPr>
                <w:noProof/>
                <w:webHidden/>
              </w:rPr>
              <w:fldChar w:fldCharType="begin"/>
            </w:r>
            <w:r w:rsidR="00E31F92">
              <w:rPr>
                <w:noProof/>
                <w:webHidden/>
              </w:rPr>
              <w:instrText xml:space="preserve"> PAGEREF _Toc100279830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0356EABE" w14:textId="3CD5684C"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31" w:history="1">
            <w:r w:rsidR="00E31F92" w:rsidRPr="00F0139A">
              <w:rPr>
                <w:rStyle w:val="Hyperlink"/>
                <w:noProof/>
              </w:rPr>
              <w:t>3.0</w:t>
            </w:r>
            <w:r w:rsidR="00E31F92">
              <w:rPr>
                <w:rFonts w:asciiTheme="minorHAnsi" w:eastAsiaTheme="minorEastAsia" w:hAnsiTheme="minorHAnsi"/>
                <w:noProof/>
                <w:sz w:val="22"/>
                <w:lang w:eastAsia="en-GB"/>
              </w:rPr>
              <w:tab/>
            </w:r>
            <w:r w:rsidR="00E31F92" w:rsidRPr="00F0139A">
              <w:rPr>
                <w:rStyle w:val="Hyperlink"/>
                <w:noProof/>
              </w:rPr>
              <w:t>Methodology</w:t>
            </w:r>
            <w:r w:rsidR="00E31F92">
              <w:rPr>
                <w:noProof/>
                <w:webHidden/>
              </w:rPr>
              <w:tab/>
            </w:r>
            <w:r w:rsidR="00E31F92">
              <w:rPr>
                <w:noProof/>
                <w:webHidden/>
              </w:rPr>
              <w:fldChar w:fldCharType="begin"/>
            </w:r>
            <w:r w:rsidR="00E31F92">
              <w:rPr>
                <w:noProof/>
                <w:webHidden/>
              </w:rPr>
              <w:instrText xml:space="preserve"> PAGEREF _Toc100279831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38781CBE" w14:textId="3C958535"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32" w:history="1">
            <w:r w:rsidR="00E31F92" w:rsidRPr="00F0139A">
              <w:rPr>
                <w:rStyle w:val="Hyperlink"/>
                <w:noProof/>
              </w:rPr>
              <w:t>4.0</w:t>
            </w:r>
            <w:r w:rsidR="00E31F92">
              <w:rPr>
                <w:rFonts w:asciiTheme="minorHAnsi" w:eastAsiaTheme="minorEastAsia" w:hAnsiTheme="minorHAnsi"/>
                <w:noProof/>
                <w:sz w:val="22"/>
                <w:lang w:eastAsia="en-GB"/>
              </w:rPr>
              <w:tab/>
            </w:r>
            <w:r w:rsidR="00E31F92" w:rsidRPr="00F0139A">
              <w:rPr>
                <w:rStyle w:val="Hyperlink"/>
                <w:noProof/>
              </w:rPr>
              <w:t>Results</w:t>
            </w:r>
            <w:r w:rsidR="00E31F92">
              <w:rPr>
                <w:noProof/>
                <w:webHidden/>
              </w:rPr>
              <w:tab/>
            </w:r>
            <w:r w:rsidR="00E31F92">
              <w:rPr>
                <w:noProof/>
                <w:webHidden/>
              </w:rPr>
              <w:fldChar w:fldCharType="begin"/>
            </w:r>
            <w:r w:rsidR="00E31F92">
              <w:rPr>
                <w:noProof/>
                <w:webHidden/>
              </w:rPr>
              <w:instrText xml:space="preserve"> PAGEREF _Toc100279832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72F374D2" w14:textId="4C43A939"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33" w:history="1">
            <w:r w:rsidR="00E31F92" w:rsidRPr="00F0139A">
              <w:rPr>
                <w:rStyle w:val="Hyperlink"/>
                <w:noProof/>
              </w:rPr>
              <w:t>4.1</w:t>
            </w:r>
            <w:r w:rsidR="00E31F92">
              <w:rPr>
                <w:rFonts w:asciiTheme="minorHAnsi" w:eastAsiaTheme="minorEastAsia" w:hAnsiTheme="minorHAnsi"/>
                <w:noProof/>
                <w:sz w:val="22"/>
                <w:lang w:eastAsia="en-GB"/>
              </w:rPr>
              <w:tab/>
            </w:r>
            <w:r w:rsidR="00E31F92" w:rsidRPr="00F0139A">
              <w:rPr>
                <w:rStyle w:val="Hyperlink"/>
                <w:noProof/>
              </w:rPr>
              <w:t>Tabulated Results</w:t>
            </w:r>
            <w:r w:rsidR="00E31F92">
              <w:rPr>
                <w:noProof/>
                <w:webHidden/>
              </w:rPr>
              <w:tab/>
            </w:r>
            <w:r w:rsidR="00E31F92">
              <w:rPr>
                <w:noProof/>
                <w:webHidden/>
              </w:rPr>
              <w:fldChar w:fldCharType="begin"/>
            </w:r>
            <w:r w:rsidR="00E31F92">
              <w:rPr>
                <w:noProof/>
                <w:webHidden/>
              </w:rPr>
              <w:instrText xml:space="preserve"> PAGEREF _Toc100279833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00D5874A" w14:textId="35552D81" w:rsidR="00E31F92" w:rsidRDefault="00554243">
          <w:pPr>
            <w:pStyle w:val="TOC2"/>
            <w:tabs>
              <w:tab w:val="left" w:pos="880"/>
              <w:tab w:val="right" w:leader="dot" w:pos="8210"/>
            </w:tabs>
            <w:rPr>
              <w:rFonts w:asciiTheme="minorHAnsi" w:eastAsiaTheme="minorEastAsia" w:hAnsiTheme="minorHAnsi"/>
              <w:noProof/>
              <w:sz w:val="22"/>
              <w:lang w:eastAsia="en-GB"/>
            </w:rPr>
          </w:pPr>
          <w:hyperlink w:anchor="_Toc100279834" w:history="1">
            <w:r w:rsidR="00E31F92" w:rsidRPr="00F0139A">
              <w:rPr>
                <w:rStyle w:val="Hyperlink"/>
                <w:noProof/>
              </w:rPr>
              <w:t>4.2</w:t>
            </w:r>
            <w:r w:rsidR="00E31F92">
              <w:rPr>
                <w:rFonts w:asciiTheme="minorHAnsi" w:eastAsiaTheme="minorEastAsia" w:hAnsiTheme="minorHAnsi"/>
                <w:noProof/>
                <w:sz w:val="22"/>
                <w:lang w:eastAsia="en-GB"/>
              </w:rPr>
              <w:tab/>
            </w:r>
            <w:r w:rsidR="00E31F92" w:rsidRPr="00F0139A">
              <w:rPr>
                <w:rStyle w:val="Hyperlink"/>
                <w:noProof/>
              </w:rPr>
              <w:t>Visual Results</w:t>
            </w:r>
            <w:r w:rsidR="00E31F92">
              <w:rPr>
                <w:noProof/>
                <w:webHidden/>
              </w:rPr>
              <w:tab/>
            </w:r>
            <w:r w:rsidR="00E31F92">
              <w:rPr>
                <w:noProof/>
                <w:webHidden/>
              </w:rPr>
              <w:fldChar w:fldCharType="begin"/>
            </w:r>
            <w:r w:rsidR="00E31F92">
              <w:rPr>
                <w:noProof/>
                <w:webHidden/>
              </w:rPr>
              <w:instrText xml:space="preserve"> PAGEREF _Toc100279834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1AB3E40C" w14:textId="43D61CAC"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35" w:history="1">
            <w:r w:rsidR="00E31F92" w:rsidRPr="00F0139A">
              <w:rPr>
                <w:rStyle w:val="Hyperlink"/>
                <w:noProof/>
              </w:rPr>
              <w:t>5.0</w:t>
            </w:r>
            <w:r w:rsidR="00E31F92">
              <w:rPr>
                <w:rFonts w:asciiTheme="minorHAnsi" w:eastAsiaTheme="minorEastAsia" w:hAnsiTheme="minorHAnsi"/>
                <w:noProof/>
                <w:sz w:val="22"/>
                <w:lang w:eastAsia="en-GB"/>
              </w:rPr>
              <w:tab/>
            </w:r>
            <w:r w:rsidR="00E31F92" w:rsidRPr="00F0139A">
              <w:rPr>
                <w:rStyle w:val="Hyperlink"/>
                <w:noProof/>
              </w:rPr>
              <w:t>Discussion</w:t>
            </w:r>
            <w:r w:rsidR="00E31F92">
              <w:rPr>
                <w:noProof/>
                <w:webHidden/>
              </w:rPr>
              <w:tab/>
            </w:r>
            <w:r w:rsidR="00E31F92">
              <w:rPr>
                <w:noProof/>
                <w:webHidden/>
              </w:rPr>
              <w:fldChar w:fldCharType="begin"/>
            </w:r>
            <w:r w:rsidR="00E31F92">
              <w:rPr>
                <w:noProof/>
                <w:webHidden/>
              </w:rPr>
              <w:instrText xml:space="preserve"> PAGEREF _Toc100279835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024062C0" w14:textId="550732F0"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36" w:history="1">
            <w:r w:rsidR="00E31F92" w:rsidRPr="00F0139A">
              <w:rPr>
                <w:rStyle w:val="Hyperlink"/>
                <w:noProof/>
              </w:rPr>
              <w:t>6.0</w:t>
            </w:r>
            <w:r w:rsidR="00E31F92">
              <w:rPr>
                <w:rFonts w:asciiTheme="minorHAnsi" w:eastAsiaTheme="minorEastAsia" w:hAnsiTheme="minorHAnsi"/>
                <w:noProof/>
                <w:sz w:val="22"/>
                <w:lang w:eastAsia="en-GB"/>
              </w:rPr>
              <w:tab/>
            </w:r>
            <w:r w:rsidR="00E31F92" w:rsidRPr="00F0139A">
              <w:rPr>
                <w:rStyle w:val="Hyperlink"/>
                <w:noProof/>
              </w:rPr>
              <w:t>Conclusions</w:t>
            </w:r>
            <w:r w:rsidR="00E31F92">
              <w:rPr>
                <w:noProof/>
                <w:webHidden/>
              </w:rPr>
              <w:tab/>
            </w:r>
            <w:r w:rsidR="00E31F92">
              <w:rPr>
                <w:noProof/>
                <w:webHidden/>
              </w:rPr>
              <w:fldChar w:fldCharType="begin"/>
            </w:r>
            <w:r w:rsidR="00E31F92">
              <w:rPr>
                <w:noProof/>
                <w:webHidden/>
              </w:rPr>
              <w:instrText xml:space="preserve"> PAGEREF _Toc100279836 \h </w:instrText>
            </w:r>
            <w:r w:rsidR="00E31F92">
              <w:rPr>
                <w:noProof/>
                <w:webHidden/>
              </w:rPr>
            </w:r>
            <w:r w:rsidR="00E31F92">
              <w:rPr>
                <w:noProof/>
                <w:webHidden/>
              </w:rPr>
              <w:fldChar w:fldCharType="separate"/>
            </w:r>
            <w:r w:rsidR="00E31F92">
              <w:rPr>
                <w:noProof/>
                <w:webHidden/>
              </w:rPr>
              <w:t>2</w:t>
            </w:r>
            <w:r w:rsidR="00E31F92">
              <w:rPr>
                <w:noProof/>
                <w:webHidden/>
              </w:rPr>
              <w:fldChar w:fldCharType="end"/>
            </w:r>
          </w:hyperlink>
        </w:p>
        <w:p w14:paraId="7B191C2D" w14:textId="6C5FF002" w:rsidR="00E31F92" w:rsidRDefault="00554243">
          <w:pPr>
            <w:pStyle w:val="TOC1"/>
            <w:tabs>
              <w:tab w:val="left" w:pos="660"/>
              <w:tab w:val="right" w:leader="dot" w:pos="8210"/>
            </w:tabs>
            <w:rPr>
              <w:rFonts w:asciiTheme="minorHAnsi" w:eastAsiaTheme="minorEastAsia" w:hAnsiTheme="minorHAnsi"/>
              <w:noProof/>
              <w:sz w:val="22"/>
              <w:lang w:eastAsia="en-GB"/>
            </w:rPr>
          </w:pPr>
          <w:hyperlink w:anchor="_Toc100279837" w:history="1">
            <w:r w:rsidR="00E31F92" w:rsidRPr="00F0139A">
              <w:rPr>
                <w:rStyle w:val="Hyperlink"/>
                <w:noProof/>
              </w:rPr>
              <w:t>7.0</w:t>
            </w:r>
            <w:r w:rsidR="00E31F92">
              <w:rPr>
                <w:rFonts w:asciiTheme="minorHAnsi" w:eastAsiaTheme="minorEastAsia" w:hAnsiTheme="minorHAnsi"/>
                <w:noProof/>
                <w:sz w:val="22"/>
                <w:lang w:eastAsia="en-GB"/>
              </w:rPr>
              <w:tab/>
            </w:r>
            <w:r w:rsidR="00E31F92" w:rsidRPr="00F0139A">
              <w:rPr>
                <w:rStyle w:val="Hyperlink"/>
                <w:noProof/>
              </w:rPr>
              <w:t>References</w:t>
            </w:r>
            <w:r w:rsidR="00E31F92">
              <w:rPr>
                <w:noProof/>
                <w:webHidden/>
              </w:rPr>
              <w:tab/>
            </w:r>
            <w:r w:rsidR="00E31F92">
              <w:rPr>
                <w:noProof/>
                <w:webHidden/>
              </w:rPr>
              <w:fldChar w:fldCharType="begin"/>
            </w:r>
            <w:r w:rsidR="00E31F92">
              <w:rPr>
                <w:noProof/>
                <w:webHidden/>
              </w:rPr>
              <w:instrText xml:space="preserve"> PAGEREF _Toc100279837 \h </w:instrText>
            </w:r>
            <w:r w:rsidR="00E31F92">
              <w:rPr>
                <w:noProof/>
                <w:webHidden/>
              </w:rPr>
            </w:r>
            <w:r w:rsidR="00E31F92">
              <w:rPr>
                <w:noProof/>
                <w:webHidden/>
              </w:rPr>
              <w:fldChar w:fldCharType="separate"/>
            </w:r>
            <w:r w:rsidR="00E31F92">
              <w:rPr>
                <w:noProof/>
                <w:webHidden/>
              </w:rPr>
              <w:t>3</w:t>
            </w:r>
            <w:r w:rsidR="00E31F92">
              <w:rPr>
                <w:noProof/>
                <w:webHidden/>
              </w:rPr>
              <w:fldChar w:fldCharType="end"/>
            </w:r>
          </w:hyperlink>
        </w:p>
        <w:p w14:paraId="12D950A1" w14:textId="0D5AEA4B" w:rsidR="00164BDB" w:rsidRPr="00AF1266" w:rsidRDefault="004A7CBB" w:rsidP="00AF1266">
          <w:pPr>
            <w:rPr>
              <w:b/>
              <w:bCs/>
              <w:noProof/>
            </w:rPr>
          </w:pPr>
          <w:r>
            <w:rPr>
              <w:b/>
              <w:bCs/>
              <w:noProof/>
            </w:rPr>
            <w:fldChar w:fldCharType="end"/>
          </w:r>
        </w:p>
      </w:sdtContent>
    </w:sdt>
    <w:p w14:paraId="09B93DC2" w14:textId="77777777" w:rsidR="00164BDB" w:rsidRDefault="00164BDB">
      <w:pPr>
        <w:rPr>
          <w:rFonts w:eastAsiaTheme="majorEastAsia" w:cstheme="majorBidi"/>
          <w:b/>
          <w:sz w:val="32"/>
          <w:szCs w:val="32"/>
        </w:rPr>
      </w:pPr>
      <w:r>
        <w:br w:type="page"/>
      </w:r>
    </w:p>
    <w:p w14:paraId="3172F98F" w14:textId="77777777" w:rsidR="008223B5" w:rsidRDefault="008223B5" w:rsidP="00164BDB">
      <w:pPr>
        <w:pStyle w:val="Heading1"/>
        <w:numPr>
          <w:ilvl w:val="0"/>
          <w:numId w:val="0"/>
        </w:numPr>
        <w:ind w:left="357"/>
        <w:sectPr w:rsidR="008223B5" w:rsidSect="00AD22C1">
          <w:headerReference w:type="default" r:id="rId8"/>
          <w:footerReference w:type="default" r:id="rId9"/>
          <w:headerReference w:type="first" r:id="rId10"/>
          <w:pgSz w:w="11906" w:h="16838"/>
          <w:pgMar w:top="1134" w:right="1418" w:bottom="1134" w:left="2268" w:header="709" w:footer="709" w:gutter="0"/>
          <w:cols w:space="708"/>
          <w:titlePg/>
          <w:docGrid w:linePitch="360"/>
        </w:sectPr>
      </w:pPr>
    </w:p>
    <w:p w14:paraId="35F6FD84" w14:textId="0C2B7A7E" w:rsidR="00D567EC" w:rsidRDefault="00D567EC" w:rsidP="00FE603C">
      <w:pPr>
        <w:pStyle w:val="Heading1"/>
        <w:jc w:val="both"/>
      </w:pPr>
      <w:bookmarkStart w:id="0" w:name="_Toc100279824"/>
      <w:r>
        <w:lastRenderedPageBreak/>
        <w:t>Introduction</w:t>
      </w:r>
      <w:bookmarkEnd w:id="0"/>
    </w:p>
    <w:p w14:paraId="557A560C" w14:textId="77777777" w:rsidR="007503BF" w:rsidRDefault="007503BF" w:rsidP="007503BF">
      <w:pPr>
        <w:pStyle w:val="Heading2"/>
      </w:pPr>
      <w:bookmarkStart w:id="1" w:name="_Toc100279825"/>
      <w:r>
        <w:t>Project Objectives</w:t>
      </w:r>
      <w:bookmarkEnd w:id="1"/>
    </w:p>
    <w:p w14:paraId="7B06F88E" w14:textId="79119E43" w:rsidR="007503BF" w:rsidRPr="007503BF" w:rsidRDefault="007503BF" w:rsidP="000961AB">
      <w:pPr>
        <w:jc w:val="both"/>
      </w:pPr>
      <w:r>
        <w:t xml:space="preserve">The main goal of this project is </w:t>
      </w:r>
      <w:r w:rsidR="00AA7B58">
        <w:t>to assimilate</w:t>
      </w:r>
      <w:r>
        <w:t>, analyse, and present the NO2 levels before, during, and after the COVID-19 lockdown restrictions across the different districts of Scotland.</w:t>
      </w:r>
      <w:r w:rsidR="005B7880">
        <w:t xml:space="preserve"> In addition, the population densities of the districts will also be incorporated to investigate the contribution of this variable to the change in NO2 levels</w:t>
      </w:r>
      <w:r w:rsidR="00531E4A">
        <w:t>.</w:t>
      </w:r>
    </w:p>
    <w:p w14:paraId="712D424E" w14:textId="514D696D" w:rsidR="008876D3" w:rsidRPr="008876D3" w:rsidRDefault="008876D3" w:rsidP="008876D3">
      <w:pPr>
        <w:pStyle w:val="Heading2"/>
      </w:pPr>
      <w:bookmarkStart w:id="2" w:name="_Toc100279826"/>
      <w:r>
        <w:t>Background</w:t>
      </w:r>
      <w:bookmarkEnd w:id="2"/>
    </w:p>
    <w:p w14:paraId="4D13C974" w14:textId="5663E9E9" w:rsidR="00D85370" w:rsidRDefault="00320FF1" w:rsidP="005C335A">
      <w:pPr>
        <w:jc w:val="both"/>
      </w:pPr>
      <w:r>
        <w:t>It is well established that nitrogen dioxide</w:t>
      </w:r>
      <w:r w:rsidR="008876D3">
        <w:t xml:space="preserve"> (NO2)</w:t>
      </w:r>
      <w:r w:rsidR="00C274C6">
        <w:t xml:space="preserve"> </w:t>
      </w:r>
      <w:r w:rsidR="005C335A">
        <w:t xml:space="preserve">can have a negative effect on the environment and on the human body as a result of contact and exposure. NO2 levels have </w:t>
      </w:r>
      <w:r w:rsidR="00983FCB">
        <w:t xml:space="preserve">been </w:t>
      </w:r>
      <w:r w:rsidR="00D433CE">
        <w:t xml:space="preserve">both a local and global concern for many decades and have often been a subject of study and </w:t>
      </w:r>
      <w:r w:rsidR="00A7390E">
        <w:t>analysis, are considered a major component of air pollution and as such, are subject to stringent regulation</w:t>
      </w:r>
      <w:r w:rsidR="00D433CE">
        <w:t>.</w:t>
      </w:r>
      <w:r w:rsidR="00771E9B">
        <w:t xml:space="preserve"> Therefore, monitoring NO2 levels around areas with large human population and investigating the effect changes in these levels have on the population as well as the planet and environment, is of great importance.</w:t>
      </w:r>
    </w:p>
    <w:p w14:paraId="02FB867C" w14:textId="519FB9BE" w:rsidR="00375EBC" w:rsidRDefault="00B13129" w:rsidP="005250AF">
      <w:pPr>
        <w:pStyle w:val="Heading1"/>
      </w:pPr>
      <w:bookmarkStart w:id="3" w:name="_Toc100279827"/>
      <w:r>
        <w:t>Literature review</w:t>
      </w:r>
      <w:bookmarkEnd w:id="3"/>
    </w:p>
    <w:p w14:paraId="0662E90A" w14:textId="413F567B" w:rsidR="00B425FA" w:rsidRDefault="008E3673" w:rsidP="008E3673">
      <w:pPr>
        <w:pStyle w:val="Heading2"/>
      </w:pPr>
      <w:bookmarkStart w:id="4" w:name="_Toc100279828"/>
      <w:r>
        <w:t>NO2 Harmful effects</w:t>
      </w:r>
      <w:bookmarkEnd w:id="4"/>
    </w:p>
    <w:p w14:paraId="35E58E9E" w14:textId="586D60AC" w:rsidR="008E3673" w:rsidRDefault="00AA7E8C" w:rsidP="00AA7E8C">
      <w:pPr>
        <w:jc w:val="both"/>
      </w:pPr>
      <w:r>
        <w:t>It is well known that exposure and absorption of NO2 is dangerous, harmful,  and can lead to health problems, it has also been found that even small variations in the level of NO2 exposure can have a measurable effect on lung and breathing ability</w:t>
      </w:r>
      <w:r>
        <w:fldChar w:fldCharType="begin" w:fldLock="1"/>
      </w:r>
      <w:r w:rsidR="00C328B1">
        <w:instrText>ADDIN CSL_CITATION {"citationItems":[{"id":"ITEM-1","itemData":{"DOI":"10.1186/s12940-017-0271-z","ISSN":"1476-069X","abstract":"BACKGROUND: Daily changes in ambient concentrations of particulate matter, nitrogen oxides and ozone are associated with increased cardiopulmonary morbidity and mortality, with the lungs and their function being a vulnerable target. METHODS: To evaluate the association between daily changes in air pollution and lung function in healthy adults we obtained annual lung function measurements from a routine worker health surveillance program not designed for research purposes. Forced Vital Capacity (FVC), Forced Expiratory Volume in the first second (FEV1), FEV1/FVC and Peak Expiratory flow (PEF) from a cohort of 2449 employees were associated with daily measurements of PM(10), NO(2) and ozone at a nearby monitoring station in the North of Belgium. Repeated measures were available for the period 2011-2015. RESULTS: The mean (SD) PM(10) concentration on the day of the lung function test was 24.9 (15.5) μg/m(3). A 10 μg PM(10)/m(3) increase on the day of the clinical examination was associated with a 18.9 ml lower FVC (95% CI: -27.5 to -10.3, p &lt; 0.0001), 12.8 ml lower FEV1 (-19.1 to -6.5; p &lt; 0.0001), and a 51.4 ml/s lower PEF (-75.0 to -27.0; p &lt; 0.0001). The FEV1/FVC-ratio showed no associations. An increase of 10 μgNO(2)/m(3) was associated with a reduction in PEF (-66.1 ml/s (-106.6 to -25.6; p &lt; 0.001)) on the day of the examination. CONCLUSIONS: We found negative associations between daily variations in ambient air pollution and FVC, FEV1 and PEF in healthy adults.","author":[{"dropping-particle":"","family":"Int Panis","given":"Luc","non-dropping-particle":"","parse-names":false,"suffix":""},{"dropping-particle":"","family":"Provost","given":"Eline B","non-dropping-particle":"","parse-names":false,"suffix":""},{"dropping-particle":"","family":"Cox","given":"Bianca","non-dropping-particle":"","parse-names":false,"suffix":""},{"dropping-particle":"","family":"Louwies","given":"Tijs","non-dropping-particle":"","parse-names":false,"suffix":""},{"dropping-particle":"","family":"Laeremans","given":"Michelle","non-dropping-particle":"","parse-names":false,"suffix":""},{"dropping-particle":"","family":"Standaert","given":"Arnout","non-dropping-particle":"","parse-names":false,"suffix":""},{"dropping-particle":"","family":"Dons","given":"Evi","non-dropping-particle":"","parse-names":false,"suffix":""},{"dropping-particle":"","family":"Holmstock","given":"Luc","non-dropping-particle":"","parse-names":false,"suffix":""},{"dropping-particle":"","family":"Nawrot","given":"Tim","non-dropping-particle":"","parse-names":false,"suffix":""},{"dropping-particle":"","family":"Boever","given":"Patrick","non-dropping-particle":"De","parse-names":false,"suffix":""}],"container-title":"Environmental health : a global access science source","id":"ITEM-1","issue":"1","issued":{"date-parts":[["2017","6","14"]]},"language":"eng","page":"60","publisher":"BioMed Central","title":"Short-term air pollution exposure decreases lung function: a repeated measures study in healthy adults","type":"article-journal","volume":"16"},"uris":["http://www.mendeley.com/documents/?uuid=47e61d57-6f40-4f23-990e-3b555e588970"]}],"mendeley":{"formattedCitation":"[1]","plainTextFormattedCitation":"[1]","previouslyFormattedCitation":"[1]"},"properties":{"noteIndex":0},"schema":"https://github.com/citation-style-language/schema/raw/master/csl-citation.json"}</w:instrText>
      </w:r>
      <w:r>
        <w:fldChar w:fldCharType="separate"/>
      </w:r>
      <w:r w:rsidRPr="00AA7E8C">
        <w:rPr>
          <w:noProof/>
        </w:rPr>
        <w:t>[1]</w:t>
      </w:r>
      <w:r>
        <w:fldChar w:fldCharType="end"/>
      </w:r>
      <w:r w:rsidR="00C328B1">
        <w:t>, and these effects can be observed within hours of exposure</w:t>
      </w:r>
      <w:r w:rsidR="00C328B1">
        <w:fldChar w:fldCharType="begin" w:fldLock="1"/>
      </w:r>
      <w:r w:rsidR="00C328B1">
        <w:instrText>ADDIN CSL_CITATION {"citationItems":[{"id":"ITEM-1","itemData":{"DOI":"10.1186/s12940-017-0271-z","ISSN":"1476-069X","abstract":"BACKGROUND: Daily changes in ambient concentrations of particulate matter, nitrogen oxides and ozone are associated with increased cardiopulmonary morbidity and mortality, with the lungs and their function being a vulnerable target. METHODS: To evaluate the association between daily changes in air pollution and lung function in healthy adults we obtained annual lung function measurements from a routine worker health surveillance program not designed for research purposes. Forced Vital Capacity (FVC), Forced Expiratory Volume in the first second (FEV1), FEV1/FVC and Peak Expiratory flow (PEF) from a cohort of 2449 employees were associated with daily measurements of PM(10), NO(2) and ozone at a nearby monitoring station in the North of Belgium. Repeated measures were available for the period 2011-2015. RESULTS: The mean (SD) PM(10) concentration on the day of the lung function test was 24.9 (15.5) μg/m(3). A 10 μg PM(10)/m(3) increase on the day of the clinical examination was associated with a 18.9 ml lower FVC (95% CI: -27.5 to -10.3, p &lt; 0.0001), 12.8 ml lower FEV1 (-19.1 to -6.5; p &lt; 0.0001), and a 51.4 ml/s lower PEF (-75.0 to -27.0; p &lt; 0.0001). The FEV1/FVC-ratio showed no associations. An increase of 10 μgNO(2)/m(3) was associated with a reduction in PEF (-66.1 ml/s (-106.6 to -25.6; p &lt; 0.001)) on the day of the examination. CONCLUSIONS: We found negative associations between daily variations in ambient air pollution and FVC, FEV1 and PEF in healthy adults.","author":[{"dropping-particle":"","family":"Int Panis","given":"Luc","non-dropping-particle":"","parse-names":false,"suffix":""},{"dropping-particle":"","family":"Provost","given":"Eline B","non-dropping-particle":"","parse-names":false,"suffix":""},{"dropping-particle":"","family":"Cox","given":"Bianca","non-dropping-particle":"","parse-names":false,"suffix":""},{"dropping-particle":"","family":"Louwies","given":"Tijs","non-dropping-particle":"","parse-names":false,"suffix":""},{"dropping-particle":"","family":"Laeremans","given":"Michelle","non-dropping-particle":"","parse-names":false,"suffix":""},{"dropping-particle":"","family":"Standaert","given":"Arnout","non-dropping-particle":"","parse-names":false,"suffix":""},{"dropping-particle":"","family":"Dons","given":"Evi","non-dropping-particle":"","parse-names":false,"suffix":""},{"dropping-particle":"","family":"Holmstock","given":"Luc","non-dropping-particle":"","parse-names":false,"suffix":""},{"dropping-particle":"","family":"Nawrot","given":"Tim","non-dropping-particle":"","parse-names":false,"suffix":""},{"dropping-particle":"","family":"Boever","given":"Patrick","non-dropping-particle":"De","parse-names":false,"suffix":""}],"container-title":"Environmental health : a global access science source","id":"ITEM-1","issue":"1","issued":{"date-parts":[["2017","6","14"]]},"language":"eng","page":"60","publisher":"BioMed Central","title":"Short-term air pollution exposure decreases lung function: a repeated measures study in healthy adults","type":"article-journal","volume":"16"},"uris":["http://www.mendeley.com/documents/?uuid=47e61d57-6f40-4f23-990e-3b555e588970"]}],"mendeley":{"formattedCitation":"[1]","plainTextFormattedCitation":"[1]","previouslyFormattedCitation":"[1]"},"properties":{"noteIndex":0},"schema":"https://github.com/citation-style-language/schema/raw/master/csl-citation.json"}</w:instrText>
      </w:r>
      <w:r w:rsidR="00C328B1">
        <w:fldChar w:fldCharType="separate"/>
      </w:r>
      <w:r w:rsidR="00C328B1" w:rsidRPr="00C328B1">
        <w:rPr>
          <w:noProof/>
        </w:rPr>
        <w:t>[1]</w:t>
      </w:r>
      <w:r w:rsidR="00C328B1">
        <w:fldChar w:fldCharType="end"/>
      </w:r>
      <w:r w:rsidR="00C328B1">
        <w:t>. The negative effects have been shown to be lesser for short-term exposure, and subsequently greater for long-term exposure, regardless of the exposure level, which “</w:t>
      </w:r>
      <w:r w:rsidR="00C328B1" w:rsidRPr="00C328B1">
        <w:t>might be suggestive for a cumulative effect of air pollution exposure</w:t>
      </w:r>
      <w:r w:rsidR="00C328B1">
        <w:t>”</w:t>
      </w:r>
      <w:r w:rsidR="00C328B1">
        <w:fldChar w:fldCharType="begin" w:fldLock="1"/>
      </w:r>
      <w:r w:rsidR="004B75EB">
        <w:instrText>ADDIN CSL_CITATION {"citationItems":[{"id":"ITEM-1","itemData":{"DOI":"10.1186/s12940-017-0271-z","ISSN":"1476-069X","abstract":"BACKGROUND: Daily changes in ambient concentrations of particulate matter, nitrogen oxides and ozone are associated with increased cardiopulmonary morbidity and mortality, with the lungs and their function being a vulnerable target. METHODS: To evaluate the association between daily changes in air pollution and lung function in healthy adults we obtained annual lung function measurements from a routine worker health surveillance program not designed for research purposes. Forced Vital Capacity (FVC), Forced Expiratory Volume in the first second (FEV1), FEV1/FVC and Peak Expiratory flow (PEF) from a cohort of 2449 employees were associated with daily measurements of PM(10), NO(2) and ozone at a nearby monitoring station in the North of Belgium. Repeated measures were available for the period 2011-2015. RESULTS: The mean (SD) PM(10) concentration on the day of the lung function test was 24.9 (15.5) μg/m(3). A 10 μg PM(10)/m(3) increase on the day of the clinical examination was associated with a 18.9 ml lower FVC (95% CI: -27.5 to -10.3, p &lt; 0.0001), 12.8 ml lower FEV1 (-19.1 to -6.5; p &lt; 0.0001), and a 51.4 ml/s lower PEF (-75.0 to -27.0; p &lt; 0.0001). The FEV1/FVC-ratio showed no associations. An increase of 10 μgNO(2)/m(3) was associated with a reduction in PEF (-66.1 ml/s (-106.6 to -25.6; p &lt; 0.001)) on the day of the examination. CONCLUSIONS: We found negative associations between daily variations in ambient air pollution and FVC, FEV1 and PEF in healthy adults.","author":[{"dropping-particle":"","family":"Int Panis","given":"Luc","non-dropping-particle":"","parse-names":false,"suffix":""},{"dropping-particle":"","family":"Provost","given":"Eline B","non-dropping-particle":"","parse-names":false,"suffix":""},{"dropping-particle":"","family":"Cox","given":"Bianca","non-dropping-particle":"","parse-names":false,"suffix":""},{"dropping-particle":"","family":"Louwies","given":"Tijs","non-dropping-particle":"","parse-names":false,"suffix":""},{"dropping-particle":"","family":"Laeremans","given":"Michelle","non-dropping-particle":"","parse-names":false,"suffix":""},{"dropping-particle":"","family":"Standaert","given":"Arnout","non-dropping-particle":"","parse-names":false,"suffix":""},{"dropping-particle":"","family":"Dons","given":"Evi","non-dropping-particle":"","parse-names":false,"suffix":""},{"dropping-particle":"","family":"Holmstock","given":"Luc","non-dropping-particle":"","parse-names":false,"suffix":""},{"dropping-particle":"","family":"Nawrot","given":"Tim","non-dropping-particle":"","parse-names":false,"suffix":""},{"dropping-particle":"","family":"Boever","given":"Patrick","non-dropping-particle":"De","parse-names":false,"suffix":""}],"container-title":"Environmental health : a global access science source","id":"ITEM-1","issue":"1","issued":{"date-parts":[["2017","6","14"]]},"language":"eng","page":"60","publisher":"BioMed Central","title":"Short-term air pollution exposure decreases lung function: a repeated measures study in healthy adults","type":"article-journal","volume":"16"},"uris":["http://www.mendeley.com/documents/?uuid=47e61d57-6f40-4f23-990e-3b555e588970"]}],"mendeley":{"formattedCitation":"[1]","plainTextFormattedCitation":"[1]","previouslyFormattedCitation":"[1]"},"properties":{"noteIndex":0},"schema":"https://github.com/citation-style-language/schema/raw/master/csl-citation.json"}</w:instrText>
      </w:r>
      <w:r w:rsidR="00C328B1">
        <w:fldChar w:fldCharType="separate"/>
      </w:r>
      <w:r w:rsidR="00C328B1" w:rsidRPr="00C328B1">
        <w:rPr>
          <w:noProof/>
        </w:rPr>
        <w:t>[1]</w:t>
      </w:r>
      <w:r w:rsidR="00C328B1">
        <w:fldChar w:fldCharType="end"/>
      </w:r>
      <w:r w:rsidR="00C328B1">
        <w:t>.</w:t>
      </w:r>
    </w:p>
    <w:p w14:paraId="247FDD1B" w14:textId="7EC935AE" w:rsidR="000C248A" w:rsidRDefault="004B75EB" w:rsidP="00AA7E8C">
      <w:pPr>
        <w:jc w:val="both"/>
      </w:pPr>
      <w:r>
        <w:t>In addition to causing the above-mentioned issues, NO2 exposure can also exacerbate the negative effects of pre-existing breathing conditions such as asthma, as well as worsen the state of the immune system</w:t>
      </w:r>
      <w:r>
        <w:fldChar w:fldCharType="begin" w:fldLock="1"/>
      </w:r>
      <w:r w:rsidR="006F576F">
        <w:instrText>ADDIN CSL_CITATION {"citationItems":[{"id":"ITEM-1","itemData":{"URL":"https://www.epa.gov/no2-pollution","accessed":{"date-parts":[["2022","4","5"]]},"author":[{"dropping-particle":"","family":"Environmental Protection Agency United States","given":"","non-dropping-particle":"","parse-names":false,"suffix":""}],"container-title":"EPA","id":"ITEM-1","issued":{"date-parts":[["0"]]},"title":"Nitrogen Dioxide (NO2) Pollution","type":"webpage"},"uris":["http://www.mendeley.com/documents/?uuid=d04b6721-b992-451c-9e86-fa76500f4a17"]}],"mendeley":{"formattedCitation":"[2]","plainTextFormattedCitation":"[2]","previouslyFormattedCitation":"[2]"},"properties":{"noteIndex":0},"schema":"https://github.com/citation-style-language/schema/raw/master/csl-citation.json"}</w:instrText>
      </w:r>
      <w:r>
        <w:fldChar w:fldCharType="separate"/>
      </w:r>
      <w:r w:rsidRPr="004B75EB">
        <w:rPr>
          <w:noProof/>
        </w:rPr>
        <w:t>[2]</w:t>
      </w:r>
      <w:r>
        <w:fldChar w:fldCharType="end"/>
      </w:r>
      <w:r>
        <w:t>.</w:t>
      </w:r>
    </w:p>
    <w:p w14:paraId="1E337C07" w14:textId="3045BFE9" w:rsidR="002A5421" w:rsidRDefault="00E4444B" w:rsidP="00AA7E8C">
      <w:pPr>
        <w:jc w:val="both"/>
      </w:pPr>
      <w:r>
        <w:t>Very high levels of exposure</w:t>
      </w:r>
      <w:r w:rsidR="00A6612B">
        <w:t>, predictably can cause serious and immediate effects, like constriction</w:t>
      </w:r>
      <w:r w:rsidR="006F576F">
        <w:t xml:space="preserve"> and inflammation</w:t>
      </w:r>
      <w:r w:rsidR="00A6612B">
        <w:t xml:space="preserve"> of the airways</w:t>
      </w:r>
      <w:r w:rsidR="006F576F">
        <w:t xml:space="preserve"> and lungs. In the long term, high levels of exposure correlates with a risk of pneumonia and bronchitis</w:t>
      </w:r>
      <w:r w:rsidR="006F576F">
        <w:fldChar w:fldCharType="begin" w:fldLock="1"/>
      </w:r>
      <w:r w:rsidR="000C7CE7">
        <w:instrText>ADDIN CSL_CITATION {"citationItems":[{"id":"ITEM-1","itemData":{"DOI":"10.1163/9789004313507_012","ISBN":"9781315689043","author":[{"dropping-particle":"","family":"Environmental Protection Agency United States","given":"","non-dropping-particle":"","parse-names":false,"suffix":""}],"id":"ITEM-1","issued":{"date-parts":[["2016"]]},"title":"Integrated Science Assessment for Oxides of Nitrogen—Health Criteria","type":"report"},"uris":["http://www.mendeley.com/documents/?uuid=609fd381-bcf8-4fb4-97e1-18235e203d14"]}],"mendeley":{"formattedCitation":"[3]","plainTextFormattedCitation":"[3]","previouslyFormattedCitation":"[3]"},"properties":{"noteIndex":0},"schema":"https://github.com/citation-style-language/schema/raw/master/csl-citation.json"}</w:instrText>
      </w:r>
      <w:r w:rsidR="006F576F">
        <w:fldChar w:fldCharType="separate"/>
      </w:r>
      <w:r w:rsidR="006F576F" w:rsidRPr="006F576F">
        <w:rPr>
          <w:noProof/>
        </w:rPr>
        <w:t>[3]</w:t>
      </w:r>
      <w:r w:rsidR="006F576F">
        <w:fldChar w:fldCharType="end"/>
      </w:r>
      <w:r w:rsidR="006F576F">
        <w:t>.</w:t>
      </w:r>
      <w:r w:rsidR="00B27F87">
        <w:t xml:space="preserve"> External exposure to the skin and body </w:t>
      </w:r>
      <w:r w:rsidR="009D1CD3">
        <w:t>is also dangerous with NO2 exhibiting corrosivity, resulting in chemical burns and irritation</w:t>
      </w:r>
      <w:r w:rsidR="000C7CE7">
        <w:fldChar w:fldCharType="begin" w:fldLock="1"/>
      </w:r>
      <w:r w:rsidR="008B6608">
        <w:instrText>ADDIN CSL_CITATION {"citationItems":[{"id":"ITEM-1","itemData":{"URL":"https://pubchem.ncbi.nlm.nih.gov/compound/nitrogen dioxide","author":[{"dropping-particle":"","family":"PubChem","given":"","non-dropping-particle":"","parse-names":false,"suffix":""}],"id":"ITEM-1","issued":{"date-parts":[["0"]]},"title":"PubChem National Library of Medicine - Nitrogen Dioxide","type":"webpage"},"uris":["http://www.mendeley.com/documents/?uuid=64c3d5a6-697e-4ebf-a456-5a3b91446667"]}],"mendeley":{"formattedCitation":"[4]","plainTextFormattedCitation":"[4]","previouslyFormattedCitation":"[4]"},"properties":{"noteIndex":0},"schema":"https://github.com/citation-style-language/schema/raw/master/csl-citation.json"}</w:instrText>
      </w:r>
      <w:r w:rsidR="000C7CE7">
        <w:fldChar w:fldCharType="separate"/>
      </w:r>
      <w:r w:rsidR="000C7CE7" w:rsidRPr="000C7CE7">
        <w:rPr>
          <w:noProof/>
        </w:rPr>
        <w:t>[4]</w:t>
      </w:r>
      <w:r w:rsidR="000C7CE7">
        <w:fldChar w:fldCharType="end"/>
      </w:r>
      <w:r w:rsidR="009D1CD3">
        <w:t>.</w:t>
      </w:r>
    </w:p>
    <w:p w14:paraId="3D13623F" w14:textId="72F32D04" w:rsidR="00170F99" w:rsidRDefault="008B6608" w:rsidP="00AA7E8C">
      <w:pPr>
        <w:jc w:val="both"/>
      </w:pPr>
      <w:r>
        <w:t>With respect to nature and the environment, NO2 has been shown to be a major contributor the acid rain, as well as limit plant growth</w:t>
      </w:r>
      <w:r>
        <w:fldChar w:fldCharType="begin" w:fldLock="1"/>
      </w:r>
      <w:r w:rsidR="00835866">
        <w:instrText>ADDIN CSL_CITATION {"citationItems":[{"id":"ITEM-1","itemData":{"URL":"https://www.epa.gov/no2-pollution","accessed":{"date-parts":[["2022","4","5"]]},"author":[{"dropping-particle":"","family":"Environmental Protection Agency United States","given":"","non-dropping-particle":"","parse-names":false,"suffix":""}],"container-title":"EPA","id":"ITEM-1","issued":{"date-parts":[["0"]]},"title":"Nitrogen Dioxide (NO2) Pollution","type":"webpage"},"uris":["http://www.mendeley.com/documents/?uuid=d04b6721-b992-451c-9e86-fa76500f4a17"]}],"mendeley":{"formattedCitation":"[2]","plainTextFormattedCitation":"[2]","previouslyFormattedCitation":"[2]"},"properties":{"noteIndex":0},"schema":"https://github.com/citation-style-language/schema/raw/master/csl-citation.json"}</w:instrText>
      </w:r>
      <w:r>
        <w:fldChar w:fldCharType="separate"/>
      </w:r>
      <w:r w:rsidRPr="008B6608">
        <w:rPr>
          <w:noProof/>
        </w:rPr>
        <w:t>[2]</w:t>
      </w:r>
      <w:r>
        <w:fldChar w:fldCharType="end"/>
      </w:r>
      <w:r w:rsidR="002C05BA">
        <w:t>. Considering these effects, it is clear that NO2 levels have a direct effect on the health of the environment, and also on the efficiency of agriculture</w:t>
      </w:r>
      <w:r w:rsidR="00CB6C6E">
        <w:t>.</w:t>
      </w:r>
      <w:r w:rsidR="00115DC8">
        <w:t xml:space="preserve"> NO2 is also responsible for reducing visibility in the atmosphere</w:t>
      </w:r>
      <w:r w:rsidR="00115DC8">
        <w:fldChar w:fldCharType="begin" w:fldLock="1"/>
      </w:r>
      <w:r w:rsidR="009053BE">
        <w:instrText>ADDIN CSL_CITATION {"citationItems":[{"id":"ITEM-1","itemData":{"URL":"https://www.epa.gov/no2-pollution","accessed":{"date-parts":[["2022","4","5"]]},"author":[{"dropping-particle":"","family":"Environmental Protection Agency United States","given":"","non-dropping-particle":"","parse-names":false,"suffix":""}],"container-title":"EPA","id":"ITEM-1","issued":{"date-parts":[["0"]]},"title":"Nitrogen Dioxide (NO2) Pollution","type":"webpage"},"uris":["http://www.mendeley.com/documents/?uuid=d04b6721-b992-451c-9e86-fa76500f4a17"]}],"mendeley":{"formattedCitation":"[2]","plainTextFormattedCitation":"[2]","previouslyFormattedCitation":"[2]"},"properties":{"noteIndex":0},"schema":"https://github.com/citation-style-language/schema/raw/master/csl-citation.json"}</w:instrText>
      </w:r>
      <w:r w:rsidR="00115DC8">
        <w:fldChar w:fldCharType="separate"/>
      </w:r>
      <w:r w:rsidR="00115DC8" w:rsidRPr="00115DC8">
        <w:rPr>
          <w:noProof/>
        </w:rPr>
        <w:t>[2]</w:t>
      </w:r>
      <w:r w:rsidR="00115DC8">
        <w:fldChar w:fldCharType="end"/>
      </w:r>
      <w:r w:rsidR="00115DC8">
        <w:t>.</w:t>
      </w:r>
    </w:p>
    <w:p w14:paraId="1D0AC647" w14:textId="63915552" w:rsidR="008E3673" w:rsidRDefault="008E3673" w:rsidP="008E3673">
      <w:pPr>
        <w:pStyle w:val="Heading2"/>
      </w:pPr>
      <w:bookmarkStart w:id="5" w:name="_Toc100279829"/>
      <w:r>
        <w:t>NO2 Sources and Production</w:t>
      </w:r>
      <w:bookmarkEnd w:id="5"/>
    </w:p>
    <w:p w14:paraId="78EE7A03" w14:textId="3C0E78C6" w:rsidR="00BF27BC" w:rsidRDefault="00591A04" w:rsidP="00835866">
      <w:pPr>
        <w:jc w:val="both"/>
      </w:pPr>
      <w:r>
        <w:t>NO2 is present through natural sources like, volcanic eruptions, and</w:t>
      </w:r>
      <w:r w:rsidR="00835866">
        <w:t xml:space="preserve"> as a product of bacteria. However, NO2 is most prominently produced as a result of internal combustion engines found in vehicles</w:t>
      </w:r>
      <w:r w:rsidR="002155E9">
        <w:t xml:space="preserve"> and industrial equipment</w:t>
      </w:r>
      <w:r w:rsidR="00835866">
        <w:fldChar w:fldCharType="begin" w:fldLock="1"/>
      </w:r>
      <w:r w:rsidR="00EC6FB0">
        <w:instrText>ADDIN CSL_CITATION {"citationItems":[{"id":"ITEM-1","itemData":{"URL":"https://www.epa.gov/no2-pollution","accessed":{"date-parts":[["2022","4","5"]]},"author":[{"dropping-particle":"","family":"Environmental Protection Agency United States","given":"","non-dropping-particle":"","parse-names":false,"suffix":""}],"container-title":"EPA","id":"ITEM-1","issued":{"date-parts":[["0"]]},"title":"Nitrogen Dioxide (NO2) Pollution","type":"webpage"},"uris":["http://www.mendeley.com/documents/?uuid=d04b6721-b992-451c-9e86-fa76500f4a17"]}],"mendeley":{"formattedCitation":"[2]","plainTextFormattedCitation":"[2]","previouslyFormattedCitation":"[2]"},"properties":{"noteIndex":0},"schema":"https://github.com/citation-style-language/schema/raw/master/csl-citation.json"}</w:instrText>
      </w:r>
      <w:r w:rsidR="00835866">
        <w:fldChar w:fldCharType="separate"/>
      </w:r>
      <w:r w:rsidR="00835866" w:rsidRPr="00835866">
        <w:rPr>
          <w:noProof/>
        </w:rPr>
        <w:t>[2]</w:t>
      </w:r>
      <w:r w:rsidR="00835866">
        <w:fldChar w:fldCharType="end"/>
      </w:r>
      <w:r w:rsidR="002155E9">
        <w:t xml:space="preserve">. </w:t>
      </w:r>
      <w:r w:rsidR="002155E9">
        <w:lastRenderedPageBreak/>
        <w:t>It is generally produce</w:t>
      </w:r>
      <w:r w:rsidR="00252959">
        <w:t>d</w:t>
      </w:r>
      <w:r w:rsidR="002155E9">
        <w:t xml:space="preserve"> through combustion, </w:t>
      </w:r>
      <w:r w:rsidR="00252959">
        <w:t>with notable domestic sources being smoking, and gas cookers.</w:t>
      </w:r>
      <w:r w:rsidR="00A70DEE">
        <w:t xml:space="preserve"> As a result, strict regulations have been placed on NO2 production and exposure. Notably, the introduction and requirement of catalytic converters to the exhaust systems of internal combustion engines</w:t>
      </w:r>
      <w:r w:rsidR="00EC6FB0">
        <w:t>, these devices help to limit the amount of NO2 released</w:t>
      </w:r>
      <w:r w:rsidR="00EC6FB0">
        <w:fldChar w:fldCharType="begin" w:fldLock="1"/>
      </w:r>
      <w:r w:rsidR="00A004D3">
        <w:instrText>ADDIN CSL_CITATION {"citationItems":[{"id":"ITEM-1","itemData":{"DOI":"10.1016/S0920-5861(02)00384-X","ISSN":"09205861","abstract":"Automotive three-way catalysts (TWCs) have represented over the last 25 years one of the most successful stories in the development of catalysts. The aim of this paper is to illustrate the technology for abatement of exhaust emissions by analysing the current understanding of TWCs, the specific role of the various components, the achievements and the limitations. The challenges in the development of new automotive catalysts, which can meet future highly demanding pollution abatement requirements, are also discussed. © 2002 Elsevier Science B.V. All rights reserved.","author":[{"dropping-particle":"","family":"Kašpar","given":"Jan","non-dropping-particle":"","parse-names":false,"suffix":""},{"dropping-particle":"","family":"Fornasiero","given":"Paolo","non-dropping-particle":"","parse-names":false,"suffix":""},{"dropping-particle":"","family":"Hickey","given":"Neal","non-dropping-particle":"","parse-names":false,"suffix":""}],"container-title":"Catalysis Today","id":"ITEM-1","issue":"4","issued":{"date-parts":[["2003"]]},"page":"419-449","title":"Automotive catalytic converters: Current status and some perspectives","type":"article-journal","volume":"77"},"uris":["http://www.mendeley.com/documents/?uuid=5e6855c4-0b1d-4d64-924c-f1a9b8d3ed86"]}],"mendeley":{"formattedCitation":"[5]","plainTextFormattedCitation":"[5]","previouslyFormattedCitation":"[5]"},"properties":{"noteIndex":0},"schema":"https://github.com/citation-style-language/schema/raw/master/csl-citation.json"}</w:instrText>
      </w:r>
      <w:r w:rsidR="00EC6FB0">
        <w:fldChar w:fldCharType="separate"/>
      </w:r>
      <w:r w:rsidR="00EC6FB0" w:rsidRPr="00EC6FB0">
        <w:rPr>
          <w:noProof/>
        </w:rPr>
        <w:t>[5]</w:t>
      </w:r>
      <w:r w:rsidR="00EC6FB0">
        <w:fldChar w:fldCharType="end"/>
      </w:r>
      <w:r w:rsidR="00145E6F">
        <w:t>, as part of</w:t>
      </w:r>
      <w:r w:rsidR="00BA4AE3">
        <w:t xml:space="preserve"> the</w:t>
      </w:r>
      <w:r w:rsidR="00145E6F">
        <w:t xml:space="preserve"> vehicle pollution emissions standards. The accumulation of NO2 around centres of population is also subject to regulation with the city of Glasgow, looking to introduce a “Low Emissions Zone”</w:t>
      </w:r>
      <w:r w:rsidR="007925B1">
        <w:t xml:space="preserve"> in 2023,</w:t>
      </w:r>
      <w:r w:rsidR="00145E6F">
        <w:t xml:space="preserve"> allowing only certain vehicles into the city in order to limit pollution</w:t>
      </w:r>
      <w:r w:rsidR="00A004D3">
        <w:t xml:space="preserve"> and improve air quality</w:t>
      </w:r>
      <w:r w:rsidR="00A004D3">
        <w:fldChar w:fldCharType="begin" w:fldLock="1"/>
      </w:r>
      <w:r w:rsidR="00115DC8">
        <w:instrText>ADDIN CSL_CITATION {"citationItems":[{"id":"ITEM-1","itemData":{"URL":"https://www.glasgow.gov.uk/LEZ","author":[{"dropping-particle":"","family":"City Council Glasgow","given":"","non-dropping-particle":"","parse-names":false,"suffix":""}],"id":"ITEM-1","issued":{"date-parts":[["0"]]},"title":"Glasgow City Council - LEZ","type":"webpage"},"uris":["http://www.mendeley.com/documents/?uuid=6862cb9f-246b-4b50-958c-ebe97896e94b"]}],"mendeley":{"formattedCitation":"[6]","plainTextFormattedCitation":"[6]","previouslyFormattedCitation":"[6]"},"properties":{"noteIndex":0},"schema":"https://github.com/citation-style-language/schema/raw/master/csl-citation.json"}</w:instrText>
      </w:r>
      <w:r w:rsidR="00A004D3">
        <w:fldChar w:fldCharType="separate"/>
      </w:r>
      <w:r w:rsidR="00A004D3" w:rsidRPr="00A004D3">
        <w:rPr>
          <w:noProof/>
        </w:rPr>
        <w:t>[6]</w:t>
      </w:r>
      <w:r w:rsidR="00A004D3">
        <w:fldChar w:fldCharType="end"/>
      </w:r>
      <w:r w:rsidR="00FB60B6">
        <w:t>.</w:t>
      </w:r>
      <w:r w:rsidR="00050AC3">
        <w:t xml:space="preserve"> Similar types of schemes have been implemented with success in other cities</w:t>
      </w:r>
      <w:r w:rsidR="0012716F">
        <w:t xml:space="preserve">, such as the </w:t>
      </w:r>
      <w:r w:rsidR="007925B1">
        <w:t>well-known</w:t>
      </w:r>
      <w:r w:rsidR="0012716F">
        <w:t xml:space="preserve"> “ULEZ” in London.</w:t>
      </w:r>
    </w:p>
    <w:p w14:paraId="38886B0D" w14:textId="68345969" w:rsidR="008E3673" w:rsidRDefault="008E3673" w:rsidP="00774FA4">
      <w:pPr>
        <w:pStyle w:val="Heading2"/>
      </w:pPr>
      <w:bookmarkStart w:id="6" w:name="_Toc100279830"/>
      <w:r>
        <w:t xml:space="preserve">Previous </w:t>
      </w:r>
      <w:r w:rsidR="007860D8">
        <w:t>Resea</w:t>
      </w:r>
      <w:r w:rsidR="001C1D00">
        <w:t>r</w:t>
      </w:r>
      <w:r w:rsidR="007860D8">
        <w:t>ch</w:t>
      </w:r>
      <w:bookmarkEnd w:id="6"/>
    </w:p>
    <w:p w14:paraId="22289EC2" w14:textId="782B8920" w:rsidR="008E3673" w:rsidRPr="008E3673" w:rsidRDefault="000823FC" w:rsidP="007E5D39">
      <w:pPr>
        <w:jc w:val="both"/>
      </w:pPr>
      <w:r>
        <w:t xml:space="preserve">Research into studying and tracking the </w:t>
      </w:r>
      <w:r w:rsidR="001523A9">
        <w:t>air quality</w:t>
      </w:r>
      <w:r>
        <w:t xml:space="preserve"> levels in the USA</w:t>
      </w:r>
      <w:r w:rsidR="007E5D39">
        <w:t xml:space="preserve"> from the mid 2000’s</w:t>
      </w:r>
      <w:r>
        <w:t xml:space="preserve"> has shown a continuous decrease</w:t>
      </w:r>
      <w:r w:rsidR="007E5D39">
        <w:t xml:space="preserve"> </w:t>
      </w:r>
      <w:r w:rsidR="001523A9">
        <w:t xml:space="preserve">in </w:t>
      </w:r>
      <w:r w:rsidR="00047E8C">
        <w:t xml:space="preserve">NO2 levels among other pollutants, directly correlated to a reduction on </w:t>
      </w:r>
      <w:r w:rsidR="009053BE">
        <w:t>emissions</w:t>
      </w:r>
      <w:r w:rsidR="009053BE">
        <w:fldChar w:fldCharType="begin" w:fldLock="1"/>
      </w:r>
      <w:r w:rsidR="009053BE">
        <w:instrText>ADDIN CSL_CITATION {"citationItems":[{"id":"ITEM-1","itemData":{"DOI":"10.5194/acp-19-8863-2019","ISSN":"16807324","abstract":"The National Emission Inventory (NEI) of the US Environmental Protection Agency (EPA) reports a steady decrease in US NOx emissions over the 2005-2017 period at a rate of 0.1TgNa-1 (53% decrease over the period), reflecting sustained efforts to improve air quality. Tropospheric NO2 columns observed by the satellite-based Ozone Monitoring Instrument (OMI) over the US show a steady decrease until 2009 but a flattening afterward, which has been attributed to a flattening of NOx emissions, contradicting the NEI. We show here that the steady 2005-2017 decrease in NOx emissions reported by the NEI is in fact largely consistent with observed network trends of surface NO2 and ozone concentrations. The OMI NO2 trend is instead similar to that observed for nitrate wet deposition fluxes, which is weaker than that for anthropogenic NOx emissions, due to a large and increasing relative contribution of non-anthropogenic background sources of NOx (mainly lightning and soils). This is confirmed by contrasting OMI NO2 trends in urban winter, where the background is low and OMI NO2 shows a 2005-2017 decrease consistent with the NEI, and rural summer, where the background is high and OMI NO2 shows no significant 2005-2017 trend. A GEOS-Chem model simulation driven by NEI emission trends for the 2005-2017 period reproduces these different trends, except for the post-2009 flattening of OMI NO2, which we attribute to a model underestimate of free tropospheric NO2. Better understanding is needed of the factors controlling free tropospheric NO2 in order to relate satellite observations of tropospheric NO2 columns to the underlying NOx emissions and their trends. Focusing on urban winter conditions in the satellite data minimizes the effect of this free tropospheric background.","author":[{"dropping-particle":"","family":"Silvern","given":"Rachel F.","non-dropping-particle":"","parse-names":false,"suffix":""},{"dropping-particle":"","family":"Jacob","given":"Daniel J.","non-dropping-particle":"","parse-names":false,"suffix":""},{"dropping-particle":"","family":"Mickley","given":"Loretta J.","non-dropping-particle":"","parse-names":false,"suffix":""},{"dropping-particle":"","family":"Sulprizio","given":"Melissa P.","non-dropping-particle":"","parse-names":false,"suffix":""},{"dropping-particle":"","family":"Travis","given":"Katherine R.","non-dropping-particle":"","parse-names":false,"suffix":""},{"dropping-particle":"","family":"Marais","given":"Eloise A.","non-dropping-particle":"","parse-names":false,"suffix":""},{"dropping-particle":"","family":"Cohen","given":"Ronald C.","non-dropping-particle":"","parse-names":false,"suffix":""},{"dropping-particle":"","family":"Laughner","given":"Joshua L.","non-dropping-particle":"","parse-names":false,"suffix":""},{"dropping-particle":"","family":"Choi","given":"Sungyeon","non-dropping-particle":"","parse-names":false,"suffix":""},{"dropping-particle":"","family":"Joiner","given":"Joanna","non-dropping-particle":"","parse-names":false,"suffix":""},{"dropping-particle":"","family":"Lamsal","given":"Lok N.","non-dropping-particle":"","parse-names":false,"suffix":""}],"container-title":"Atmospheric Chemistry and Physics","id":"ITEM-1","issue":"13","issued":{"date-parts":[["2019"]]},"page":"8863-8878","title":"Using satellite observations of tropospheric NO2 columns to infer long-term trends in US NOx emissions: The importance of accounting for the free tropospheric NO2 background","type":"article-journal","volume":"19"},"uris":["http://www.mendeley.com/documents/?uuid=6ec4e3a3-d1ee-474d-adcb-176571445eae"]}],"mendeley":{"formattedCitation":"[7]","plainTextFormattedCitation":"[7]"},"properties":{"noteIndex":0},"schema":"https://github.com/citation-style-language/schema/raw/master/csl-citation.json"}</w:instrText>
      </w:r>
      <w:r w:rsidR="009053BE">
        <w:fldChar w:fldCharType="separate"/>
      </w:r>
      <w:r w:rsidR="009053BE" w:rsidRPr="009053BE">
        <w:rPr>
          <w:noProof/>
        </w:rPr>
        <w:t>[7]</w:t>
      </w:r>
      <w:r w:rsidR="009053BE">
        <w:fldChar w:fldCharType="end"/>
      </w:r>
      <w:r w:rsidR="009053BE">
        <w:t>.</w:t>
      </w:r>
    </w:p>
    <w:p w14:paraId="1B92DBA3" w14:textId="42653A58" w:rsidR="00253137" w:rsidRDefault="00E5448D" w:rsidP="00FE603C">
      <w:pPr>
        <w:pStyle w:val="Heading1"/>
        <w:jc w:val="both"/>
      </w:pPr>
      <w:bookmarkStart w:id="7" w:name="_Toc100279831"/>
      <w:r>
        <w:t>Methodology</w:t>
      </w:r>
      <w:bookmarkEnd w:id="7"/>
    </w:p>
    <w:p w14:paraId="407C1FA1" w14:textId="77777777" w:rsidR="00B12863" w:rsidRPr="00B12863" w:rsidRDefault="00B12863" w:rsidP="00B12863"/>
    <w:p w14:paraId="0DF2EAB2" w14:textId="7C688085" w:rsidR="00E5448D" w:rsidRPr="00E5448D" w:rsidRDefault="00E5448D" w:rsidP="00E5448D">
      <w:pPr>
        <w:pStyle w:val="Heading1"/>
        <w:jc w:val="both"/>
      </w:pPr>
      <w:bookmarkStart w:id="8" w:name="_Toc100279832"/>
      <w:r>
        <w:t>Results</w:t>
      </w:r>
      <w:bookmarkEnd w:id="8"/>
    </w:p>
    <w:p w14:paraId="1D2375DF" w14:textId="3CCACC4B" w:rsidR="00375EBC" w:rsidRDefault="00AB5A8C" w:rsidP="00AB5A8C">
      <w:pPr>
        <w:pStyle w:val="Heading2"/>
      </w:pPr>
      <w:bookmarkStart w:id="9" w:name="_Toc100279833"/>
      <w:r>
        <w:t>Tabulated Results</w:t>
      </w:r>
      <w:bookmarkEnd w:id="9"/>
    </w:p>
    <w:p w14:paraId="4B0C2107" w14:textId="2B5BE3D5" w:rsidR="00AB5A8C" w:rsidRDefault="00AB5A8C" w:rsidP="00AB5A8C"/>
    <w:p w14:paraId="7F40377E" w14:textId="051874FA" w:rsidR="00AB5A8C" w:rsidRDefault="00AB5A8C" w:rsidP="00AB5A8C">
      <w:pPr>
        <w:pStyle w:val="Heading2"/>
      </w:pPr>
      <w:bookmarkStart w:id="10" w:name="_Toc100279834"/>
      <w:r>
        <w:t>Visual</w:t>
      </w:r>
      <w:r w:rsidR="002B2A04">
        <w:t xml:space="preserve"> Results</w:t>
      </w:r>
      <w:bookmarkEnd w:id="10"/>
    </w:p>
    <w:p w14:paraId="783D2275" w14:textId="77777777" w:rsidR="00AB5A8C" w:rsidRPr="00AB5A8C" w:rsidRDefault="00AB5A8C" w:rsidP="00AB5A8C"/>
    <w:p w14:paraId="746DBB6F" w14:textId="2AFE9AC7" w:rsidR="00375EBC" w:rsidRDefault="00E5448D" w:rsidP="00FE603C">
      <w:pPr>
        <w:pStyle w:val="Heading1"/>
        <w:jc w:val="both"/>
      </w:pPr>
      <w:bookmarkStart w:id="11" w:name="_Toc100279835"/>
      <w:r>
        <w:t>Discussion</w:t>
      </w:r>
      <w:bookmarkEnd w:id="11"/>
    </w:p>
    <w:p w14:paraId="04847C32" w14:textId="77777777" w:rsidR="00A057DF" w:rsidRPr="00A057DF" w:rsidRDefault="00A057DF" w:rsidP="00A057DF"/>
    <w:p w14:paraId="587514A1" w14:textId="37546881" w:rsidR="00E5448D" w:rsidRPr="00E5448D" w:rsidRDefault="00E5448D" w:rsidP="00E5448D">
      <w:pPr>
        <w:pStyle w:val="Heading1"/>
      </w:pPr>
      <w:bookmarkStart w:id="12" w:name="_Toc100279836"/>
      <w:r>
        <w:t>Conclusions</w:t>
      </w:r>
      <w:bookmarkEnd w:id="12"/>
    </w:p>
    <w:p w14:paraId="30BC7FD8" w14:textId="77777777" w:rsidR="00375EBC" w:rsidRPr="00375EBC" w:rsidRDefault="00375EBC" w:rsidP="00FE603C">
      <w:pPr>
        <w:jc w:val="both"/>
      </w:pPr>
    </w:p>
    <w:p w14:paraId="31662D85" w14:textId="7D875647" w:rsidR="00432F4D" w:rsidRDefault="00432F4D">
      <w:r>
        <w:br w:type="page"/>
      </w:r>
    </w:p>
    <w:p w14:paraId="4C05D39C" w14:textId="28E9D4D1" w:rsidR="005610AA" w:rsidRDefault="00432F4D" w:rsidP="00432F4D">
      <w:pPr>
        <w:pStyle w:val="Heading1"/>
      </w:pPr>
      <w:bookmarkStart w:id="13" w:name="_Toc100279837"/>
      <w:r>
        <w:lastRenderedPageBreak/>
        <w:t>References</w:t>
      </w:r>
      <w:bookmarkEnd w:id="13"/>
    </w:p>
    <w:p w14:paraId="2D962B7F" w14:textId="77777777" w:rsidR="00432F4D" w:rsidRPr="00432F4D" w:rsidRDefault="00432F4D" w:rsidP="00432F4D"/>
    <w:sectPr w:rsidR="00432F4D" w:rsidRPr="00432F4D" w:rsidSect="008223B5">
      <w:footerReference w:type="default" r:id="rId11"/>
      <w:pgSz w:w="11906" w:h="16838"/>
      <w:pgMar w:top="1134" w:right="1418"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6B20" w14:textId="77777777" w:rsidR="00554243" w:rsidRDefault="00554243" w:rsidP="00147C33">
      <w:pPr>
        <w:spacing w:after="0" w:line="240" w:lineRule="auto"/>
      </w:pPr>
      <w:r>
        <w:separator/>
      </w:r>
    </w:p>
  </w:endnote>
  <w:endnote w:type="continuationSeparator" w:id="0">
    <w:p w14:paraId="2F8095AD" w14:textId="77777777" w:rsidR="00554243" w:rsidRDefault="00554243" w:rsidP="0014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2EF1" w14:textId="77777777" w:rsidR="00B425FA" w:rsidRPr="008223B5" w:rsidRDefault="008223B5" w:rsidP="00B425FA">
    <w:pPr>
      <w:pStyle w:val="Footer"/>
      <w:rPr>
        <w:i/>
      </w:rPr>
    </w:pPr>
    <w:r w:rsidRPr="008223B5">
      <w:rPr>
        <w:i/>
      </w:rPr>
      <w:t>S</w:t>
    </w:r>
    <w:r>
      <w:rPr>
        <w:i/>
      </w:rPr>
      <w:t>tudent No.</w:t>
    </w:r>
    <w:r>
      <w:rPr>
        <w:i/>
      </w:rPr>
      <w:tab/>
    </w:r>
    <w:r>
      <w:rP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65CD" w14:textId="15BF7235" w:rsidR="008223B5" w:rsidRPr="008223B5" w:rsidRDefault="008223B5" w:rsidP="00B425FA">
    <w:pPr>
      <w:pStyle w:val="Footer"/>
      <w:rPr>
        <w:i/>
      </w:rPr>
    </w:pPr>
    <w:r w:rsidRPr="008223B5">
      <w:rPr>
        <w:i/>
      </w:rPr>
      <w:t>Student No.</w:t>
    </w:r>
    <w:r>
      <w:rPr>
        <w:i/>
      </w:rPr>
      <w:tab/>
    </w:r>
    <w:r>
      <w:rPr>
        <w:i/>
      </w:rPr>
      <w:tab/>
    </w:r>
    <w:r w:rsidRPr="008223B5">
      <w:rPr>
        <w:i/>
      </w:rPr>
      <w:fldChar w:fldCharType="begin"/>
    </w:r>
    <w:r w:rsidRPr="008223B5">
      <w:rPr>
        <w:i/>
      </w:rPr>
      <w:instrText xml:space="preserve"> PAGE   \* MERGEFORMAT </w:instrText>
    </w:r>
    <w:r w:rsidRPr="008223B5">
      <w:rPr>
        <w:i/>
      </w:rPr>
      <w:fldChar w:fldCharType="separate"/>
    </w:r>
    <w:r w:rsidR="00C87BC5">
      <w:rPr>
        <w:i/>
        <w:noProof/>
      </w:rPr>
      <w:t>1</w:t>
    </w:r>
    <w:r w:rsidRPr="008223B5">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C960" w14:textId="77777777" w:rsidR="00554243" w:rsidRDefault="00554243" w:rsidP="00147C33">
      <w:pPr>
        <w:spacing w:after="0" w:line="240" w:lineRule="auto"/>
      </w:pPr>
      <w:r>
        <w:separator/>
      </w:r>
    </w:p>
  </w:footnote>
  <w:footnote w:type="continuationSeparator" w:id="0">
    <w:p w14:paraId="5E71503B" w14:textId="77777777" w:rsidR="00554243" w:rsidRDefault="00554243" w:rsidP="00147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EDF9" w14:textId="77777777" w:rsidR="00AD22C1" w:rsidRDefault="00AD22C1">
    <w:pPr>
      <w:pStyle w:val="Header"/>
    </w:pPr>
    <w:r>
      <w:rPr>
        <w:noProof/>
        <w:lang w:eastAsia="en-GB"/>
      </w:rPr>
      <w:drawing>
        <wp:anchor distT="0" distB="0" distL="114300" distR="114300" simplePos="0" relativeHeight="251659264" behindDoc="0" locked="0" layoutInCell="1" allowOverlap="1" wp14:anchorId="3CA2D87A" wp14:editId="4E57A1E0">
          <wp:simplePos x="0" y="0"/>
          <wp:positionH relativeFrom="column">
            <wp:posOffset>-792480</wp:posOffset>
          </wp:positionH>
          <wp:positionV relativeFrom="topMargin">
            <wp:posOffset>359410</wp:posOffset>
          </wp:positionV>
          <wp:extent cx="3404870" cy="207010"/>
          <wp:effectExtent l="0" t="0" r="508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4870" cy="2070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F5BF" w14:textId="77777777" w:rsidR="00147C33" w:rsidRDefault="00147C33">
    <w:pPr>
      <w:pStyle w:val="Header"/>
    </w:pPr>
    <w:r>
      <w:rPr>
        <w:noProof/>
        <w:lang w:eastAsia="en-GB"/>
      </w:rPr>
      <w:drawing>
        <wp:anchor distT="0" distB="0" distL="114300" distR="114300" simplePos="0" relativeHeight="251657216" behindDoc="1" locked="0" layoutInCell="1" allowOverlap="1" wp14:anchorId="12E9FB40" wp14:editId="355876CE">
          <wp:simplePos x="0" y="0"/>
          <wp:positionH relativeFrom="column">
            <wp:posOffset>-1444307</wp:posOffset>
          </wp:positionH>
          <wp:positionV relativeFrom="page">
            <wp:posOffset>9525</wp:posOffset>
          </wp:positionV>
          <wp:extent cx="7556400" cy="1728000"/>
          <wp:effectExtent l="0" t="0" r="698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anical and Aerospacel Eng portra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728000"/>
                  </a:xfrm>
                  <a:prstGeom prst="rect">
                    <a:avLst/>
                  </a:prstGeom>
                </pic:spPr>
              </pic:pic>
            </a:graphicData>
          </a:graphic>
          <wp14:sizeRelH relativeFrom="page">
            <wp14:pctWidth>0</wp14:pctWidth>
          </wp14:sizeRelH>
          <wp14:sizeRelV relativeFrom="page">
            <wp14:pctHeight>0</wp14:pctHeight>
          </wp14:sizeRelV>
        </wp:anchor>
      </w:drawing>
    </w:r>
  </w:p>
  <w:p w14:paraId="26205CDB" w14:textId="77777777" w:rsidR="00147C33" w:rsidRDefault="00147C33">
    <w:pPr>
      <w:pStyle w:val="Header"/>
    </w:pPr>
  </w:p>
  <w:p w14:paraId="42970770" w14:textId="77777777" w:rsidR="00147C33" w:rsidRDefault="00147C33">
    <w:pPr>
      <w:pStyle w:val="Header"/>
    </w:pPr>
  </w:p>
  <w:p w14:paraId="37053146" w14:textId="77777777" w:rsidR="00147C33" w:rsidRDefault="00147C33" w:rsidP="00AD22C1">
    <w:pPr>
      <w:pStyle w:val="Header"/>
      <w:jc w:val="center"/>
    </w:pPr>
  </w:p>
  <w:p w14:paraId="5D401F3F" w14:textId="77777777" w:rsidR="00147C33" w:rsidRDefault="00147C33">
    <w:pPr>
      <w:pStyle w:val="Header"/>
    </w:pPr>
  </w:p>
  <w:p w14:paraId="7FFBA566" w14:textId="77777777" w:rsidR="00147C33" w:rsidRDefault="00147C33">
    <w:pPr>
      <w:pStyle w:val="Header"/>
    </w:pPr>
  </w:p>
  <w:p w14:paraId="7405415F" w14:textId="77777777" w:rsidR="00147C33" w:rsidRDefault="00D567EC" w:rsidP="00D567EC">
    <w:pPr>
      <w:pStyle w:val="Header"/>
      <w:tabs>
        <w:tab w:val="clear" w:pos="4513"/>
        <w:tab w:val="clear" w:pos="9026"/>
        <w:tab w:val="left" w:pos="2845"/>
      </w:tabs>
    </w:pPr>
    <w:r>
      <w:tab/>
    </w:r>
  </w:p>
  <w:p w14:paraId="08A9DB84" w14:textId="77777777" w:rsidR="00147C33" w:rsidRDefault="00147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12A9"/>
    <w:multiLevelType w:val="hybridMultilevel"/>
    <w:tmpl w:val="E67EFE70"/>
    <w:lvl w:ilvl="0" w:tplc="F462DB4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1036E8"/>
    <w:multiLevelType w:val="multilevel"/>
    <w:tmpl w:val="65D88652"/>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085B03"/>
    <w:multiLevelType w:val="multilevel"/>
    <w:tmpl w:val="06D8DC08"/>
    <w:styleLink w:val="Style1"/>
    <w:lvl w:ilvl="0">
      <w:start w:val="1"/>
      <w:numFmt w:val="decimal"/>
      <w:pStyle w:val="Heading1"/>
      <w:lvlText w:val="%1.0"/>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pStyle w:val="Heading6"/>
      <w:lvlText w:val="%1.%2.%3.%4.%5.%6"/>
      <w:lvlJc w:val="left"/>
      <w:pPr>
        <w:ind w:left="2142" w:hanging="357"/>
      </w:pPr>
      <w:rPr>
        <w:rFonts w:hint="default"/>
      </w:rPr>
    </w:lvl>
    <w:lvl w:ilvl="6">
      <w:start w:val="1"/>
      <w:numFmt w:val="decimal"/>
      <w:pStyle w:val="Heading7"/>
      <w:lvlText w:val="%1.%2.%3.%4.%5.%6.%7"/>
      <w:lvlJc w:val="left"/>
      <w:pPr>
        <w:ind w:left="2499" w:hanging="357"/>
      </w:pPr>
      <w:rPr>
        <w:rFonts w:hint="default"/>
      </w:rPr>
    </w:lvl>
    <w:lvl w:ilvl="7">
      <w:start w:val="1"/>
      <w:numFmt w:val="decimal"/>
      <w:pStyle w:val="Heading8"/>
      <w:lvlText w:val="%1.%2.%3.%4.%5.%6.%7.%8"/>
      <w:lvlJc w:val="left"/>
      <w:pPr>
        <w:ind w:left="2856" w:hanging="357"/>
      </w:pPr>
      <w:rPr>
        <w:rFonts w:hint="default"/>
      </w:rPr>
    </w:lvl>
    <w:lvl w:ilvl="8">
      <w:start w:val="1"/>
      <w:numFmt w:val="decimal"/>
      <w:pStyle w:val="Heading9"/>
      <w:lvlText w:val="%1.%2.%3.%4.%5.%6.%7.%8.%9"/>
      <w:lvlJc w:val="left"/>
      <w:pPr>
        <w:ind w:left="3213" w:hanging="357"/>
      </w:pPr>
      <w:rPr>
        <w:rFonts w:hint="default"/>
      </w:rPr>
    </w:lvl>
  </w:abstractNum>
  <w:abstractNum w:abstractNumId="3" w15:restartNumberingAfterBreak="0">
    <w:nsid w:val="74524A95"/>
    <w:multiLevelType w:val="hybridMultilevel"/>
    <w:tmpl w:val="AC72025C"/>
    <w:lvl w:ilvl="0" w:tplc="4B8468F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8C0E50"/>
    <w:multiLevelType w:val="hybridMultilevel"/>
    <w:tmpl w:val="9E467A5E"/>
    <w:lvl w:ilvl="0" w:tplc="4BBA9CC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8621478">
    <w:abstractNumId w:val="3"/>
  </w:num>
  <w:num w:numId="2" w16cid:durableId="1194884398">
    <w:abstractNumId w:val="0"/>
  </w:num>
  <w:num w:numId="3" w16cid:durableId="1415320391">
    <w:abstractNumId w:val="4"/>
  </w:num>
  <w:num w:numId="4" w16cid:durableId="878934519">
    <w:abstractNumId w:val="1"/>
  </w:num>
  <w:num w:numId="5" w16cid:durableId="1889996932">
    <w:abstractNumId w:val="2"/>
    <w:lvlOverride w:ilvl="0">
      <w:lvl w:ilvl="0">
        <w:start w:val="1"/>
        <w:numFmt w:val="decimal"/>
        <w:pStyle w:val="Heading1"/>
        <w:lvlText w:val="%1.0"/>
        <w:lvlJc w:val="left"/>
        <w:pPr>
          <w:ind w:left="357" w:hanging="357"/>
        </w:pPr>
        <w:rPr>
          <w:rFonts w:hint="default"/>
        </w:rPr>
      </w:lvl>
    </w:lvlOverride>
    <w:lvlOverride w:ilvl="1">
      <w:lvl w:ilvl="1">
        <w:start w:val="1"/>
        <w:numFmt w:val="decimal"/>
        <w:pStyle w:val="Heading2"/>
        <w:lvlText w:val="%1.%2"/>
        <w:lvlJc w:val="left"/>
        <w:pPr>
          <w:ind w:left="714" w:hanging="357"/>
        </w:pPr>
        <w:rPr>
          <w:rFonts w:hint="default"/>
        </w:rPr>
      </w:lvl>
    </w:lvlOverride>
  </w:num>
  <w:num w:numId="6" w16cid:durableId="532811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53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D19"/>
    <w:rsid w:val="00047E8C"/>
    <w:rsid w:val="00050AC3"/>
    <w:rsid w:val="000823FC"/>
    <w:rsid w:val="000961AB"/>
    <w:rsid w:val="000B19BB"/>
    <w:rsid w:val="000B4C4C"/>
    <w:rsid w:val="000C248A"/>
    <w:rsid w:val="000C7CE7"/>
    <w:rsid w:val="000D570B"/>
    <w:rsid w:val="0010618F"/>
    <w:rsid w:val="00115DC8"/>
    <w:rsid w:val="00120AE0"/>
    <w:rsid w:val="00124892"/>
    <w:rsid w:val="0012716F"/>
    <w:rsid w:val="00127C46"/>
    <w:rsid w:val="00145E6F"/>
    <w:rsid w:val="00147C33"/>
    <w:rsid w:val="001523A9"/>
    <w:rsid w:val="00164BDB"/>
    <w:rsid w:val="00165E3F"/>
    <w:rsid w:val="00170F99"/>
    <w:rsid w:val="00186FB4"/>
    <w:rsid w:val="001C1D00"/>
    <w:rsid w:val="001F0D5B"/>
    <w:rsid w:val="001F66B7"/>
    <w:rsid w:val="002155E9"/>
    <w:rsid w:val="00215DC9"/>
    <w:rsid w:val="002366E7"/>
    <w:rsid w:val="00252959"/>
    <w:rsid w:val="00253137"/>
    <w:rsid w:val="00284CE5"/>
    <w:rsid w:val="002A5421"/>
    <w:rsid w:val="002B2A04"/>
    <w:rsid w:val="002C05BA"/>
    <w:rsid w:val="002E6151"/>
    <w:rsid w:val="00320FF1"/>
    <w:rsid w:val="00322C29"/>
    <w:rsid w:val="003408BF"/>
    <w:rsid w:val="00365E0F"/>
    <w:rsid w:val="00375EBC"/>
    <w:rsid w:val="003F7EA1"/>
    <w:rsid w:val="004261AC"/>
    <w:rsid w:val="00432F4D"/>
    <w:rsid w:val="00435D40"/>
    <w:rsid w:val="004559DD"/>
    <w:rsid w:val="00456C8F"/>
    <w:rsid w:val="004A7CBB"/>
    <w:rsid w:val="004B75EB"/>
    <w:rsid w:val="004D03E7"/>
    <w:rsid w:val="004E3551"/>
    <w:rsid w:val="00517EFD"/>
    <w:rsid w:val="005250AF"/>
    <w:rsid w:val="00531E4A"/>
    <w:rsid w:val="00554243"/>
    <w:rsid w:val="005610AA"/>
    <w:rsid w:val="00591A04"/>
    <w:rsid w:val="005B7880"/>
    <w:rsid w:val="005C335A"/>
    <w:rsid w:val="00663DE9"/>
    <w:rsid w:val="006A1C2B"/>
    <w:rsid w:val="006C3D20"/>
    <w:rsid w:val="006E6CCB"/>
    <w:rsid w:val="006F576F"/>
    <w:rsid w:val="0070644D"/>
    <w:rsid w:val="00735FED"/>
    <w:rsid w:val="007503BF"/>
    <w:rsid w:val="00771E9B"/>
    <w:rsid w:val="00774FA4"/>
    <w:rsid w:val="007860D8"/>
    <w:rsid w:val="00787225"/>
    <w:rsid w:val="007925B1"/>
    <w:rsid w:val="007B1C46"/>
    <w:rsid w:val="007E5D39"/>
    <w:rsid w:val="008223B5"/>
    <w:rsid w:val="00835866"/>
    <w:rsid w:val="00854BDD"/>
    <w:rsid w:val="008876D3"/>
    <w:rsid w:val="00890E2A"/>
    <w:rsid w:val="008A792B"/>
    <w:rsid w:val="008B1EBB"/>
    <w:rsid w:val="008B6608"/>
    <w:rsid w:val="008C2459"/>
    <w:rsid w:val="008D6631"/>
    <w:rsid w:val="008E3673"/>
    <w:rsid w:val="0090448A"/>
    <w:rsid w:val="009053BE"/>
    <w:rsid w:val="00983FCB"/>
    <w:rsid w:val="009D1CD3"/>
    <w:rsid w:val="00A004D3"/>
    <w:rsid w:val="00A057DF"/>
    <w:rsid w:val="00A213C7"/>
    <w:rsid w:val="00A6612B"/>
    <w:rsid w:val="00A70DEE"/>
    <w:rsid w:val="00A7390E"/>
    <w:rsid w:val="00A95BD4"/>
    <w:rsid w:val="00A9701B"/>
    <w:rsid w:val="00AA7B58"/>
    <w:rsid w:val="00AA7E8C"/>
    <w:rsid w:val="00AB5A8C"/>
    <w:rsid w:val="00AD22C1"/>
    <w:rsid w:val="00AF1266"/>
    <w:rsid w:val="00B0449E"/>
    <w:rsid w:val="00B12863"/>
    <w:rsid w:val="00B13129"/>
    <w:rsid w:val="00B27F87"/>
    <w:rsid w:val="00B34AF8"/>
    <w:rsid w:val="00B425FA"/>
    <w:rsid w:val="00B84D19"/>
    <w:rsid w:val="00BA4AE3"/>
    <w:rsid w:val="00BB6419"/>
    <w:rsid w:val="00BF0065"/>
    <w:rsid w:val="00BF27BC"/>
    <w:rsid w:val="00C063F3"/>
    <w:rsid w:val="00C274C6"/>
    <w:rsid w:val="00C328B1"/>
    <w:rsid w:val="00C33C55"/>
    <w:rsid w:val="00C74E13"/>
    <w:rsid w:val="00C87BC5"/>
    <w:rsid w:val="00C92F31"/>
    <w:rsid w:val="00CB6C6E"/>
    <w:rsid w:val="00D077AD"/>
    <w:rsid w:val="00D433CE"/>
    <w:rsid w:val="00D534B4"/>
    <w:rsid w:val="00D567EC"/>
    <w:rsid w:val="00D56E20"/>
    <w:rsid w:val="00D64700"/>
    <w:rsid w:val="00D813B3"/>
    <w:rsid w:val="00D85370"/>
    <w:rsid w:val="00D93009"/>
    <w:rsid w:val="00DA1303"/>
    <w:rsid w:val="00DA4944"/>
    <w:rsid w:val="00E31F92"/>
    <w:rsid w:val="00E4444B"/>
    <w:rsid w:val="00E5448D"/>
    <w:rsid w:val="00E6524C"/>
    <w:rsid w:val="00EC6FB0"/>
    <w:rsid w:val="00F94454"/>
    <w:rsid w:val="00FB60B6"/>
    <w:rsid w:val="00FE60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6502E"/>
  <w15:docId w15:val="{759AF498-1E70-4806-9468-3882870A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3B3"/>
    <w:rPr>
      <w:rFonts w:ascii="Arial" w:hAnsi="Arial"/>
      <w:sz w:val="24"/>
    </w:rPr>
  </w:style>
  <w:style w:type="paragraph" w:styleId="Heading1">
    <w:name w:val="heading 1"/>
    <w:next w:val="Normal"/>
    <w:link w:val="Heading1Char"/>
    <w:uiPriority w:val="9"/>
    <w:qFormat/>
    <w:rsid w:val="00127C46"/>
    <w:pPr>
      <w:keepNext/>
      <w:keepLines/>
      <w:numPr>
        <w:numId w:val="5"/>
      </w:numPr>
      <w:spacing w:before="240" w:after="0"/>
      <w:outlineLvl w:val="0"/>
    </w:pPr>
    <w:rPr>
      <w:rFonts w:ascii="Arial" w:eastAsiaTheme="majorEastAsia" w:hAnsi="Arial" w:cstheme="majorBidi"/>
      <w:b/>
      <w:sz w:val="32"/>
      <w:szCs w:val="32"/>
    </w:rPr>
  </w:style>
  <w:style w:type="paragraph" w:styleId="Heading2">
    <w:name w:val="heading 2"/>
    <w:basedOn w:val="Heading1"/>
    <w:next w:val="Normal"/>
    <w:link w:val="Heading2Char"/>
    <w:uiPriority w:val="9"/>
    <w:unhideWhenUsed/>
    <w:qFormat/>
    <w:rsid w:val="00735FED"/>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735FED"/>
    <w:pPr>
      <w:numPr>
        <w:ilvl w:val="2"/>
      </w:numPr>
      <w:outlineLvl w:val="2"/>
    </w:pPr>
    <w:rPr>
      <w:sz w:val="24"/>
      <w:szCs w:val="24"/>
    </w:rPr>
  </w:style>
  <w:style w:type="paragraph" w:styleId="Heading4">
    <w:name w:val="heading 4"/>
    <w:basedOn w:val="Heading3"/>
    <w:next w:val="Normal"/>
    <w:link w:val="Heading4Char"/>
    <w:uiPriority w:val="9"/>
    <w:unhideWhenUsed/>
    <w:qFormat/>
    <w:rsid w:val="00735FED"/>
    <w:pPr>
      <w:numPr>
        <w:ilvl w:val="3"/>
      </w:numPr>
      <w:outlineLvl w:val="3"/>
    </w:pPr>
    <w:rPr>
      <w:b w:val="0"/>
      <w:iCs/>
    </w:rPr>
  </w:style>
  <w:style w:type="paragraph" w:styleId="Heading5">
    <w:name w:val="heading 5"/>
    <w:basedOn w:val="Heading4"/>
    <w:next w:val="Normal"/>
    <w:link w:val="Heading5Char"/>
    <w:uiPriority w:val="9"/>
    <w:unhideWhenUsed/>
    <w:qFormat/>
    <w:rsid w:val="00127C46"/>
    <w:pPr>
      <w:numPr>
        <w:ilvl w:val="4"/>
      </w:numPr>
      <w:outlineLvl w:val="4"/>
    </w:pPr>
  </w:style>
  <w:style w:type="paragraph" w:styleId="Heading6">
    <w:name w:val="heading 6"/>
    <w:basedOn w:val="Heading5"/>
    <w:next w:val="Normal"/>
    <w:link w:val="Heading6Char"/>
    <w:uiPriority w:val="9"/>
    <w:unhideWhenUsed/>
    <w:qFormat/>
    <w:rsid w:val="00735FED"/>
    <w:pPr>
      <w:numPr>
        <w:ilvl w:val="5"/>
      </w:numPr>
      <w:outlineLvl w:val="5"/>
    </w:pPr>
  </w:style>
  <w:style w:type="paragraph" w:styleId="Heading7">
    <w:name w:val="heading 7"/>
    <w:basedOn w:val="Heading6"/>
    <w:next w:val="Normal"/>
    <w:link w:val="Heading7Char"/>
    <w:uiPriority w:val="9"/>
    <w:unhideWhenUsed/>
    <w:qFormat/>
    <w:rsid w:val="00735FED"/>
    <w:pPr>
      <w:numPr>
        <w:ilvl w:val="6"/>
      </w:numPr>
      <w:outlineLvl w:val="6"/>
    </w:pPr>
    <w:rPr>
      <w:iCs w:val="0"/>
    </w:rPr>
  </w:style>
  <w:style w:type="paragraph" w:styleId="Heading8">
    <w:name w:val="heading 8"/>
    <w:basedOn w:val="Heading7"/>
    <w:next w:val="Normal"/>
    <w:link w:val="Heading8Char"/>
    <w:uiPriority w:val="9"/>
    <w:unhideWhenUsed/>
    <w:qFormat/>
    <w:rsid w:val="00735FED"/>
    <w:pPr>
      <w:numPr>
        <w:ilvl w:val="7"/>
      </w:numPr>
      <w:outlineLvl w:val="7"/>
    </w:pPr>
    <w:rPr>
      <w:color w:val="272727" w:themeColor="text1" w:themeTint="D8"/>
      <w:sz w:val="20"/>
      <w:szCs w:val="21"/>
    </w:rPr>
  </w:style>
  <w:style w:type="paragraph" w:styleId="Heading9">
    <w:name w:val="heading 9"/>
    <w:basedOn w:val="Heading8"/>
    <w:next w:val="Normal"/>
    <w:link w:val="Heading9Char"/>
    <w:uiPriority w:val="9"/>
    <w:unhideWhenUsed/>
    <w:qFormat/>
    <w:rsid w:val="00127C46"/>
    <w:pPr>
      <w:numPr>
        <w:ilvl w:val="8"/>
      </w:numPr>
      <w:outlineLvl w:val="8"/>
    </w:pPr>
    <w:rPr>
      <w:rFonts w:asciiTheme="majorHAnsi" w:hAnsiTheme="majorHAnsi"/>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C46"/>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35FE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735FED"/>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735FED"/>
    <w:rPr>
      <w:rFonts w:ascii="Arial" w:eastAsiaTheme="majorEastAsia" w:hAnsi="Arial" w:cstheme="majorBidi"/>
      <w:iCs/>
      <w:sz w:val="24"/>
      <w:szCs w:val="24"/>
    </w:rPr>
  </w:style>
  <w:style w:type="character" w:customStyle="1" w:styleId="Heading5Char">
    <w:name w:val="Heading 5 Char"/>
    <w:basedOn w:val="DefaultParagraphFont"/>
    <w:link w:val="Heading5"/>
    <w:uiPriority w:val="9"/>
    <w:rsid w:val="00127C46"/>
    <w:rPr>
      <w:rFonts w:ascii="Arial" w:eastAsiaTheme="majorEastAsia" w:hAnsi="Arial" w:cstheme="majorBidi"/>
      <w:i/>
      <w:iCs/>
      <w:sz w:val="24"/>
      <w:szCs w:val="24"/>
    </w:rPr>
  </w:style>
  <w:style w:type="paragraph" w:styleId="Header">
    <w:name w:val="header"/>
    <w:basedOn w:val="Normal"/>
    <w:link w:val="HeaderChar"/>
    <w:uiPriority w:val="99"/>
    <w:unhideWhenUsed/>
    <w:rsid w:val="00147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33"/>
    <w:rPr>
      <w:rFonts w:ascii="Arial" w:hAnsi="Arial"/>
    </w:rPr>
  </w:style>
  <w:style w:type="paragraph" w:styleId="Footer">
    <w:name w:val="footer"/>
    <w:basedOn w:val="Normal"/>
    <w:link w:val="FooterChar"/>
    <w:uiPriority w:val="99"/>
    <w:unhideWhenUsed/>
    <w:rsid w:val="00147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33"/>
    <w:rPr>
      <w:rFonts w:ascii="Arial" w:hAnsi="Arial"/>
    </w:rPr>
  </w:style>
  <w:style w:type="table" w:styleId="TableGrid">
    <w:name w:val="Table Grid"/>
    <w:basedOn w:val="TableNormal"/>
    <w:uiPriority w:val="39"/>
    <w:rsid w:val="00D5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7225"/>
  </w:style>
  <w:style w:type="character" w:customStyle="1" w:styleId="Heading6Char">
    <w:name w:val="Heading 6 Char"/>
    <w:basedOn w:val="DefaultParagraphFont"/>
    <w:link w:val="Heading6"/>
    <w:uiPriority w:val="9"/>
    <w:rsid w:val="00735FED"/>
    <w:rPr>
      <w:rFonts w:ascii="Arial" w:eastAsiaTheme="majorEastAsia" w:hAnsi="Arial" w:cstheme="majorBidi"/>
      <w:iCs/>
      <w:sz w:val="24"/>
      <w:szCs w:val="24"/>
    </w:rPr>
  </w:style>
  <w:style w:type="character" w:customStyle="1" w:styleId="Heading7Char">
    <w:name w:val="Heading 7 Char"/>
    <w:basedOn w:val="DefaultParagraphFont"/>
    <w:link w:val="Heading7"/>
    <w:uiPriority w:val="9"/>
    <w:rsid w:val="00735FED"/>
    <w:rPr>
      <w:rFonts w:ascii="Arial" w:eastAsiaTheme="majorEastAsia" w:hAnsi="Arial" w:cstheme="majorBidi"/>
      <w:sz w:val="24"/>
      <w:szCs w:val="24"/>
    </w:rPr>
  </w:style>
  <w:style w:type="character" w:customStyle="1" w:styleId="Heading8Char">
    <w:name w:val="Heading 8 Char"/>
    <w:basedOn w:val="DefaultParagraphFont"/>
    <w:link w:val="Heading8"/>
    <w:uiPriority w:val="9"/>
    <w:rsid w:val="00735FED"/>
    <w:rPr>
      <w:rFonts w:ascii="Arial" w:eastAsiaTheme="majorEastAsia" w:hAnsi="Arial" w:cstheme="majorBidi"/>
      <w:color w:val="272727" w:themeColor="text1" w:themeTint="D8"/>
      <w:sz w:val="20"/>
      <w:szCs w:val="21"/>
    </w:rPr>
  </w:style>
  <w:style w:type="character" w:customStyle="1" w:styleId="Heading9Char">
    <w:name w:val="Heading 9 Char"/>
    <w:basedOn w:val="DefaultParagraphFont"/>
    <w:link w:val="Heading9"/>
    <w:uiPriority w:val="9"/>
    <w:rsid w:val="00127C4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27C46"/>
    <w:pPr>
      <w:numPr>
        <w:numId w:val="7"/>
      </w:numPr>
    </w:pPr>
  </w:style>
  <w:style w:type="paragraph" w:styleId="TOCHeading">
    <w:name w:val="TOC Heading"/>
    <w:basedOn w:val="Heading1"/>
    <w:next w:val="Normal"/>
    <w:uiPriority w:val="39"/>
    <w:unhideWhenUsed/>
    <w:qFormat/>
    <w:rsid w:val="00375EBC"/>
    <w:pPr>
      <w:numPr>
        <w:numId w:val="0"/>
      </w:numPr>
      <w:outlineLvl w:val="9"/>
    </w:pPr>
    <w:rPr>
      <w:lang w:val="en-US"/>
    </w:rPr>
  </w:style>
  <w:style w:type="paragraph" w:styleId="TOC1">
    <w:name w:val="toc 1"/>
    <w:basedOn w:val="Normal"/>
    <w:next w:val="Normal"/>
    <w:autoRedefine/>
    <w:uiPriority w:val="39"/>
    <w:unhideWhenUsed/>
    <w:rsid w:val="004A7CBB"/>
    <w:pPr>
      <w:spacing w:after="100"/>
    </w:pPr>
  </w:style>
  <w:style w:type="paragraph" w:styleId="TOC2">
    <w:name w:val="toc 2"/>
    <w:basedOn w:val="Normal"/>
    <w:next w:val="Normal"/>
    <w:autoRedefine/>
    <w:uiPriority w:val="39"/>
    <w:unhideWhenUsed/>
    <w:rsid w:val="004A7CBB"/>
    <w:pPr>
      <w:spacing w:after="100"/>
      <w:ind w:left="220"/>
    </w:pPr>
  </w:style>
  <w:style w:type="paragraph" w:styleId="TOC3">
    <w:name w:val="toc 3"/>
    <w:basedOn w:val="Normal"/>
    <w:next w:val="Normal"/>
    <w:autoRedefine/>
    <w:uiPriority w:val="39"/>
    <w:unhideWhenUsed/>
    <w:rsid w:val="004A7CBB"/>
    <w:pPr>
      <w:spacing w:after="100"/>
      <w:ind w:left="440"/>
    </w:pPr>
  </w:style>
  <w:style w:type="character" w:styleId="Hyperlink">
    <w:name w:val="Hyperlink"/>
    <w:basedOn w:val="DefaultParagraphFont"/>
    <w:uiPriority w:val="99"/>
    <w:unhideWhenUsed/>
    <w:rsid w:val="004A7CBB"/>
    <w:rPr>
      <w:color w:val="0563C1" w:themeColor="hyperlink"/>
      <w:u w:val="single"/>
    </w:rPr>
  </w:style>
  <w:style w:type="character" w:styleId="Strong">
    <w:name w:val="Strong"/>
    <w:basedOn w:val="DefaultParagraphFont"/>
    <w:uiPriority w:val="22"/>
    <w:qFormat/>
    <w:rsid w:val="004A7CBB"/>
    <w:rPr>
      <w:b/>
      <w:bCs/>
    </w:rPr>
  </w:style>
  <w:style w:type="paragraph" w:styleId="Caption">
    <w:name w:val="caption"/>
    <w:basedOn w:val="Normal"/>
    <w:next w:val="Normal"/>
    <w:uiPriority w:val="35"/>
    <w:unhideWhenUsed/>
    <w:qFormat/>
    <w:rsid w:val="00C33C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3C55"/>
    <w:pPr>
      <w:spacing w:after="0"/>
    </w:pPr>
  </w:style>
  <w:style w:type="table" w:customStyle="1" w:styleId="GridTable1Light1">
    <w:name w:val="Grid Table 1 Light1"/>
    <w:basedOn w:val="TableNormal"/>
    <w:uiPriority w:val="46"/>
    <w:rsid w:val="00517EFD"/>
    <w:pPr>
      <w:spacing w:after="0" w:line="240" w:lineRule="auto"/>
    </w:pPr>
    <w:rPr>
      <w:rFonts w:ascii="Times New Roman" w:hAnsi="Times New Roman"/>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bCs/>
      </w:rPr>
      <w:tblPr/>
      <w:tcPr>
        <w:tcBorders>
          <w:bottom w:val="single" w:sz="12" w:space="0" w:color="666666" w:themeColor="text1" w:themeTint="99"/>
        </w:tcBorders>
      </w:tcPr>
    </w:tblStylePr>
    <w:tblStylePr w:type="lastRow">
      <w:rPr>
        <w:b w:val="0"/>
        <w:bCs/>
      </w:rPr>
      <w:tblPr/>
      <w:tcPr>
        <w:tcBorders>
          <w:top w:val="single" w:sz="4" w:space="0" w:color="auto"/>
          <w:left w:val="single" w:sz="4" w:space="0" w:color="auto"/>
          <w:bottom w:val="single" w:sz="4" w:space="0" w:color="auto"/>
          <w:right w:val="single" w:sz="4" w:space="0" w:color="auto"/>
        </w:tcBorders>
      </w:tcPr>
    </w:tblStylePr>
    <w:tblStylePr w:type="firstCol">
      <w:rPr>
        <w:b w:val="0"/>
        <w:bCs/>
      </w:rPr>
      <w:tblPr/>
      <w:tcPr>
        <w:tcBorders>
          <w:top w:val="single" w:sz="4" w:space="0" w:color="auto"/>
          <w:left w:val="single" w:sz="4" w:space="0" w:color="auto"/>
          <w:bottom w:val="single" w:sz="4" w:space="0" w:color="auto"/>
          <w:right w:val="single" w:sz="4" w:space="0" w:color="auto"/>
        </w:tcBorders>
      </w:tcPr>
    </w:tblStylePr>
    <w:tblStylePr w:type="lastCol">
      <w:rPr>
        <w:b w:val="0"/>
        <w:bCs/>
      </w:rPr>
    </w:tblStylePr>
  </w:style>
  <w:style w:type="paragraph" w:styleId="BalloonText">
    <w:name w:val="Balloon Text"/>
    <w:basedOn w:val="Normal"/>
    <w:link w:val="BalloonTextChar"/>
    <w:uiPriority w:val="99"/>
    <w:semiHidden/>
    <w:unhideWhenUsed/>
    <w:rsid w:val="00C8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8808">
      <w:bodyDiv w:val="1"/>
      <w:marLeft w:val="0"/>
      <w:marRight w:val="0"/>
      <w:marTop w:val="0"/>
      <w:marBottom w:val="0"/>
      <w:divBdr>
        <w:top w:val="none" w:sz="0" w:space="0" w:color="auto"/>
        <w:left w:val="none" w:sz="0" w:space="0" w:color="auto"/>
        <w:bottom w:val="none" w:sz="0" w:space="0" w:color="auto"/>
        <w:right w:val="none" w:sz="0" w:space="0" w:color="auto"/>
      </w:divBdr>
    </w:div>
    <w:div w:id="534806513">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1047870736">
      <w:bodyDiv w:val="1"/>
      <w:marLeft w:val="0"/>
      <w:marRight w:val="0"/>
      <w:marTop w:val="0"/>
      <w:marBottom w:val="0"/>
      <w:divBdr>
        <w:top w:val="none" w:sz="0" w:space="0" w:color="auto"/>
        <w:left w:val="none" w:sz="0" w:space="0" w:color="auto"/>
        <w:bottom w:val="none" w:sz="0" w:space="0" w:color="auto"/>
        <w:right w:val="none" w:sz="0" w:space="0" w:color="auto"/>
      </w:divBdr>
    </w:div>
    <w:div w:id="1171868062">
      <w:bodyDiv w:val="1"/>
      <w:marLeft w:val="0"/>
      <w:marRight w:val="0"/>
      <w:marTop w:val="0"/>
      <w:marBottom w:val="0"/>
      <w:divBdr>
        <w:top w:val="none" w:sz="0" w:space="0" w:color="auto"/>
        <w:left w:val="none" w:sz="0" w:space="0" w:color="auto"/>
        <w:bottom w:val="none" w:sz="0" w:space="0" w:color="auto"/>
        <w:right w:val="none" w:sz="0" w:space="0" w:color="auto"/>
      </w:divBdr>
    </w:div>
    <w:div w:id="1788545668">
      <w:bodyDiv w:val="1"/>
      <w:marLeft w:val="0"/>
      <w:marRight w:val="0"/>
      <w:marTop w:val="0"/>
      <w:marBottom w:val="0"/>
      <w:divBdr>
        <w:top w:val="none" w:sz="0" w:space="0" w:color="auto"/>
        <w:left w:val="none" w:sz="0" w:space="0" w:color="auto"/>
        <w:bottom w:val="none" w:sz="0" w:space="0" w:color="auto"/>
        <w:right w:val="none" w:sz="0" w:space="0" w:color="auto"/>
      </w:divBdr>
    </w:div>
    <w:div w:id="1892884080">
      <w:bodyDiv w:val="1"/>
      <w:marLeft w:val="0"/>
      <w:marRight w:val="0"/>
      <w:marTop w:val="0"/>
      <w:marBottom w:val="0"/>
      <w:divBdr>
        <w:top w:val="none" w:sz="0" w:space="0" w:color="auto"/>
        <w:left w:val="none" w:sz="0" w:space="0" w:color="auto"/>
        <w:bottom w:val="none" w:sz="0" w:space="0" w:color="auto"/>
        <w:right w:val="none" w:sz="0" w:space="0" w:color="auto"/>
      </w:divBdr>
    </w:div>
    <w:div w:id="1950235205">
      <w:bodyDiv w:val="1"/>
      <w:marLeft w:val="0"/>
      <w:marRight w:val="0"/>
      <w:marTop w:val="0"/>
      <w:marBottom w:val="0"/>
      <w:divBdr>
        <w:top w:val="none" w:sz="0" w:space="0" w:color="auto"/>
        <w:left w:val="none" w:sz="0" w:space="0" w:color="auto"/>
        <w:bottom w:val="none" w:sz="0" w:space="0" w:color="auto"/>
        <w:right w:val="none" w:sz="0" w:space="0" w:color="auto"/>
      </w:divBdr>
    </w:div>
    <w:div w:id="2074960314">
      <w:bodyDiv w:val="1"/>
      <w:marLeft w:val="0"/>
      <w:marRight w:val="0"/>
      <w:marTop w:val="0"/>
      <w:marBottom w:val="0"/>
      <w:divBdr>
        <w:top w:val="none" w:sz="0" w:space="0" w:color="auto"/>
        <w:left w:val="none" w:sz="0" w:space="0" w:color="auto"/>
        <w:bottom w:val="none" w:sz="0" w:space="0" w:color="auto"/>
        <w:right w:val="none" w:sz="0" w:space="0" w:color="auto"/>
      </w:divBdr>
    </w:div>
    <w:div w:id="21235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Joe18</b:Tag>
    <b:SourceType>JournalArticle</b:SourceType>
    <b:Guid>{7E6FBC98-C953-4A34-BA4F-6A9D95A92458}</b:Guid>
    <b:Author>
      <b:Author>
        <b:NameList>
          <b:Person>
            <b:Last>Bloggs</b:Last>
            <b:First>Joe</b:First>
          </b:Person>
        </b:NameList>
      </b:Author>
    </b:Author>
    <b:Title>A Journal Article</b:Title>
    <b:JournalName>Journal Name</b:JournalName>
    <b:Year>2018</b:Year>
    <b:Pages>18-29</b:Pages>
    <b:Volume>1</b:Volume>
    <b:Issue>12</b:Issue>
    <b:RefOrder>2</b:RefOrder>
  </b:Source>
  <b:Source>
    <b:Tag>Mic18</b:Tag>
    <b:SourceType>DocumentFromInternetSite</b:SourceType>
    <b:Guid>{162FA5CC-BB62-4213-B79C-C0E28D29F031}</b:Guid>
    <b:Title>Word</b:Title>
    <b:Year>2018</b:Year>
    <b:Author>
      <b:Author>
        <b:Corporate>Microsoft Office</b:Corporate>
      </b:Author>
    </b:Author>
    <b:Month>May</b:Month>
    <b:Day>30</b:Day>
    <b:RefOrder>1</b:RefOrder>
  </b:Source>
</b:Sources>
</file>

<file path=customXml/itemProps1.xml><?xml version="1.0" encoding="utf-8"?>
<ds:datastoreItem xmlns:ds="http://schemas.openxmlformats.org/officeDocument/2006/customXml" ds:itemID="{2F32E9A0-D531-4BD5-87FE-BA31B0F0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5</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wkb16123</dc:creator>
  <cp:lastModifiedBy>jacob currie</cp:lastModifiedBy>
  <cp:revision>91</cp:revision>
  <dcterms:created xsi:type="dcterms:W3CDTF">2021-01-27T16:52:00Z</dcterms:created>
  <dcterms:modified xsi:type="dcterms:W3CDTF">2022-04-08T17:03:00Z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a79b8e5f-d660-3e07-89b7-d544f82bc856</vt:lpwstr>
  </property>
  <property fmtid="{D5CDD505-2E9C-101B-9397-08002B2CF9AE}" pid="24" name="Mendeley Citation Style_1">
    <vt:lpwstr>http://www.zotero.org/styles/ieee</vt:lpwstr>
  </property>
</Properties>
</file>