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車隊燃油效率與價格差異分析</w:t>
      </w:r>
    </w:p>
    <w:p>
      <w:pPr>
        <w:pStyle w:val="Subtitle"/>
        <w:widowControl/>
      </w:pPr>
      <w:r>
        <w:t>DA E01 專案分析報告</w:t>
      </w:r>
    </w:p>
    <w:p>
      <w:pPr>
        <w:widowControl/>
      </w:pPr>
      <w:r>
        <w:t>分析期間為 2025 年 1 至 6 月。營運指標採修訂版，公開市場價格用於事後背景比較。</w:t>
      </w:r>
    </w:p>
    <w:p>
      <w:pPr>
        <w:widowControl/>
      </w:pPr>
      <w:r>
        <w:t>本報告把 ECU 耗用、購油交易與油箱存量分開核對，再按車輛、任務及資料覆蓋判讀差異。整體效率為 8.21 MPG，但調查優先順序取決於證據是否可比；購油差額或前後變化本身不能證明浪費或節省。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592"/>
        <w:gridCol w:w="5544"/>
      </w:tblGrid>
      <w:tr>
        <w:trPr>
          <w:cantSplit/>
          <w:tblHeader/>
        </w:trPr>
        <w:tc>
          <w:tcPr>
            <w:tcW w:type="dxa" w:w="2232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主要數值</w:t>
            </w:r>
          </w:p>
        </w:tc>
        <w:tc>
          <w:tcPr>
            <w:tcW w:type="dxa" w:w="2592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本次結果</w:t>
            </w:r>
          </w:p>
        </w:tc>
        <w:tc>
          <w:tcPr>
            <w:tcW w:type="dxa" w:w="554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判讀口徑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車隊與觀察規模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3 租戶  30 車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27 報告週，810 筆車輛週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可配對里程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219,385.5 km</w:t>
            </w:r>
          </w:p>
        </w:tc>
        <w:tc>
          <w:tcPr>
            <w:tcW w:type="dxa" w:w="55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與耗用使用相同合格區間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ECU 配對耗用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62,852.7 L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不以購油量代替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車隊燃油效率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8.21 MPG</w:t>
            </w:r>
          </w:p>
        </w:tc>
        <w:tc>
          <w:tcPr>
            <w:tcW w:type="dxa" w:w="55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總里程除以總耗用後換算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配對時間覆蓋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99.95%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有效配對秒數除以應觀察秒數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可比購油淨額</w:t>
            </w:r>
          </w:p>
        </w:tc>
        <w:tc>
          <w:tcPr>
            <w:tcW w:type="dxa" w:w="259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US$76,856.05</w:t>
            </w:r>
          </w:p>
        </w:tc>
        <w:tc>
          <w:tcPr>
            <w:tcW w:type="dxa" w:w="55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交易支出，不是當期耗用成本</w:t>
            </w:r>
          </w:p>
        </w:tc>
      </w:tr>
    </w:tbl>
    <w:p>
      <w:pPr>
        <w:spacing w:after="20"/>
      </w:pPr>
    </w:p>
    <w:p>
      <w:pPr>
        <w:pStyle w:val="Heading2"/>
        <w:widowControl/>
      </w:pPr>
      <w:r>
        <w:t>主要分析發現</w:t>
      </w:r>
    </w:p>
    <w:p>
      <w:pPr>
        <w:widowControl/>
      </w:pPr>
      <w:r>
        <w:t>1 筆車輛週需要優先查核覆蓋；156 筆缺少合格同儕基準。符合任務同儕規則的強度查核有 1 筆，價格查核有 17 筆，類別可能重疊。</w:t>
      </w:r>
    </w:p>
    <w:p>
      <w:pPr>
        <w:widowControl/>
      </w:pPr>
      <w:r>
        <w:t>報告使用流程包含 8 筆審閱案例，其中 3 筆可作描述性後續比較。按基準任務里程占比標準化後，仍需保留未控制的路線、載重與其他情境差異。</w:t>
      </w:r>
    </w:p>
    <w:p>
      <w:pPr>
        <w:pStyle w:val="Heading2"/>
        <w:widowControl/>
      </w:pPr>
      <w:r>
        <w:t>資料性質與結論邊界</w:t>
      </w:r>
    </w:p>
    <w:p>
      <w:pPr>
        <w:widowControl/>
      </w:pPr>
      <w:r>
        <w:t>車輛營運、交易與措施追蹤為明確標示的合成資料；EIA 價格為獨立的公開市場背景。本案展示可重現的分析流程與模擬情境，不代表真實客戶採用、實際節油或公司營運成果。</w:t>
      </w:r>
    </w:p>
    <w:p>
      <w:pPr>
        <w:pStyle w:val="Heading1"/>
        <w:pageBreakBefore/>
        <w:widowControl/>
      </w:pPr>
      <w:r>
        <w:t>效率必須連同觀測覆蓋解讀</w:t>
      </w:r>
    </w:p>
    <w:p>
      <w:pPr>
        <w:widowControl/>
      </w:pPr>
      <w:r>
        <w:t>效率與覆蓋率一起閱讀；低覆蓋週不可只憑 MPG 排名，車隊數值採總量比。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911248"/>
            <wp:docPr id="1" name="Picture 1" descr="Efficiency and usable observation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fficiency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有量測的租戶週 MPG 範圍為 7.83-8.65；配對時間覆蓋率範圍為 95.7%-100.0%。不同工況尚未調整，不能直接當排名。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當效率曲線改變時，先查看同週配對時間覆蓋，再按車輛及任務下鑽。短期改善若伴隨觀測缺口，應先查量測與歸屬，不直接當作駕駛或車況變好。</w:t>
      </w:r>
    </w:p>
    <w:p>
      <w:pPr>
        <w:widowControl/>
      </w:pPr>
      <w:r>
        <w:t>另有 30 筆沒有預定營運時間，效率不適用；0 筆覆蓋未知。這兩種狀態與低覆蓋分開保存。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從車輛週矩陣定位變化</w:t>
      </w:r>
    </w:p>
    <w:p>
      <w:pPr>
        <w:widowControl/>
      </w:pPr>
      <w:r>
        <w:t>橫向辨識同車變化，縱向比較前先核對任務與覆蓋；灰格表示沒有可用效率，不是零效率。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54433"/>
            <wp:docPr id="2" name="Picture 2" descr="Vehicle-week efficiency matr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hicle_wee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5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矩陣共有 30 輛車、27 週；30 格沒有可用 MPG，1 格配對時間覆蓋低於 95%。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先沿同一列比較同車的時間變化，再選取同任務與車型的其他車輛。灰格表示沒有可用 MPG，可能是沒有營運暴露；其語意必須由明細狀態確認。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用載重與任務解釋耗用差異</w:t>
      </w:r>
    </w:p>
    <w:p>
      <w:pPr>
        <w:widowControl/>
      </w:pPr>
      <w:r>
        <w:t>較高載重與 PTO 可能伴隨較高耗用；此圖用來選擇可比情境，不能將相關性當成浪費原因。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542951"/>
            <wp:docPr id="3" name="Picture 3" descr="Operating context and consum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ing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4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長途幹線：179 筆車輛週的耗用強度中位數為 28.31 L/100km。這是各組描述性數值，仍須核對載重與 PTO 差異。</w:t>
      </w:r>
    </w:p>
    <w:p>
      <w:pPr>
        <w:widowControl/>
      </w:pPr>
      <w:r>
        <w:t>混合任務：592 筆車輛週的耗用強度中位數為 28.75 L/100km。這是各組描述性數值，仍須核對載重與 PTO 差異。</w:t>
      </w:r>
    </w:p>
    <w:p>
      <w:pPr>
        <w:widowControl/>
      </w:pPr>
      <w:r>
        <w:t>區域配送：9 筆車輛週的耗用強度中位數為 30.21 L/100km。這是各組描述性數值，仍須核對載重與 PTO 差異。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載重採任務時間加權，氣泡大小呈現 PTO 占比。此圖提供分組背景；真正的同儕比較仍要拆到任務粒度，不能把 mixed 當成單一同質任務。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拆解購油支出的價格與數量效果</w:t>
      </w:r>
    </w:p>
    <w:p>
      <w:pPr>
        <w:widowControl/>
      </w:pPr>
      <w:r>
        <w:t>先拆解價格與購油量，再檢查未能分解的組合差異；市場差額僅供調查，不是可實現節省。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302077"/>
            <wp:docPr id="4" name="Picture 4" descr="Price, quantity and market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ice_quantity_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0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2025-06-16 至 2025-06-23 的可比購油淨額由 US$1,539.67 變為 US$4,330.44；價格效果 US$24.59、數量效果 US$2,766.18、未分解差額 US$0.00。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交易淨額先排除不適用的金額與數量口徑，再計算價量效果。市場背景按區域及觀測週配對；交易條件、稅務口徑及採購可得性仍可能不同，市場差額不是可實現節省。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以油箱平衡交叉核對 ECU 耗用</w:t>
      </w:r>
    </w:p>
    <w:p>
      <w:pPr>
        <w:widowControl/>
      </w:pPr>
      <w:r>
        <w:t>橋接圖說明單一窗口的燃料守恆；中圖比對相同窗口的 ECU 與油箱平衡量，並保留量測不確定範圍。差額仍可能來自覆蓋或移動缺口，不能直接判為偷油。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2762582"/>
            <wp:docPr id="5" name="Picture 5" descr="Inventory reconciliation and uncertain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ventory_reconcili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625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64"/>
        <w:gridCol w:w="2304"/>
      </w:tblGrid>
      <w:tr>
        <w:trPr>
          <w:cantSplit/>
          <w:tblHeader/>
        </w:trPr>
        <w:tc>
          <w:tcPr>
            <w:tcW w:type="dxa" w:w="806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庫存核對狀態</w:t>
            </w:r>
          </w:p>
        </w:tc>
        <w:tc>
          <w:tcPr>
            <w:tcW w:type="dxa" w:w="230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窗口數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落於量測不確定範圍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776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沒有合格 ECU 區間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邊界量測未校準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燃料移動紀錄不完整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需調查覆蓋或庫存平衡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先核對盤點兩端與燃料移動是否屬同一油箱範圍，再查看 ECU 區間覆蓋。超出不確定範圍的差額應回查補傳、未校準讀值及移動憑證；它本身不能證明偷油或浪費。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先檢查可比性再安排調查</w:t>
      </w:r>
    </w:p>
    <w:p>
      <w:pPr>
        <w:widowControl/>
      </w:pPr>
      <w:r>
        <w:t>先確認資料品質，再調查同任務耗用偏高與價格差異；旗標不是故障、舞弊或浪費的結論。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3356214"/>
            <wp:docPr id="6" name="Picture 6" descr="Review priorities and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view_prio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覆蓋查核 1 筆、任務內強度查核 1 筆、價格查核 17 筆。類別可重疊；未知覆蓋另留於明細。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同儕必須來自相同租戶、車型、任務與週，排除當前車輛。資料充足才比較差異；沒有足夠同儕表示證據不足，不能視為正常或異常的已驗證結論。</w:t>
      </w:r>
    </w:p>
    <w:p>
      <w:pPr>
        <w:widowControl/>
      </w:pPr>
      <w:r>
        <w:t>缺少合格同儕的 156 筆車輛週保留在明細中。未觸發規則不等於已證實正常；規則的用途是安排下一步查核。</w:t>
      </w:r>
    </w:p>
    <w:p>
      <w:pPr>
        <w:pStyle w:val="Caption"/>
        <w:widowControl/>
      </w:pPr>
      <w:r>
        <w:t>圖表與明細均可由 output_id、車輛及報告週回查；完整計算口徑見 docs/metrics.md。</w:t>
      </w:r>
    </w:p>
    <w:p>
      <w:pPr>
        <w:pStyle w:val="Heading1"/>
        <w:pageBreakBefore/>
        <w:widowControl/>
      </w:pPr>
      <w:r>
        <w:t>從報告採用追蹤到可比的後續結果</w:t>
      </w:r>
    </w:p>
    <w:p>
      <w:pPr>
        <w:widowControl/>
      </w:pPr>
      <w:r>
        <w:t>先區分採用、成熟度與可比性，再用基準期各任務的里程占比加權後續耗用強度，降低任務組合不同的影響。原始與標準化差異均可回查；仍不能將變化當作措施的因果效果。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2678549"/>
            <wp:docPr id="7" name="Picture 7" descr="From report to investigation and follow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on_follow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7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可作描述性比較 3 筆；未觀察到措施 2 筆；任務組合改變 1 筆；失去後續追蹤 1 筆；觀察窗口尚未成熟 1 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728"/>
        <w:gridCol w:w="2016"/>
        <w:gridCol w:w="2304"/>
        <w:gridCol w:w="2304"/>
      </w:tblGrid>
      <w:tr>
        <w:trPr>
          <w:cantSplit/>
          <w:tblHeader/>
        </w:trPr>
        <w:tc>
          <w:tcPr>
            <w:tcW w:type="dxa" w:w="2016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車輛</w:t>
            </w:r>
          </w:p>
        </w:tc>
        <w:tc>
          <w:tcPr>
            <w:tcW w:type="dxa" w:w="1728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基準</w:t>
            </w:r>
          </w:p>
        </w:tc>
        <w:tc>
          <w:tcPr>
            <w:tcW w:type="dxa" w:w="2016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原始後續</w:t>
            </w:r>
          </w:p>
        </w:tc>
        <w:tc>
          <w:tcPr>
            <w:tcW w:type="dxa" w:w="230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標準化後續</w:t>
            </w:r>
          </w:p>
        </w:tc>
        <w:tc>
          <w:tcPr>
            <w:tcW w:type="dxa" w:w="2304"/>
            <w:vAlign w:val="center"/>
            <w:shd w:fill="163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標準化差異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T01-V01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28.21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28.21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27.90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-0.31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T01-V02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28.64</w:t>
            </w:r>
          </w:p>
        </w:tc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29.19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29.12</w:t>
            </w:r>
          </w:p>
        </w:tc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+0.48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T01-V08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29.46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28.71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28.70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000000"/>
                <w:sz w:val="20"/>
              </w:rPr>
              <w:t>-0.76</w:t>
            </w:r>
          </w:p>
        </w:tc>
      </w:tr>
    </w:tbl>
    <w:p>
      <w:pPr>
        <w:spacing w:after="20"/>
      </w:pPr>
    </w:p>
    <w:p>
      <w:pPr>
        <w:pStyle w:val="Caption"/>
        <w:widowControl/>
      </w:pPr>
      <w:r>
        <w:t>耗用強度單位均為 L/100km。標準化以基準期各任務的里程占比加權後續任務強度；圖中空心菱形為原始後續值。</w:t>
      </w:r>
    </w:p>
    <w:p>
      <w:pPr>
        <w:widowControl/>
      </w:pPr>
      <w:r>
        <w:t>活躍審閱合計 137.0 分鐘，記錄基準為 240.0 分鐘，涵蓋 8 筆案例。活躍工時不含等待；這些合成紀錄只驗證流程處理。</w:t>
      </w:r>
    </w:p>
    <w:p>
      <w:pPr>
        <w:pStyle w:val="Heading2"/>
        <w:widowControl/>
      </w:pPr>
      <w:r>
        <w:t>分析後的查核方向</w:t>
      </w:r>
    </w:p>
    <w:p>
      <w:pPr>
        <w:widowControl/>
      </w:pPr>
      <w:r>
        <w:t>先確認報告是否被採用與措施是否發生，再檢查觀察是否成熟、是否失聯及任務是否可比。保留原始與任務組合標準化結果；標準化能處理已知任務占比，仍未控制所有混雜因素。</w:t>
      </w:r>
    </w:p>
    <w:p>
      <w:pPr>
        <w:pStyle w:val="Heading1"/>
        <w:pageBreakBefore/>
        <w:widowControl/>
      </w:pPr>
      <w:r>
        <w:t>重現結果與使用分析證據</w:t>
      </w:r>
    </w:p>
    <w:p>
      <w:pPr>
        <w:widowControl/>
      </w:pPr>
      <w:r>
        <w:t>讀者可以由來源檔案與建置入口重建資料庫，再從 SQL 計算、圖表和明細回查同一結果。修改規則時應重新執行分析與驗證，保留輸入版本、參數及新的結果。</w:t>
      </w:r>
    </w:p>
    <w:p>
      <w:pPr>
        <w:pStyle w:val="Heading2"/>
        <w:widowControl/>
      </w:pPr>
      <w:r>
        <w:t>確認問題與口徑</w:t>
      </w:r>
    </w:p>
    <w:p>
      <w:pPr>
        <w:widowControl/>
      </w:pPr>
      <w:r>
        <w:t>先分清購油支出、ECU 耗用與庫存平衡；明確定義同一報告版本、時間窗口與分母。公開價格與合成營運資料各自保留來源，事件時間不等於平台可取得時間。</w:t>
      </w:r>
    </w:p>
    <w:p>
      <w:pPr>
        <w:pStyle w:val="Caption"/>
        <w:widowControl/>
      </w:pPr>
      <w:r>
        <w:t>docs/metrics.md  data/public/  config/  contracts/</w:t>
      </w:r>
    </w:p>
    <w:p>
      <w:pPr>
        <w:pStyle w:val="Heading2"/>
        <w:widowControl/>
      </w:pPr>
      <w:r>
        <w:t>檢查資料準備與品質</w:t>
      </w:r>
    </w:p>
    <w:p>
      <w:pPr>
        <w:widowControl/>
      </w:pPr>
      <w:r>
        <w:t>從原始事件、標準化欄位到共同有效區間，保留拒收、修訂、缺值及核對依據。區分量測不完整、同儕不足及窗口未成熟，避免將未知解讀成營運結果。</w:t>
      </w:r>
    </w:p>
    <w:p>
      <w:pPr>
        <w:pStyle w:val="Caption"/>
        <w:widowControl/>
      </w:pPr>
      <w:r>
        <w:t>src/fleet_fuel/  validation/</w:t>
      </w:r>
    </w:p>
    <w:p>
      <w:pPr>
        <w:pStyle w:val="Heading2"/>
        <w:widowControl/>
      </w:pPr>
      <w:r>
        <w:t>執行分析與調整規則</w:t>
      </w:r>
    </w:p>
    <w:p>
      <w:pPr>
        <w:widowControl/>
      </w:pPr>
      <w:r>
        <w:t>先核對總量，再計算配對效率、價量差異、同任務基準與可比的後續窗口。修改門檻後重新檢查涵蓋率與例外，並保留新的參數與結果。</w:t>
      </w:r>
    </w:p>
    <w:p>
      <w:pPr>
        <w:pStyle w:val="Caption"/>
        <w:widowControl/>
      </w:pPr>
      <w:r>
        <w:t>sql/analytics.sql  notebooks/01_fuel_analysis.ipynb</w:t>
      </w:r>
    </w:p>
    <w:p>
      <w:pPr>
        <w:pStyle w:val="Heading2"/>
        <w:widowControl/>
      </w:pPr>
      <w:r>
        <w:t>閱讀圖表與回查明細</w:t>
      </w:r>
    </w:p>
    <w:p>
      <w:pPr>
        <w:widowControl/>
      </w:pPr>
      <w:r>
        <w:t>互動報表一次選一個版本，再篩選租戶、車輛、週與品質並下載明細。利用 output_id 回查來源與截止時間；中文圖表說明提供每張圖的判讀與限制。</w:t>
      </w:r>
    </w:p>
    <w:p>
      <w:pPr>
        <w:pStyle w:val="Caption"/>
        <w:widowControl/>
      </w:pPr>
      <w:r>
        <w:t>outputs/dashboard.html  outputs/report_weekly_detail.csv</w:t>
        <w:br/>
        <w:t>docs/chart_walkthrough_zh.md</w:t>
      </w:r>
    </w:p>
    <w:p>
      <w:pPr>
        <w:pStyle w:val="Heading2"/>
        <w:widowControl/>
      </w:pPr>
      <w:r>
        <w:t>執行入口</w:t>
      </w:r>
    </w:p>
    <w:p>
      <w:pPr>
        <w:widowControl/>
      </w:pPr>
      <w:r>
        <w:t>依 README 安裝已鎖定的執行環境後，在專案根目錄執行：</w:t>
      </w:r>
    </w:p>
    <w:p>
      <w:pPr>
        <w:widowControl/>
      </w:pPr>
      <w:r>
        <w:rPr>
          <w:rFonts w:ascii="DejaVu Sans Mono" w:hAnsi="DejaVu Sans Mono" w:eastAsia="DejaVu Sans Mono"/>
          <w:color w:val="000000"/>
          <w:sz w:val="18"/>
        </w:rPr>
        <w:t>python -m fleet_fuel.cli run --profile full --operational snapshot</w:t>
      </w:r>
    </w:p>
    <w:sectPr w:rsidR="00FC693F" w:rsidRPr="0006063C" w:rsidSect="00034616">
      <w:footerReference w:type="default" r:id="rId9"/>
      <w:pgSz w:w="12240" w:h="15840"/>
      <w:pgMar w:top="893" w:right="936" w:bottom="907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000000"/>
        <w:sz w:val="17"/>
      </w:rPr>
      <w:t xml:space="preserve">DA-E01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Noto Sans CJK TC" w:hAnsi="Noto Sans CJK TC" w:eastAsia="Noto Sans CJK T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Noto Sans CJK TC" w:hAnsi="Noto Sans CJK TC" w:eastAsia="Noto Sans CJK T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Noto Sans CJK TC" w:hAnsi="Noto Sans CJK TC" w:eastAsia="Noto Sans CJK T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車隊燃油效率與價格差異分析</dc:title>
  <dc:subject>DA-E01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