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Fleet fuel efficiency and price variance</w:t>
      </w:r>
    </w:p>
    <w:p>
      <w:pPr>
        <w:pStyle w:val="Subtitle"/>
        <w:widowControl/>
      </w:pPr>
      <w:r>
        <w:t>DA E01 analytical summary</w:t>
      </w:r>
    </w:p>
    <w:p>
      <w:pPr>
        <w:widowControl/>
      </w:pPr>
      <w:r>
        <w:t>January to June 2025 operations. Revised operational view with separately identified retrospective market context.</w:t>
      </w:r>
    </w:p>
    <w:p>
      <w:pPr>
        <w:widowControl/>
      </w:pPr>
      <w:r>
        <w:t>The fleet achieves 8.21 MPG over matched measurement intervals. The decision is where evidence supports further investigation: purchased fuel, ECU consumption and tank stock are reconciled separately before efficiency or price differences are interpreted.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592"/>
        <w:gridCol w:w="5400"/>
      </w:tblGrid>
      <w:tr>
        <w:trPr>
          <w:cantSplit/>
          <w:tblHeader/>
        </w:trPr>
        <w:tc>
          <w:tcPr>
            <w:tcW w:type="dxa" w:w="2376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Measure</w:t>
            </w:r>
          </w:p>
        </w:tc>
        <w:tc>
          <w:tcPr>
            <w:tcW w:type="dxa" w:w="2592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5400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Definition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Scope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 tenants / 30 vehicles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810 vehicle-week rows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Paired distance</w:t>
            </w:r>
          </w:p>
        </w:tc>
        <w:tc>
          <w:tcPr>
            <w:tcW w:type="dxa" w:w="259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219,385.5 km</w:t>
            </w:r>
          </w:p>
        </w:tc>
        <w:tc>
          <w:tcPr>
            <w:tcW w:type="dxa" w:w="540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Accepted common intervals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Paired ECU fuel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62,852.7 L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Consumption, not purchases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Fleet efficiency</w:t>
            </w:r>
          </w:p>
        </w:tc>
        <w:tc>
          <w:tcPr>
            <w:tcW w:type="dxa" w:w="259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8.21 MPG</w:t>
            </w:r>
          </w:p>
        </w:tc>
        <w:tc>
          <w:tcPr>
            <w:tcW w:type="dxa" w:w="540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Ratio of summed distance and fuel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Time coverage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99.95%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Valid paired / expected seconds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Net fuel purchases</w:t>
            </w:r>
          </w:p>
        </w:tc>
        <w:tc>
          <w:tcPr>
            <w:tcW w:type="dxa" w:w="259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US$76,856.05</w:t>
            </w:r>
          </w:p>
        </w:tc>
        <w:tc>
          <w:tcPr>
            <w:tcW w:type="dxa" w:w="540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Comparable transaction amount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3911248"/>
            <wp:docPr id="1" name="Picture 1" descr="Efficiency and usable observation cove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fficiency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1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t>All fleet operations and follow-up cases are synthetic. Actual EIA observations are independent public background. These results demonstrate reproducible scenario analysis, not verified customer savings or production fleet performance.</w:t>
      </w:r>
    </w:p>
    <w:p>
      <w:pPr>
        <w:pStyle w:val="Heading1"/>
        <w:pageBreakBefore/>
        <w:widowControl/>
      </w:pPr>
      <w:r>
        <w:t>Separate price effects from operating changes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3302077"/>
            <wp:docPr id="2" name="Picture 2" descr="Price, quantity and market 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ice_quantity_bri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0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t>Between the full weeks starting 2025-06-16 and 2025-06-23, comparable purchases change from US$1,539.67 to US$4,330.44. The price effect is US$24.59, the quantity effect is US$2,766.18, and the disclosed residual is US$0.00.</w:t>
      </w:r>
    </w:p>
    <w:p>
      <w:pPr>
        <w:widowControl/>
      </w:pPr>
      <w:r>
        <w:t>Fuel spending does not establish the cost of fuel consumed during the same week. Retrospective regional market gaps are reference comparisons; they are not executable offers or realizable savings.</w:t>
      </w:r>
    </w:p>
    <w:p>
      <w:pPr>
        <w:pStyle w:val="Heading2"/>
        <w:widowControl/>
      </w:pPr>
      <w:r>
        <w:t>Qualify comparisons before selecting cases</w:t>
      </w:r>
    </w:p>
    <w:p>
      <w:pPr>
        <w:widowControl/>
      </w:pPr>
      <w:r>
        <w:t>The revised view identifies 1 vehicle-week below the coverage threshold and 156 without an eligible peer baseline. Task-specific peer rules flag 1 vehicle-week; price rules flag 17. Reasons may overlap.</w:t>
      </w:r>
    </w:p>
    <w:p>
      <w:pPr>
        <w:widowControl/>
      </w:pPr>
      <w:r>
        <w:t>Peers share tenant, vehicle class, task and week. Eligible comparisons need at least three other vehicles and 95% coverage. An intensity at least 20% above the eligible peer median calls for load, PTO and route review; it does not prove waste.</w:t>
      </w:r>
    </w:p>
    <w:p>
      <w:pPr>
        <w:widowControl/>
      </w:pPr>
      <w:r>
        <w:t>Inventory provides a second measurement path. Of 810 windows, 776 reconcile within stated measurement uncertainty. The remaining states preserve missing ECU intervals, uncalibrated boundaries, incomplete movements and cases needing coverage or balance investigation.</w:t>
      </w:r>
    </w:p>
    <w:p>
      <w:pPr>
        <w:widowControl/>
      </w:pPr>
      <w:r>
        <w:t>Use the offline dashboard for vehicle-week and task-level drilldown. Preserve unknown values and non-operating exposure rather than converting either into zero efficiency.</w:t>
      </w:r>
    </w:p>
    <w:p>
      <w:pPr>
        <w:pStyle w:val="Heading1"/>
        <w:pageBreakBefore/>
        <w:widowControl/>
      </w:pPr>
      <w:r>
        <w:t>Follow adoption through comparable evidence</w:t>
      </w:r>
    </w:p>
    <w:p>
      <w:pPr>
        <w:widowControl/>
      </w:pPr>
      <w:r>
        <w:t>The exercise includes 8 review cases. Only 3 pass the maturity, task and coverage checks for descriptive follow-up comparison. Rejected, unobserved, immature and lost cases retain their own states.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2678549"/>
            <wp:docPr id="3" name="Picture 3" descr="From report to investigation and follow-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ction_follow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6785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800"/>
        <w:gridCol w:w="2304"/>
        <w:gridCol w:w="2304"/>
        <w:gridCol w:w="2016"/>
      </w:tblGrid>
      <w:tr>
        <w:trPr>
          <w:cantSplit/>
          <w:tblHeader/>
        </w:trPr>
        <w:tc>
          <w:tcPr>
            <w:tcW w:type="dxa" w:w="1944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1800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Baseline</w:t>
            </w:r>
          </w:p>
        </w:tc>
        <w:tc>
          <w:tcPr>
            <w:tcW w:type="dxa" w:w="2304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Raw follow-up</w:t>
            </w:r>
          </w:p>
        </w:tc>
        <w:tc>
          <w:tcPr>
            <w:tcW w:type="dxa" w:w="2304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Standardized</w:t>
            </w:r>
          </w:p>
        </w:tc>
        <w:tc>
          <w:tcPr>
            <w:tcW w:type="dxa" w:w="2016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Change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T01-V01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28.21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28.21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27.90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-0.31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T01-V02</w:t>
            </w:r>
          </w:p>
        </w:tc>
        <w:tc>
          <w:tcPr>
            <w:tcW w:type="dxa" w:w="180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28.64</w:t>
            </w:r>
          </w:p>
        </w:tc>
        <w:tc>
          <w:tcPr>
            <w:tcW w:type="dxa" w:w="230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29.19</w:t>
            </w:r>
          </w:p>
        </w:tc>
        <w:tc>
          <w:tcPr>
            <w:tcW w:type="dxa" w:w="230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29.12</w:t>
            </w:r>
          </w:p>
        </w:tc>
        <w:tc>
          <w:tcPr>
            <w:tcW w:type="dxa" w:w="201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+0.48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T01-V08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29.46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28.71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28.70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-0.76</w:t>
            </w:r>
          </w:p>
        </w:tc>
      </w:tr>
    </w:tbl>
    <w:p>
      <w:pPr>
        <w:spacing w:after="20"/>
      </w:pPr>
    </w:p>
    <w:p>
      <w:pPr>
        <w:pStyle w:val="Caption"/>
        <w:widowControl/>
      </w:pPr>
      <w:r>
        <w:t>All rates are L/100km. Standardized follow-up rates use baseline task distance shares. Hollow diamonds show raw follow-up rates. Holding this measured task mix constant still does not control every operating difference.</w:t>
      </w:r>
    </w:p>
    <w:p>
      <w:pPr>
        <w:widowControl/>
      </w:pPr>
      <w:r>
        <w:t>Recorded active review work totals 137.0 minutes against a recorded baseline of 240.0 minutes across 8 synthetic cases. Waiting is excluded. This exercises the workload fields; it is not a measured productivity saving.</w:t>
      </w:r>
    </w:p>
    <w:p>
      <w:pPr>
        <w:pStyle w:val="Heading2"/>
        <w:widowControl/>
      </w:pPr>
      <w:r>
        <w:t>Reproduce and inspect</w:t>
      </w:r>
    </w:p>
    <w:p>
      <w:pPr>
        <w:widowControl/>
      </w:pPr>
      <w:r>
        <w:t>The repository contains source definitions, generation and acquisition code, SQL transformations, independent validation fixtures, an analytical database build, an executed notebook and the offline report. Follow README and docs/runbook.md to rebuild the full profile and change a reporting threshold.</w:t>
      </w:r>
    </w:p>
    <w:p>
      <w:pPr>
        <w:widowControl/>
      </w:pPr>
      <w:r>
        <w:t>Do not combine initial, revised and retrospective views. A 2026 retrieval of a 2025 price does not establish its historical availability. Synthetic outcomes and before/after changes must not be presented as real fleet effectiveness or causal savings.</w:t>
      </w:r>
    </w:p>
    <w:sectPr w:rsidR="00FC693F" w:rsidRPr="0006063C" w:rsidSect="00034616">
      <w:footerReference w:type="default" r:id="rId9"/>
      <w:pgSz w:w="12240" w:h="15840"/>
      <w:pgMar w:top="893" w:right="936" w:bottom="907" w:left="936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000000"/>
        <w:sz w:val="17"/>
      </w:rPr>
      <w:t xml:space="preserve">DA-E01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8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 w:eastAsia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40"/>
    </w:pPr>
    <w:rPr>
      <w:rFonts w:ascii="Arial" w:hAnsi="Arial" w:eastAsia="Arial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 fuel efficiency and price variance</dc:title>
  <dc:subject>DA-E01 analysis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