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 M01 到站時間與延誤預警</w:t>
      </w:r>
    </w:p>
    <w:p>
      <w:pPr>
        <w:pStyle w:val="Heading1"/>
      </w:pPr>
      <w:r>
        <w:t>M2 完整資料建置與驗證成果</w:t>
      </w:r>
    </w:p>
    <w:p>
      <w:pPr>
        <w:pStyle w:val="Caption"/>
      </w:pPr>
      <w:r>
        <w:t>Rollingtrans Data &amp; AI Career Lab｜2026 年 10 月 27 日｜里程碑 v0.2.0</w:t>
      </w:r>
    </w:p>
    <w:p>
      <w:pPr/>
      <w:r>
        <w:t>本輪已將 M1 試跑擴展為可保留及重建的 1,800 趟行程資料，完成 14,349 張當時可知快照及對應標籤。全量資料品質、來源追溯、時間切分與 HTTP 對帳通過；這份資料可作為下一階段模型比較的固定輸入。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shd w:fill="224C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424"/>
            <w:vAlign w:val="center"/>
            <w:shd w:fill="224C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本輪實測結果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資料期間</w:t>
            </w:r>
          </w:p>
        </w:tc>
        <w:tc>
          <w:tcPr>
            <w:tcW w:type="dxa" w:w="842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2026 年 1 至 9 月；答案追蹤截止為 10 月 15 日 00:00 洛杉磯時間，不含該時點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行程與定位</w:t>
            </w:r>
          </w:p>
        </w:tc>
        <w:tc>
          <w:tcPr>
            <w:tcW w:type="dxa" w:w="84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1,800 趟行程；197,303 筆 GPS 事件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實體範圍</w:t>
            </w:r>
          </w:p>
        </w:tc>
        <w:tc>
          <w:tcPr>
            <w:tcW w:type="dxa" w:w="842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3 租戶、30 車、36 裝置；12 場站版本、12 路線版本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歷史參考</w:t>
            </w:r>
          </w:p>
        </w:tc>
        <w:tc>
          <w:tcPr>
            <w:tcW w:type="dxa" w:w="84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2,536,045 筆可用訓練歷史關聯，完整保留而未抽樣截斷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資料表與輸出</w:t>
            </w:r>
          </w:p>
        </w:tc>
        <w:tc>
          <w:tcPr>
            <w:tcW w:type="dxa" w:w="842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28 張表結構及 Parquet；17 張有資料，11 張待後續階段填入</w:t>
            </w:r>
          </w:p>
        </w:tc>
      </w:tr>
    </w:tbl>
    <w:p>
      <w:pPr>
        <w:spacing w:after="40" w:before="0" w:line="96" w:lineRule="auto"/>
      </w:pPr>
    </w:p>
    <w:p>
      <w:r>
        <w:drawing>
          <wp:inline xmlns:a="http://schemas.openxmlformats.org/drawingml/2006/main" xmlns:pic="http://schemas.openxmlformats.org/drawingml/2006/picture">
            <wp:extent cx="6492240" cy="2102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snapshot_qua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02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圖 1　標籤資格與定位品質。單位是快照；同一趟行程可貢獻多張快照。</w:t>
      </w:r>
    </w:p>
    <w:p>
      <w:pPr/>
      <w:r>
        <w:t>資料全部為明確標示的原創 2026 年合成情境，並非 Rollingtrans 客戶紀錄。正常與異常情境的比例屬工程設計，不能當作真實延誤率、預測準確度或營運改善。</w:t>
      </w:r>
    </w:p>
    <w:p>
      <w:r>
        <w:br w:type="page"/>
      </w:r>
    </w:p>
    <w:p>
      <w:pPr>
        <w:pStyle w:val="Heading1"/>
      </w:pPr>
      <w:r>
        <w:t>1 時間切分與可評估樣本</w:t>
      </w:r>
    </w:p>
    <w:p>
      <w:pPr/>
      <w:r>
        <w:t>訓練使用 1 月 1 日至 6 月 23 日出發的行程；7 月 1 至 24 日留給校準；8 至 9 月留給最終測試。訓練與校準答案分別只取 7 月 1 日、8 月 1 日之前可用的版本。緩衝期與測試前的保留車輛或路線行程均排除。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2376"/>
        <w:gridCol w:w="2448"/>
        <w:gridCol w:w="2520"/>
      </w:tblGrid>
      <w:tr>
        <w:trPr>
          <w:cantSplit/>
          <w:tblHeader/>
        </w:trPr>
        <w:tc>
          <w:tcPr>
            <w:tcW w:type="dxa" w:w="1296"/>
            <w:vAlign w:val="center"/>
            <w:shd w:fill="224C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組別</w:t>
            </w:r>
          </w:p>
        </w:tc>
        <w:tc>
          <w:tcPr>
            <w:tcW w:type="dxa" w:w="1584"/>
            <w:vAlign w:val="center"/>
            <w:shd w:fill="224C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總行程</w:t>
            </w:r>
          </w:p>
        </w:tc>
        <w:tc>
          <w:tcPr>
            <w:tcW w:type="dxa" w:w="2376"/>
            <w:vAlign w:val="center"/>
            <w:shd w:fill="224C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可用目標行程</w:t>
            </w:r>
          </w:p>
        </w:tc>
        <w:tc>
          <w:tcPr>
            <w:tcW w:type="dxa" w:w="2448"/>
            <w:vAlign w:val="center"/>
            <w:shd w:fill="224C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可用目標快照</w:t>
            </w:r>
          </w:p>
        </w:tc>
        <w:tc>
          <w:tcPr>
            <w:tcW w:type="dxa" w:w="2520"/>
            <w:vAlign w:val="center"/>
            <w:shd w:fill="224C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未成熟快照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訓練</w:t>
            </w:r>
          </w:p>
        </w:tc>
        <w:tc>
          <w:tcPr>
            <w:tcW w:type="dxa" w:w="158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992</w:t>
            </w:r>
          </w:p>
        </w:tc>
        <w:tc>
          <w:tcPr>
            <w:tcW w:type="dxa" w:w="2376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805</w:t>
            </w:r>
          </w:p>
        </w:tc>
        <w:tc>
          <w:tcPr>
            <w:tcW w:type="dxa" w:w="24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3,670</w:t>
            </w:r>
          </w:p>
        </w:tc>
        <w:tc>
          <w:tcPr>
            <w:tcW w:type="dxa" w:w="252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2,400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校準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171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130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596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528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測試</w:t>
            </w:r>
          </w:p>
        </w:tc>
        <w:tc>
          <w:tcPr>
            <w:tcW w:type="dxa" w:w="158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400</w:t>
            </w:r>
          </w:p>
        </w:tc>
        <w:tc>
          <w:tcPr>
            <w:tcW w:type="dxa" w:w="2376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328</w:t>
            </w:r>
          </w:p>
        </w:tc>
        <w:tc>
          <w:tcPr>
            <w:tcW w:type="dxa" w:w="24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1,578</w:t>
            </w:r>
          </w:p>
        </w:tc>
        <w:tc>
          <w:tcPr>
            <w:tcW w:type="dxa" w:w="252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864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排除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237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195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1,122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480</w:t>
            </w:r>
          </w:p>
        </w:tc>
      </w:tr>
    </w:tbl>
    <w:p>
      <w:pPr>
        <w:spacing w:after="40" w:before="0" w:line="96" w:lineRule="auto"/>
      </w:pPr>
    </w:p>
    <w:p>
      <w:pPr>
        <w:pStyle w:val="Heading2"/>
      </w:pPr>
      <w:r>
        <w:t>測試群覆蓋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584"/>
        <w:gridCol w:w="2376"/>
        <w:gridCol w:w="2376"/>
      </w:tblGrid>
      <w:tr>
        <w:trPr>
          <w:cantSplit/>
          <w:tblHeader/>
        </w:trPr>
        <w:tc>
          <w:tcPr>
            <w:tcW w:type="dxa" w:w="3888"/>
            <w:vAlign w:val="center"/>
            <w:shd w:fill="224C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測試群</w:t>
            </w:r>
          </w:p>
        </w:tc>
        <w:tc>
          <w:tcPr>
            <w:tcW w:type="dxa" w:w="1584"/>
            <w:vAlign w:val="center"/>
            <w:shd w:fill="224C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總行程</w:t>
            </w:r>
          </w:p>
        </w:tc>
        <w:tc>
          <w:tcPr>
            <w:tcW w:type="dxa" w:w="2376"/>
            <w:vAlign w:val="center"/>
            <w:shd w:fill="224C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可用目標行程</w:t>
            </w:r>
          </w:p>
        </w:tc>
        <w:tc>
          <w:tcPr>
            <w:tcW w:type="dxa" w:w="2376"/>
            <w:vAlign w:val="center"/>
            <w:shd w:fill="224C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可用目標快照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已見車輛與路線</w:t>
            </w:r>
          </w:p>
        </w:tc>
        <w:tc>
          <w:tcPr>
            <w:tcW w:type="dxa" w:w="158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325</w:t>
            </w:r>
          </w:p>
        </w:tc>
        <w:tc>
          <w:tcPr>
            <w:tcW w:type="dxa" w:w="2376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262</w:t>
            </w:r>
          </w:p>
        </w:tc>
        <w:tc>
          <w:tcPr>
            <w:tcW w:type="dxa" w:w="2376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1,197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未見路線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34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29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206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未見車輛及路線</w:t>
            </w:r>
          </w:p>
        </w:tc>
        <w:tc>
          <w:tcPr>
            <w:tcW w:type="dxa" w:w="158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4</w:t>
            </w:r>
          </w:p>
        </w:tc>
        <w:tc>
          <w:tcPr>
            <w:tcW w:type="dxa" w:w="2376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4</w:t>
            </w:r>
          </w:p>
        </w:tc>
        <w:tc>
          <w:tcPr>
            <w:tcW w:type="dxa" w:w="2376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28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未見車輛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37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33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b w:val="0"/>
                <w:color w:val="172A38"/>
                <w:sz w:val="18"/>
              </w:rPr>
              <w:t>147</w:t>
            </w:r>
          </w:p>
        </w:tc>
      </w:tr>
    </w:tbl>
    <w:p>
      <w:pPr>
        <w:spacing w:after="40" w:before="0" w:line="96" w:lineRule="auto"/>
      </w:pPr>
    </w:p>
    <w:p>
      <w:pPr/>
      <w:r>
        <w:t>可用目標要求到場答案已在該組截止前確認，且快照時剩餘旅時為正。取消、未成熟與實際已到場的快照仍保留供稽核；不把未知填成零或準時。「已到場」也可能表示當時到場通知尚未送達，不能倒用事後資訊移除快照。排除組即使有合格標籤，也不納入訓練、校準或測試。</w:t>
      </w:r>
    </w:p>
    <w:p>
      <w:pPr/>
      <w:r>
        <w:t>樣本限制：未見路線僅 29 趟可用行程；未見車輛及路線僅 4 趟可用行程。小群結果須分開呈現並揭露不確定性，不能只看快照總數。</w:t>
      </w:r>
    </w:p>
    <w:p>
      <w:pPr/>
      <w:r>
        <w:t>訓練組另有 97 張可用目標快照沒有當時已知的訓練歷史池。M3 必須定義明確的無支援或備援策略；本輪的樣本門檻只是描述性提示，並非統計檢定力或上線驗收標準。</w:t>
      </w:r>
    </w:p>
    <w:p>
      <w:pPr/>
      <w:r>
        <w:t>同趟快照彼此相關，模型驗證與不確定性估計須按行程分組。測試組本輪僅檢查資料有效性與覆蓋，不得據此選模型、特徵、校準方法或預警門檻。</w:t>
      </w:r>
    </w:p>
    <w:p>
      <w:r>
        <w:br w:type="page"/>
      </w:r>
    </w:p>
    <w:p>
      <w:pPr>
        <w:pStyle w:val="Heading1"/>
      </w:pPr>
      <w:r>
        <w:t>2 驗證證據與工程變更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vAlign w:val="center"/>
            <w:shd w:fill="224C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驗證項目</w:t>
            </w:r>
          </w:p>
        </w:tc>
        <w:tc>
          <w:tcPr>
            <w:tcW w:type="dxa" w:w="8136"/>
            <w:vAlign w:val="center"/>
            <w:shd w:fill="224C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實際結果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程式測試</w:t>
            </w:r>
          </w:p>
        </w:tc>
        <w:tc>
          <w:tcPr>
            <w:tcW w:type="dxa" w:w="8136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49 項測試全部通過；數量由本輪 unittest 執行紀錄讀取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全量資料庫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27 項檢查通過，涵蓋型別、來源可用時間、標籤、歷史池與表結構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建模前檢查</w:t>
            </w:r>
          </w:p>
        </w:tc>
        <w:tc>
          <w:tcPr>
            <w:tcW w:type="dxa" w:w="8136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22 項技術檢查通過；群組樣本警示另行保留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本機 HTTP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1,441 頁、197,303 筆事件；1 次重試，137 筆重播正確去重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乾淨目錄重建</w:t>
            </w:r>
          </w:p>
        </w:tc>
        <w:tc>
          <w:tcPr>
            <w:tcW w:type="dxa" w:w="8136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48 個資料檔 SHA256 相同；7 個 HTTP 衍生檔內容相同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M1 程式相容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7 個 M1 衍生資料檔以優化後程式重建，逐位元組一致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M1 資料延續</w:t>
            </w:r>
          </w:p>
        </w:tc>
        <w:tc>
          <w:tcPr>
            <w:tcW w:type="dxa" w:w="8136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172A38"/>
                <w:sz w:val="18"/>
              </w:rPr>
              <w:t>14 個檔案內共 16,349 筆 M1 業務及快照標籤資料，皆包含於 M2</w:t>
            </w:r>
          </w:p>
        </w:tc>
      </w:tr>
    </w:tbl>
    <w:p>
      <w:pPr>
        <w:spacing w:after="40" w:before="0" w:line="96" w:lineRule="auto"/>
      </w:pPr>
    </w:p>
    <w:p>
      <w:pPr/>
      <w:r>
        <w:t>本次完整執行耗時 320.6 秒，量測到的程序最高常駐記憶體為 7.23 GiB。乾淨目錄重建及 HTTP 對帳另耗時 486.8 秒。這是本環境的實測紀錄，不代表其他電腦或正式服務的效能保證。</w:t>
      </w:r>
    </w:p>
    <w:p>
      <w:pPr>
        <w:pStyle w:val="Heading2"/>
      </w:pPr>
      <w:r>
        <w:t>本輪工程調整</w:t>
      </w:r>
    </w:p>
    <w:p>
      <w:pPr/>
      <w:r>
        <w:t>歷史關聯與來源追溯改為逐筆寫入，並以行程及租戶索引減少重複掃描；保留全部符合時間條件的歷史，沒有用抽樣縮減資料。輸出先寫暫存檔，完成並關閉後再逐檔發布，避免建置中途失敗覆蓋既有完整檔案。</w:t>
      </w:r>
    </w:p>
    <w:p>
      <w:pPr/>
      <w:r>
        <w:t>M1 的生成器、種子、實體編號及特徵定義沿用。M2 取得時間與執行時間分開記錄；舊資料業務內容可對照，新的歷史池則隨全量訓練行程擴大。</w:t>
      </w:r>
    </w:p>
    <w:p>
      <w:pPr/>
      <w:r>
        <w:t>28 張必要表均已建立明確型別，其中 11 張模型、預測、輸出發布、預警通知與行動追蹤表為空表。表結構齊備不等於模型或預警流程完成；本輪沒有產生虛構預測或通知紀錄。</w:t>
      </w:r>
    </w:p>
    <w:p>
      <w:r>
        <w:br w:type="page"/>
      </w:r>
    </w:p>
    <w:p>
      <w:pPr>
        <w:pStyle w:val="Heading1"/>
      </w:pPr>
      <w:r>
        <w:t>3 重跑方式與 M3 入口</w:t>
      </w:r>
    </w:p>
    <w:p>
      <w:pPr/>
      <w:r>
        <w:t>在解壓後的專案根目錄執行。需 Python 3.11 以上；已交付固定依賴版本與 M2 設定。重跑會更新生成資料與執行紀錄，請保留原始交付包作為參考快照。完整資料解壓約 12.6 GB；完整重建對帳建議預留約 30 GB 磁碟空間。</w:t>
      </w:r>
    </w:p>
    <w:p>
      <w:pPr>
        <w:spacing w:after="80" w:line="240" w:lineRule="auto"/>
      </w:pPr>
      <w:r>
        <w:rPr>
          <w:rFonts w:ascii="DejaVu Sans Mono" w:hAnsi="DejaVu Sans Mono"/>
          <w:sz w:val="16"/>
        </w:rPr>
        <w:t>python3 -m venv .venv</w:t>
      </w:r>
    </w:p>
    <w:p>
      <w:pPr>
        <w:spacing w:after="80" w:line="240" w:lineRule="auto"/>
      </w:pPr>
      <w:r>
        <w:rPr>
          <w:rFonts w:ascii="DejaVu Sans Mono" w:hAnsi="DejaVu Sans Mono"/>
          <w:sz w:val="16"/>
        </w:rPr>
        <w:t>source .venv/bin/activate</w:t>
      </w:r>
    </w:p>
    <w:p>
      <w:pPr>
        <w:spacing w:after="80" w:line="240" w:lineRule="auto"/>
      </w:pPr>
      <w:r>
        <w:rPr>
          <w:rFonts w:ascii="DejaVu Sans Mono" w:hAnsi="DejaVu Sans Mono"/>
          <w:sz w:val="16"/>
        </w:rPr>
        <w:t>python -m pip install -r requirements.lock</w:t>
      </w:r>
    </w:p>
    <w:p>
      <w:pPr>
        <w:spacing w:after="80" w:line="240" w:lineRule="auto"/>
      </w:pPr>
      <w:r>
        <w:rPr>
          <w:rFonts w:ascii="DejaVu Sans Mono" w:hAnsi="DejaVu Sans Mono"/>
          <w:sz w:val="16"/>
        </w:rPr>
        <w:t>python -m pip install -e . --no-deps</w:t>
      </w:r>
    </w:p>
    <w:p>
      <w:pPr>
        <w:spacing w:after="80" w:line="240" w:lineRule="auto"/>
      </w:pPr>
      <w:r>
        <w:rPr>
          <w:rFonts w:ascii="DejaVu Sans Mono" w:hAnsi="DejaVu Sans Mono"/>
          <w:sz w:val="16"/>
        </w:rPr>
        <w:t>python -m ds_m01.cli run --root . --config config/m2.json</w:t>
      </w:r>
    </w:p>
    <w:p>
      <w:pPr>
        <w:spacing w:after="80" w:line="240" w:lineRule="auto"/>
      </w:pPr>
      <w:r>
        <w:rPr>
          <w:rFonts w:ascii="DejaVu Sans Mono" w:hAnsi="DejaVu Sans Mono"/>
          <w:sz w:val="16"/>
        </w:rPr>
        <w:t>python -m ds_m01.cli http-check --root . --config config/m2.json</w:t>
      </w:r>
    </w:p>
    <w:p>
      <w:pPr>
        <w:spacing w:after="80" w:line="240" w:lineRule="auto"/>
      </w:pPr>
      <w:r>
        <w:rPr>
          <w:rFonts w:ascii="DejaVu Sans Mono" w:hAnsi="DejaVu Sans Mono"/>
          <w:sz w:val="16"/>
        </w:rPr>
        <w:t>python scripts/check_m2_readiness.py --root .</w:t>
      </w:r>
    </w:p>
    <w:p>
      <w:pPr>
        <w:spacing w:after="80" w:line="240" w:lineRule="auto"/>
      </w:pPr>
      <w:r>
        <w:rPr>
          <w:rFonts w:ascii="DejaVu Sans Mono" w:hAnsi="DejaVu Sans Mono"/>
          <w:sz w:val="16"/>
        </w:rPr>
        <w:t>python scripts/check_rebuild.py --root . --config config/m2.json</w:t>
      </w:r>
    </w:p>
    <w:p>
      <w:pPr>
        <w:spacing w:after="80" w:line="240" w:lineRule="auto"/>
      </w:pPr>
      <w:r>
        <w:rPr>
          <w:rFonts w:ascii="DejaVu Sans Mono" w:hAnsi="DejaVu Sans Mono"/>
          <w:sz w:val="16"/>
        </w:rPr>
        <w:t>python -m unittest discover -s tests -v</w:t>
      </w:r>
    </w:p>
    <w:p>
      <w:pPr>
        <w:pStyle w:val="Heading2"/>
      </w:pPr>
      <w:r>
        <w:t>原生 PostgreSQL 狀態</w:t>
      </w:r>
    </w:p>
    <w:p>
      <w:pPr/>
      <w:r>
        <w:t>仍為未執行。此環境沒有可用的原生 PostgreSQL 服務、未設定資料庫連線，且僅映射 root 使用者；不把 DuckDB 或本機 HTTP 通過視為 PostgreSQL 已驗證。DDL 與 psycopg 往返程式已提供，可在相容環境設定 DS_M01_PG_DSN 後另行執行。</w:t>
      </w:r>
    </w:p>
    <w:p>
      <w:pPr>
        <w:spacing w:after="80" w:line="240" w:lineRule="auto"/>
      </w:pPr>
      <w:r>
        <w:rPr>
          <w:rFonts w:ascii="DejaVu Sans Mono" w:hAnsi="DejaVu Sans Mono"/>
          <w:sz w:val="16"/>
        </w:rPr>
        <w:t>python -m ds_m01.postgres_check --root .</w:t>
      </w:r>
    </w:p>
    <w:p>
      <w:pPr>
        <w:pStyle w:val="Heading2"/>
      </w:pPr>
      <w:r>
        <w:t>下一階段的模型工作</w:t>
      </w:r>
    </w:p>
    <w:p>
      <w:pPr/>
      <w:r>
        <w:t>資料技術檢查已支持開始 M3，仍須遵守小群與無歷史支援限制。先建立歷史旅時基準，再比較剩餘旅時與分位數模型；只在訓練期內做時間驗證，用校準組處理區間、機率與預警門檻，最後一次性評估保留測試組。</w:t>
      </w:r>
    </w:p>
    <w:p>
      <w:pPr/>
      <w:r>
        <w:t>尚待完成模型訓練、區間與機率校準、最終測試、預警通知與行動追蹤，以及完整專案驗收。GitHub 簽署 commit 與 push 由使用者操作；本輪未建立 commit、未 push。</w:t>
      </w:r>
    </w:p>
    <w:p>
      <w:pPr>
        <w:pStyle w:val="Caption"/>
      </w:pPr>
      <w:r>
        <w:t>主要證據位於 reports/quality_report.json、m2_readiness.json、rebuild_report.json、runtime_profile.json 與 unittest_results.txt；後續入口見 continuation.json。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DS-M01 M2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Noto Sans CJK TC" w:hAnsi="Noto Sans CJK TC" w:eastAsia="Noto Sans CJK T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264" w:lineRule="auto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64" w:lineRule="auto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Noto Sans CJK TC" w:hAnsi="Noto Sans CJK TC" w:eastAsia="Noto Sans CJK TC"/>
      <w:b/>
      <w:bCs/>
      <w:color w:val="52616D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 M01 M2 完整資料建置與驗證成果</dc:title>
  <dc:subject/>
  <dc:creator>Rollingtrans Data &amp; AI Career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