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DS-M01 到站時間與延誤預警</w:t>
      </w:r>
    </w:p>
    <w:p>
      <w:pPr>
        <w:pStyle w:val="Heading1"/>
      </w:pPr>
      <w:r>
        <w:t>M0 共用來源核對與 M1 資料試跑成果</w:t>
      </w:r>
    </w:p>
    <w:p>
      <w:pPr/>
      <w:r>
        <w:t>Rollingtrans Data &amp; AI Career Lab｜2026 年 10 月 26 日｜里程碑 v0.1.0</w:t>
      </w:r>
    </w:p>
    <w:p>
      <w:pPr/>
      <w:r>
        <w:t>本輪已完成 120 趟合成行程的資料生成、當時可知快照、獨立到場標籤、HTTP 接收與 DuckDB／Parquet 驗證。這是資料工程與建模前置里程碑，尚未訓練 ETA 模型，也沒有可宣稱的預測準確度或營運改善。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7560"/>
      </w:tblGrid>
      <w:tr>
        <w:trPr>
          <w:cantSplit/>
          <w:tblHeader/>
        </w:trPr>
        <w:tc>
          <w:tcPr>
            <w:tcW w:type="dxa" w:w="1872"/>
            <w:shd w:fill="E2ECF2"/>
          </w:tcPr>
          <w:p>
            <w:pPr>
              <w:spacing w:before="80" w:after="80"/>
            </w:pPr>
            <w:r>
              <w:rPr>
                <w:b/>
                <w:sz w:val="19"/>
              </w:rPr>
              <w:t>項目</w:t>
            </w:r>
          </w:p>
        </w:tc>
        <w:tc>
          <w:tcPr>
            <w:tcW w:type="dxa" w:w="7560"/>
            <w:shd w:fill="E2ECF2"/>
          </w:tcPr>
          <w:p>
            <w:pPr>
              <w:spacing w:before="80" w:after="80"/>
            </w:pPr>
            <w:r>
              <w:rPr>
                <w:b/>
                <w:sz w:val="19"/>
              </w:rPr>
              <w:t>實際結果</w:t>
            </w:r>
          </w:p>
        </w:tc>
      </w:tr>
      <w:tr>
        <w:trPr>
          <w:cantSplit/>
        </w:trPr>
        <w:tc>
          <w:tcPr>
            <w:tcW w:type="dxa" w:w="1872"/>
            <w:shd w:fill="F3F7FA"/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資料主期</w:t>
            </w:r>
          </w:p>
        </w:tc>
        <w:tc>
          <w:tcPr>
            <w:tcW w:type="dxa" w:w="7560"/>
            <w:shd w:fill="F3F7FA"/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2026/01/01–09/30；標籤追蹤截止為 10/15 00:00 洛杉磯時間，不含該時點</w:t>
            </w:r>
          </w:p>
        </w:tc>
      </w:tr>
      <w:tr>
        <w:trPr>
          <w:cantSplit/>
        </w:trPr>
        <w:tc>
          <w:tcPr>
            <w:tcW w:type="dxa" w:w="1872"/>
            <w:shd w:fill="FFFFFF"/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行程與實體</w:t>
            </w:r>
          </w:p>
        </w:tc>
        <w:tc>
          <w:tcPr>
            <w:tcW w:type="dxa" w:w="7560"/>
            <w:shd w:fill="FFFFFF"/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120 趟；3 租戶、30 車、36 裝置、12 場站及 12 路線</w:t>
            </w:r>
          </w:p>
        </w:tc>
      </w:tr>
      <w:tr>
        <w:trPr>
          <w:cantSplit/>
        </w:trPr>
        <w:tc>
          <w:tcPr>
            <w:tcW w:type="dxa" w:w="1872"/>
            <w:shd w:fill="F3F7FA"/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定位與快照</w:t>
            </w:r>
          </w:p>
        </w:tc>
        <w:tc>
          <w:tcPr>
            <w:tcW w:type="dxa" w:w="7560"/>
            <w:shd w:fill="F3F7FA"/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12,834 筆定位；937 張快照及標籤</w:t>
            </w:r>
          </w:p>
        </w:tc>
      </w:tr>
      <w:tr>
        <w:trPr>
          <w:cantSplit/>
        </w:trPr>
        <w:tc>
          <w:tcPr>
            <w:tcW w:type="dxa" w:w="1872"/>
            <w:shd w:fill="FFFFFF"/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資料契約</w:t>
            </w:r>
          </w:p>
        </w:tc>
        <w:tc>
          <w:tcPr>
            <w:tcW w:type="dxa" w:w="7560"/>
            <w:shd w:fill="FFFFFF"/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已啟用 17 張標準表；原必要表共 28 張，其餘 11 張保留到後續階段</w:t>
            </w:r>
          </w:p>
        </w:tc>
      </w:tr>
      <w:tr>
        <w:trPr>
          <w:cantSplit/>
        </w:trPr>
        <w:tc>
          <w:tcPr>
            <w:tcW w:type="dxa" w:w="1872"/>
            <w:shd w:fill="F3F7FA"/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驗證結果</w:t>
            </w:r>
          </w:p>
        </w:tc>
        <w:tc>
          <w:tcPr>
            <w:tcW w:type="dxa" w:w="7560"/>
            <w:shd w:fill="F3F7FA"/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33 項程式測試、24 項資料檢查及乾淨目錄重建通過</w:t>
            </w:r>
          </w:p>
        </w:tc>
      </w:tr>
      <w:tr>
        <w:trPr>
          <w:cantSplit/>
        </w:trPr>
        <w:tc>
          <w:tcPr>
            <w:tcW w:type="dxa" w:w="1872"/>
            <w:shd w:fill="FFFFFF"/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服務限制</w:t>
            </w:r>
          </w:p>
        </w:tc>
        <w:tc>
          <w:tcPr>
            <w:tcW w:type="dxa" w:w="7560"/>
            <w:shd w:fill="FFFFFF"/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本機 HTTP 已實際執行；原生 PostgreSQL 往返測試尚未執行</w:t>
            </w:r>
          </w:p>
        </w:tc>
      </w:tr>
    </w:tbl>
    <w:p/>
    <w:p>
      <w:pPr/>
      <w:r>
        <w:t>全部行程與定位皆為原創模擬資料；不是 Rollingtrans 客戶記錄。情境刻意平均配置正常與異常案例，比例不能當作真實車隊的延誤率或資料品質。</w:t>
      </w:r>
    </w:p>
    <w:p>
      <w:pPr/>
      <w:r>
        <w:t>本輪沒有建立 Git commit 或 push。程式、資料、操作文件與驗證證據全部交付，由使用者自行建立簽署 commit。DA-E01 的原始檔案保持不變，仍待獨立驗收。</w:t>
      </w:r>
    </w:p>
    <w:p>
      <w:r>
        <w:br w:type="page"/>
      </w:r>
    </w:p>
    <w:p>
      <w:pPr>
        <w:pStyle w:val="Heading1"/>
      </w:pPr>
      <w:r>
        <w:t>1 資料結果與可評估範圍</w:t>
      </w:r>
    </w:p>
    <w:p>
      <w:r>
        <w:drawing>
          <wp:inline xmlns:a="http://schemas.openxmlformats.org/drawingml/2006/main" xmlns:pic="http://schemas.openxmlformats.org/drawingml/2006/picture">
            <wp:extent cx="5989320" cy="21308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_snapshot_qual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130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圖 1　快照的目標資格與定位品質。單位是快照，不是獨立行程。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864"/>
        <w:gridCol w:w="6696"/>
      </w:tblGrid>
      <w:tr>
        <w:trPr>
          <w:cantSplit/>
          <w:tblHeader/>
        </w:trPr>
        <w:tc>
          <w:tcPr>
            <w:tcW w:type="dxa" w:w="1872"/>
            <w:shd w:fill="E2ECF2"/>
          </w:tcPr>
          <w:p>
            <w:pPr>
              <w:spacing w:before="80" w:after="80"/>
            </w:pPr>
            <w:r>
              <w:rPr>
                <w:b/>
                <w:sz w:val="19"/>
              </w:rPr>
              <w:t>快照標籤</w:t>
            </w:r>
          </w:p>
        </w:tc>
        <w:tc>
          <w:tcPr>
            <w:tcW w:type="dxa" w:w="864"/>
            <w:shd w:fill="E2ECF2"/>
          </w:tcPr>
          <w:p>
            <w:pPr>
              <w:spacing w:before="80" w:after="80"/>
            </w:pPr>
            <w:r>
              <w:rPr>
                <w:b/>
                <w:sz w:val="19"/>
              </w:rPr>
              <w:t>數量</w:t>
            </w:r>
          </w:p>
        </w:tc>
        <w:tc>
          <w:tcPr>
            <w:tcW w:type="dxa" w:w="6696"/>
            <w:shd w:fill="E2ECF2"/>
          </w:tcPr>
          <w:p>
            <w:pPr>
              <w:spacing w:before="80" w:after="80"/>
            </w:pPr>
            <w:r>
              <w:rPr>
                <w:b/>
                <w:sz w:val="19"/>
              </w:rPr>
              <w:t>解讀</w:t>
            </w:r>
          </w:p>
        </w:tc>
      </w:tr>
      <w:tr>
        <w:trPr>
          <w:cantSplit/>
        </w:trPr>
        <w:tc>
          <w:tcPr>
            <w:tcW w:type="dxa" w:w="1872"/>
            <w:shd w:fill="F3F7FA"/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可用目標</w:t>
            </w:r>
          </w:p>
        </w:tc>
        <w:tc>
          <w:tcPr>
            <w:tcW w:type="dxa" w:w="864"/>
            <w:shd w:fill="F3F7FA"/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457</w:t>
            </w:r>
          </w:p>
        </w:tc>
        <w:tc>
          <w:tcPr>
            <w:tcW w:type="dxa" w:w="6696"/>
            <w:shd w:fill="F3F7FA"/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到場答案已在相應截止前成熟，剩餘時間為正</w:t>
            </w:r>
          </w:p>
        </w:tc>
      </w:tr>
      <w:tr>
        <w:trPr>
          <w:cantSplit/>
        </w:trPr>
        <w:tc>
          <w:tcPr>
            <w:tcW w:type="dxa" w:w="1872"/>
            <w:shd w:fill="FFFFFF"/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尚無成熟答案</w:t>
            </w:r>
          </w:p>
        </w:tc>
        <w:tc>
          <w:tcPr>
            <w:tcW w:type="dxa" w:w="864"/>
            <w:shd w:fill="FFFFFF"/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288</w:t>
            </w:r>
          </w:p>
        </w:tc>
        <w:tc>
          <w:tcPr>
            <w:tcW w:type="dxa" w:w="6696"/>
            <w:shd w:fill="FFFFFF"/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待確認或未完成；保留未知，不能填零或準時</w:t>
            </w:r>
          </w:p>
        </w:tc>
      </w:tr>
      <w:tr>
        <w:trPr>
          <w:cantSplit/>
        </w:trPr>
        <w:tc>
          <w:tcPr>
            <w:tcW w:type="dxa" w:w="1872"/>
            <w:shd w:fill="F3F7FA"/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取消</w:t>
            </w:r>
          </w:p>
        </w:tc>
        <w:tc>
          <w:tcPr>
            <w:tcW w:type="dxa" w:w="864"/>
            <w:shd w:fill="F3F7FA"/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6696"/>
            <w:shd w:fill="F3F7FA"/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保留快照及取消結果，排除剩餘旅時目標</w:t>
            </w:r>
          </w:p>
        </w:tc>
      </w:tr>
      <w:tr>
        <w:trPr>
          <w:cantSplit/>
        </w:trPr>
        <w:tc>
          <w:tcPr>
            <w:tcW w:type="dxa" w:w="1872"/>
            <w:shd w:fill="FFFFFF"/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已到場</w:t>
            </w:r>
          </w:p>
        </w:tc>
        <w:tc>
          <w:tcPr>
            <w:tcW w:type="dxa" w:w="864"/>
            <w:shd w:fill="FFFFFF"/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181</w:t>
            </w:r>
          </w:p>
        </w:tc>
        <w:tc>
          <w:tcPr>
            <w:tcW w:type="dxa" w:w="6696"/>
            <w:shd w:fill="FFFFFF"/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實際已到場但當時系統未得知，保留快照並排除迴歸目標</w:t>
            </w:r>
          </w:p>
        </w:tc>
      </w:tr>
    </w:tbl>
    <w:p/>
    <w:p>
      <w:pPr/>
      <w:r>
        <w:t>定位有效 413 張、陳舊而低可信度 465 張、無可用定位 59 張。無可靠定位時，不推算剩餘距離。較多陳舊快照主要來自刻意設計的晚到場通知與追蹤中斷情境。</w:t>
      </w:r>
    </w:p>
    <w:p>
      <w:pPr/>
      <w:r>
        <w:t>行程按時間與保留群分為訓練 65、校準 13、測試 26、排除 16 趟。同趟快照固定同組；未見車輛與路線不得進入訓練、校準或歷史旅時池。這些分組已凍結，但本輪沒有用它們訓練或調整模型。</w:t>
      </w:r>
    </w:p>
    <w:p>
      <w:pPr/>
      <w:r>
        <w:t>每次快照最長追蹤出發後 12 小時。這是 M1 的明示觀測上限，不代表未完成行程已到場；正式母體、標籤成熟與跨界追蹤仍須在 M2 完整資料中檢查。</w:t>
      </w:r>
    </w:p>
    <w:p>
      <w:r>
        <w:br w:type="page"/>
      </w:r>
    </w:p>
    <w:p>
      <w:pPr>
        <w:pStyle w:val="Heading1"/>
      </w:pPr>
      <w:r>
        <w:t>2 代表案例與真實修正紀錄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6120"/>
      </w:tblGrid>
      <w:tr>
        <w:trPr>
          <w:cantSplit/>
          <w:tblHeader/>
        </w:trPr>
        <w:tc>
          <w:tcPr>
            <w:tcW w:type="dxa" w:w="3312"/>
            <w:shd w:fill="E2ECF2"/>
          </w:tcPr>
          <w:p>
            <w:pPr>
              <w:spacing w:before="80" w:after="80"/>
            </w:pPr>
            <w:r>
              <w:rPr>
                <w:b/>
                <w:sz w:val="19"/>
              </w:rPr>
              <w:t>情境與案例 ID</w:t>
            </w:r>
          </w:p>
        </w:tc>
        <w:tc>
          <w:tcPr>
            <w:tcW w:type="dxa" w:w="6120"/>
            <w:shd w:fill="E2ECF2"/>
          </w:tcPr>
          <w:p>
            <w:pPr>
              <w:spacing w:before="80" w:after="80"/>
            </w:pPr>
            <w:r>
              <w:rPr>
                <w:b/>
                <w:sz w:val="19"/>
              </w:rPr>
              <w:t>本輪檢查</w:t>
            </w:r>
          </w:p>
        </w:tc>
      </w:tr>
      <w:tr>
        <w:trPr>
          <w:cantSplit/>
        </w:trPr>
        <w:tc>
          <w:tcPr>
            <w:tcW w:type="dxa" w:w="3312"/>
            <w:shd w:fill="F3F7FA"/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normal</w:t>
              <w:br/>
              <w:t>T02-TRIP-000001</w:t>
            </w:r>
          </w:p>
        </w:tc>
        <w:tc>
          <w:tcPr>
            <w:tcW w:type="dxa" w:w="6120"/>
            <w:shd w:fill="F3F7FA"/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一般來源與到場流程；對照最初承諾及到場標籤。</w:t>
            </w:r>
          </w:p>
        </w:tc>
      </w:tr>
      <w:tr>
        <w:trPr>
          <w:cantSplit/>
        </w:trPr>
        <w:tc>
          <w:tcPr>
            <w:tcW w:type="dxa" w:w="3312"/>
            <w:shd w:fill="FFFFFF"/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late_arrival</w:t>
              <w:br/>
              <w:t>T01-TRIP-000046</w:t>
            </w:r>
          </w:p>
        </w:tc>
        <w:tc>
          <w:tcPr>
            <w:tcW w:type="dxa" w:w="6120"/>
            <w:shd w:fill="FFFFFF"/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以當時承諾計算延誤真值；本輪沒有產生延誤機率。</w:t>
            </w:r>
          </w:p>
        </w:tc>
      </w:tr>
      <w:tr>
        <w:trPr>
          <w:cantSplit/>
        </w:trPr>
        <w:tc>
          <w:tcPr>
            <w:tcW w:type="dxa" w:w="3312"/>
            <w:shd w:fill="F3F7FA"/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promise_revision</w:t>
              <w:br/>
              <w:t>T02-TRIP-000061</w:t>
            </w:r>
          </w:p>
        </w:tc>
        <w:tc>
          <w:tcPr>
            <w:tcW w:type="dxa" w:w="6120"/>
            <w:shd w:fill="F3F7FA"/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保留修改前後承諾版本，快照只使用當時已知版本。</w:t>
            </w:r>
          </w:p>
        </w:tc>
      </w:tr>
      <w:tr>
        <w:trPr>
          <w:cantSplit/>
        </w:trPr>
        <w:tc>
          <w:tcPr>
            <w:tcW w:type="dxa" w:w="3312"/>
            <w:shd w:fill="FFFFFF"/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gps_dropout</w:t>
              <w:br/>
              <w:t>T03-TRIP-000136</w:t>
            </w:r>
          </w:p>
        </w:tc>
        <w:tc>
          <w:tcPr>
            <w:tcW w:type="dxa" w:w="6120"/>
            <w:shd w:fill="FFFFFF"/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定位中斷期間沿用最後觀測並揭露陳舊，不捏造位置。</w:t>
            </w:r>
          </w:p>
        </w:tc>
      </w:tr>
      <w:tr>
        <w:trPr>
          <w:cantSplit/>
        </w:trPr>
        <w:tc>
          <w:tcPr>
            <w:tcW w:type="dxa" w:w="3312"/>
            <w:shd w:fill="F3F7FA"/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cancelled</w:t>
              <w:br/>
              <w:t>T03-TRIP-000091</w:t>
            </w:r>
          </w:p>
        </w:tc>
        <w:tc>
          <w:tcPr>
            <w:tcW w:type="dxa" w:w="6120"/>
            <w:shd w:fill="F3F7FA"/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出發後 25 分鐘取消，保留收到出發後的第一張快照。</w:t>
            </w:r>
          </w:p>
        </w:tc>
      </w:tr>
      <w:tr>
        <w:trPr>
          <w:cantSplit/>
        </w:trPr>
        <w:tc>
          <w:tcPr>
            <w:tcW w:type="dxa" w:w="3312"/>
            <w:shd w:fill="FFFFFF"/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arrival_report_late</w:t>
              <w:br/>
              <w:t>T02-TRIP-000151</w:t>
            </w:r>
          </w:p>
        </w:tc>
        <w:tc>
          <w:tcPr>
            <w:tcW w:type="dxa" w:w="6120"/>
            <w:shd w:fill="FFFFFF"/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到場訊息故意晚 20 天送達，檢查事後答案不回寫特徵。</w:t>
            </w:r>
          </w:p>
        </w:tc>
      </w:tr>
      <w:tr>
        <w:trPr>
          <w:cantSplit/>
        </w:trPr>
        <w:tc>
          <w:tcPr>
            <w:tcW w:type="dxa" w:w="3312"/>
            <w:shd w:fill="F3F7FA"/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outcome_revision</w:t>
              <w:br/>
              <w:t>T02-TRIP-000031</w:t>
            </w:r>
          </w:p>
        </w:tc>
        <w:tc>
          <w:tcPr>
            <w:tcW w:type="dxa" w:w="6120"/>
            <w:shd w:fill="F3F7FA"/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先到的答案偏早 5 分鐘，後續修訂依可用時間選取。</w:t>
            </w:r>
          </w:p>
        </w:tc>
      </w:tr>
      <w:tr>
        <w:trPr>
          <w:cantSplit/>
        </w:trPr>
        <w:tc>
          <w:tcPr>
            <w:tcW w:type="dxa" w:w="3312"/>
            <w:shd w:fill="FFFFFF"/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unfinished</w:t>
              <w:br/>
              <w:t>T03-TRIP-000076</w:t>
            </w:r>
          </w:p>
        </w:tc>
        <w:tc>
          <w:tcPr>
            <w:tcW w:type="dxa" w:w="6120"/>
            <w:shd w:fill="FFFFFF"/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來源追蹤中斷；隱藏物理行程結束不等於已有可用標籤。</w:t>
            </w:r>
          </w:p>
        </w:tc>
      </w:tr>
    </w:tbl>
    <w:p/>
    <w:p>
      <w:pPr/>
      <w:r>
        <w:t>完整時間線、快照數與標籤分布見 reports/representative_cases.json。該檔供查閱及驗證，包含模擬真值，不可加入模型特徵。</w:t>
      </w:r>
    </w:p>
    <w:p>
      <w:pPr>
        <w:pStyle w:val="Heading2"/>
      </w:pPr>
      <w:r>
        <w:t>實際修正</w:t>
      </w:r>
    </w:p>
    <w:p>
      <w:pPr/>
      <w:r>
        <w:t>第一張快照改在收到出發事件時建立，避免短程取消被漏掉；未知或撤回的裝置關聯不再視為有效；歷史旅時改採實際出發時間；衍生資料可用時間不得早於任何來源；後續狀態更正也納入來源追溯。</w:t>
      </w:r>
    </w:p>
    <w:p>
      <w:r>
        <w:br w:type="page"/>
      </w:r>
    </w:p>
    <w:p>
      <w:pPr>
        <w:pStyle w:val="Heading1"/>
      </w:pPr>
      <w:r>
        <w:t>3 重現證據與未完成事項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7560"/>
      </w:tblGrid>
      <w:tr>
        <w:trPr>
          <w:cantSplit/>
          <w:tblHeader/>
        </w:trPr>
        <w:tc>
          <w:tcPr>
            <w:tcW w:type="dxa" w:w="1872"/>
            <w:shd w:fill="E2ECF2"/>
          </w:tcPr>
          <w:p>
            <w:pPr>
              <w:spacing w:before="80" w:after="80"/>
            </w:pPr>
            <w:r>
              <w:rPr>
                <w:b/>
                <w:sz w:val="19"/>
              </w:rPr>
              <w:t>檢查</w:t>
            </w:r>
          </w:p>
        </w:tc>
        <w:tc>
          <w:tcPr>
            <w:tcW w:type="dxa" w:w="7560"/>
            <w:shd w:fill="E2ECF2"/>
          </w:tcPr>
          <w:p>
            <w:pPr>
              <w:spacing w:before="80" w:after="80"/>
            </w:pPr>
            <w:r>
              <w:rPr>
                <w:b/>
                <w:sz w:val="19"/>
              </w:rPr>
              <w:t>證據與範圍</w:t>
            </w:r>
          </w:p>
        </w:tc>
      </w:tr>
      <w:tr>
        <w:trPr>
          <w:cantSplit/>
        </w:trPr>
        <w:tc>
          <w:tcPr>
            <w:tcW w:type="dxa" w:w="1872"/>
            <w:shd w:fill="F3F7FA"/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M0 共用來源</w:t>
            </w:r>
          </w:p>
        </w:tc>
        <w:tc>
          <w:tcPr>
            <w:tcW w:type="dxa" w:w="7560"/>
            <w:shd w:fill="F3F7FA"/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原 ZIP SHA256 已核對，10 組窄相容性檢查通過；165 個 DA-E01 檔案內容前後相同</w:t>
            </w:r>
          </w:p>
        </w:tc>
      </w:tr>
      <w:tr>
        <w:trPr>
          <w:cantSplit/>
        </w:trPr>
        <w:tc>
          <w:tcPr>
            <w:tcW w:type="dxa" w:w="1872"/>
            <w:shd w:fill="FFFFFF"/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獨立程式測試</w:t>
            </w:r>
          </w:p>
        </w:tc>
        <w:tc>
          <w:tcPr>
            <w:tcW w:type="dxa" w:w="7560"/>
            <w:shd w:fill="FFFFFF"/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20 項時間邏輯、4 項建置整合、8 項 HTTP、1 項來源完整性，共 33 項</w:t>
            </w:r>
          </w:p>
        </w:tc>
      </w:tr>
      <w:tr>
        <w:trPr>
          <w:cantSplit/>
        </w:trPr>
        <w:tc>
          <w:tcPr>
            <w:tcW w:type="dxa" w:w="1872"/>
            <w:shd w:fill="F3F7FA"/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資料庫品質</w:t>
            </w:r>
          </w:p>
        </w:tc>
        <w:tc>
          <w:tcPr>
            <w:tcW w:type="dxa" w:w="7560"/>
            <w:shd w:fill="F3F7FA"/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24 項檢查涵蓋來源截止、標籤真值、歷史池、來源關聯與型別</w:t>
            </w:r>
          </w:p>
        </w:tc>
      </w:tr>
      <w:tr>
        <w:trPr>
          <w:cantSplit/>
        </w:trPr>
        <w:tc>
          <w:tcPr>
            <w:tcW w:type="dxa" w:w="1872"/>
            <w:shd w:fill="FFFFFF"/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實際 HTTP</w:t>
            </w:r>
          </w:p>
        </w:tc>
        <w:tc>
          <w:tcPr>
            <w:tcW w:type="dxa" w:w="7560"/>
            <w:shd w:fill="FFFFFF"/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94 頁；一次刻意注入 503 後成功重試；重播 137 筆後正確去重，內容一致</w:t>
            </w:r>
          </w:p>
        </w:tc>
      </w:tr>
      <w:tr>
        <w:trPr>
          <w:cantSplit/>
        </w:trPr>
        <w:tc>
          <w:tcPr>
            <w:tcW w:type="dxa" w:w="1872"/>
            <w:shd w:fill="F3F7FA"/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乾淨目錄重建</w:t>
            </w:r>
          </w:p>
        </w:tc>
        <w:tc>
          <w:tcPr>
            <w:tcW w:type="dxa" w:w="7560"/>
            <w:shd w:fill="F3F7FA"/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37 個資料檔逐一 SHA256 相符；HTTP 接收資料產生的衍生結果亦一致</w:t>
            </w:r>
          </w:p>
        </w:tc>
      </w:tr>
      <w:tr>
        <w:trPr>
          <w:cantSplit/>
        </w:trPr>
        <w:tc>
          <w:tcPr>
            <w:tcW w:type="dxa" w:w="1872"/>
            <w:shd w:fill="FFFFFF"/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擴量穩定性</w:t>
            </w:r>
          </w:p>
        </w:tc>
        <w:tc>
          <w:tcPr>
            <w:tcW w:type="dxa" w:w="7560"/>
            <w:shd w:fill="FFFFFF"/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暫存建立 120／1,800 趟，原 120 趟業務資料完全包含於全量設計，排程及裝置關聯檢查通過</w:t>
            </w:r>
          </w:p>
        </w:tc>
      </w:tr>
    </w:tbl>
    <w:p/>
    <w:p>
      <w:pPr/>
      <w:r>
        <w:t>原生 PostgreSQL 的 DDL 與 psycopg 往返檢查程式已提供。此環境沒有原生服務且無法切換一般使用者啟動，因此未宣稱 PostgreSQL 實測通過；完整服務模式對帳仍是下一工程項目。HTTP 通過只涵蓋定位接收及與營運快照的結果一致性。</w:t>
      </w:r>
    </w:p>
    <w:p>
      <w:pPr/>
      <w:r>
        <w:t>尚未完成：保留完整 1,800 趟端到端資料、其餘 11 張必要表、基準與 ETA 模型、區間／機率校準、最終模型評估、預警通知與行動追蹤、使用者實機重跑及驗收。</w:t>
      </w:r>
    </w:p>
    <w:p>
      <w:pPr/>
      <w:r>
        <w:t>M1 以固定的原始生成時間戳重播資料，另記錄每次指令的實際執行時間。情境日期是合成歷史，不能解讀成模型在 2026 年年初已部署。</w:t>
      </w:r>
    </w:p>
    <w:p>
      <w:r>
        <w:br w:type="page"/>
      </w:r>
    </w:p>
    <w:p>
      <w:pPr>
        <w:pStyle w:val="Heading1"/>
      </w:pPr>
      <w:r>
        <w:t>4 操作入口與下一階段</w:t>
      </w:r>
    </w:p>
    <w:p>
      <w:pPr/>
      <w:r>
        <w:t>建議先閱讀 README.zh-TW.md。Mac 上需 Python 3.11 以上；本輪實測 Linux／Python 3.12.14，未冒稱完成 Mac 實機驗證。資料重跑不需要公司檔案、外部 API key 或付費服務。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4392"/>
      </w:tblGrid>
      <w:tr>
        <w:trPr>
          <w:cantSplit/>
          <w:tblHeader/>
        </w:trPr>
        <w:tc>
          <w:tcPr>
            <w:tcW w:type="dxa" w:w="5040"/>
            <w:shd w:fill="E2ECF2"/>
          </w:tcPr>
          <w:p>
            <w:pPr>
              <w:spacing w:before="80" w:after="80"/>
            </w:pPr>
            <w:r>
              <w:rPr>
                <w:b/>
                <w:sz w:val="19"/>
              </w:rPr>
              <w:t>入口</w:t>
            </w:r>
          </w:p>
        </w:tc>
        <w:tc>
          <w:tcPr>
            <w:tcW w:type="dxa" w:w="4392"/>
            <w:shd w:fill="E2ECF2"/>
          </w:tcPr>
          <w:p>
            <w:pPr>
              <w:spacing w:before="80" w:after="80"/>
            </w:pPr>
            <w:r>
              <w:rPr>
                <w:b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5040"/>
            <w:shd w:fill="F3F7FA"/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python -m ds_m01.cli run --root .</w:t>
            </w:r>
          </w:p>
        </w:tc>
        <w:tc>
          <w:tcPr>
            <w:tcW w:type="dxa" w:w="4392"/>
            <w:shd w:fill="F3F7FA"/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生成 120 趟、快照與標籤、DuckDB／Parquet 及品質檢查</w:t>
            </w:r>
          </w:p>
        </w:tc>
      </w:tr>
      <w:tr>
        <w:trPr>
          <w:cantSplit/>
        </w:trPr>
        <w:tc>
          <w:tcPr>
            <w:tcW w:type="dxa" w:w="5040"/>
            <w:shd w:fill="FFFFFF"/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python -m ds_m01.cli http-check --root .</w:t>
            </w:r>
          </w:p>
        </w:tc>
        <w:tc>
          <w:tcPr>
            <w:tcW w:type="dxa" w:w="4392"/>
            <w:shd w:fill="FFFFFF"/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啟動暫時的本機 HTTP 服務並驗證接收</w:t>
            </w:r>
          </w:p>
        </w:tc>
      </w:tr>
      <w:tr>
        <w:trPr>
          <w:cantSplit/>
        </w:trPr>
        <w:tc>
          <w:tcPr>
            <w:tcW w:type="dxa" w:w="5040"/>
            <w:shd w:fill="F3F7FA"/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python -m unittest discover -s tests -v</w:t>
            </w:r>
          </w:p>
        </w:tc>
        <w:tc>
          <w:tcPr>
            <w:tcW w:type="dxa" w:w="4392"/>
            <w:shd w:fill="F3F7FA"/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執行獨立邊界與整合測試</w:t>
            </w:r>
          </w:p>
        </w:tc>
      </w:tr>
      <w:tr>
        <w:trPr>
          <w:cantSplit/>
        </w:trPr>
        <w:tc>
          <w:tcPr>
            <w:tcW w:type="dxa" w:w="5040"/>
            <w:shd w:fill="FFFFFF"/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python scripts/check_rebuild.py --root .</w:t>
            </w:r>
          </w:p>
        </w:tc>
        <w:tc>
          <w:tcPr>
            <w:tcW w:type="dxa" w:w="4392"/>
            <w:shd w:fill="FFFFFF"/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乾淨目錄重建及 HTTP 接收結果對帳</w:t>
            </w:r>
          </w:p>
        </w:tc>
      </w:tr>
      <w:tr>
        <w:trPr>
          <w:cantSplit/>
        </w:trPr>
        <w:tc>
          <w:tcPr>
            <w:tcW w:type="dxa" w:w="5040"/>
            <w:shd w:fill="F3F7FA"/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reports/quality_report.json</w:t>
            </w:r>
          </w:p>
        </w:tc>
        <w:tc>
          <w:tcPr>
            <w:tcW w:type="dxa" w:w="4392"/>
            <w:shd w:fill="F3F7FA"/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最新資料檢查結果；任何失敗都應先排查</w:t>
            </w:r>
          </w:p>
        </w:tc>
      </w:tr>
      <w:tr>
        <w:trPr>
          <w:cantSplit/>
        </w:trPr>
        <w:tc>
          <w:tcPr>
            <w:tcW w:type="dxa" w:w="5040"/>
            <w:shd w:fill="FFFFFF"/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continuation.json</w:t>
            </w:r>
          </w:p>
        </w:tc>
        <w:tc>
          <w:tcPr>
            <w:tcW w:type="dxa" w:w="4392"/>
            <w:shd w:fill="FFFFFF"/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本輪完成範圍、限制與下一個工作入口</w:t>
            </w:r>
          </w:p>
        </w:tc>
      </w:tr>
    </w:tbl>
    <w:p/>
    <w:p>
      <w:pPr/>
      <w:r>
        <w:t>下一階段先處理 PostgreSQL 實際服務驗證，再將已驗證的生成器擴至 1,800 趟並重跑全量資料品質、切分與標籤成熟檢查；之後才開始模型比較與校準。若服務環境仍不可用，會保留阻礙，並分開記錄可繼續完成的資料工作。</w:t>
      </w:r>
    </w:p>
    <w:p>
      <w:pPr/>
      <w:r>
        <w:t>目前不需要使用者再批准例行程式與資料工作。使用者可以針對本報告的代表情境、結果說明及操作可讀性提出調整；GitHub 的簽署 commit 與 push 由使用者處理。</w:t>
      </w:r>
    </w:p>
    <w:p>
      <w:pPr>
        <w:pStyle w:val="Heading2"/>
      </w:pPr>
      <w:r>
        <w:t>English summary</w:t>
      </w:r>
    </w:p>
    <w:p>
      <w:pPr/>
      <w:r>
        <w:t>M1 delivers a reproducible synthetic ETA data pipeline, not a trained forecasting model. The 120-trip trial produces 937 point-in-time snapshots across 17 canonical tables. Independent arrival evidence, time-aware joins, immutable promises, and restricted historical labels are checked. Local HTTP ingestion and fresh rebuild parity pass; native PostgreSQL execution remains unverified. No business impact or real-fleet accuracy is claimed.</w:t>
      </w:r>
    </w:p>
    <w:sectPr w:rsidR="00FC693F" w:rsidRPr="0006063C" w:rsidSect="00034616">
      <w:footerReference w:type="default" r:id="rId9"/>
      <w:pgSz w:w="11909" w:h="16834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DS-M01 M1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40"/>
    </w:pPr>
    <w:rPr>
      <w:rFonts w:ascii="Noto Sans CJK TC" w:hAnsi="Noto Sans CJK TC" w:eastAsia="Noto Sans CJK TC"/>
      <w:color w:val="20334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59" w:lineRule="auto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59" w:lineRule="auto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20334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59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59" w:lineRule="auto" w:after="140"/>
      <w:contextualSpacing/>
    </w:pPr>
    <w:rPr>
      <w:rFonts w:ascii="Noto Sans CJK TC" w:hAnsi="Noto Sans CJK TC" w:eastAsia="Noto Sans CJK TC"/>
      <w:color w:val="203344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9" w:lineRule="auto" w:after="140"/>
    </w:pPr>
    <w:rPr>
      <w:rFonts w:ascii="Noto Sans CJK TC" w:hAnsi="Noto Sans CJK TC" w:eastAsia="Noto Sans CJK TC"/>
      <w:b/>
      <w:bCs/>
      <w:color w:val="203344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DS-M01 M0 與 M1 試跑成果</dc:title>
  <dc:subject/>
  <dc:creator>Rollingtrans Data &amp; AI Career Lab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