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E10FB69" wp14:paraId="1C5E6050" wp14:textId="74ECBA61">
      <w:pPr>
        <w:pStyle w:val="Title"/>
        <w:jc w:val="center"/>
      </w:pPr>
      <w:r w:rsidR="3BF92B9F">
        <w:rPr/>
        <w:t xml:space="preserve">Age Guidelines </w:t>
      </w:r>
      <w:bookmarkStart w:name="_Int_kP8834NK" w:id="1893454332"/>
      <w:r w:rsidR="3BF92B9F">
        <w:rPr/>
        <w:t>For</w:t>
      </w:r>
      <w:bookmarkEnd w:id="1893454332"/>
      <w:r w:rsidR="3BF92B9F">
        <w:rPr/>
        <w:t xml:space="preserve"> Limiting Resuscitation Thoracotomy Mortality</w:t>
      </w:r>
    </w:p>
    <w:p xmlns:wp14="http://schemas.microsoft.com/office/word/2010/wordml" w:rsidP="3872A27A" wp14:paraId="7E7A09EB" wp14:textId="5E250EE9">
      <w:pPr>
        <w:pStyle w:val="Normal"/>
      </w:pPr>
    </w:p>
    <w:p xmlns:wp14="http://schemas.microsoft.com/office/word/2010/wordml" w:rsidP="0E10FB69" wp14:paraId="04AAB62E" wp14:textId="0B94FAA6">
      <w:pPr>
        <w:pStyle w:val="Subtitle"/>
        <w:jc w:val="center"/>
      </w:pPr>
      <w:r w:rsidR="3BF92B9F">
        <w:rPr/>
        <w:t>Student: Jacob L. Canfield</w:t>
      </w:r>
    </w:p>
    <w:p xmlns:wp14="http://schemas.microsoft.com/office/word/2010/wordml" w:rsidP="0E10FB69" wp14:paraId="652C0E61" wp14:textId="66650204">
      <w:pPr>
        <w:pStyle w:val="Subtitle"/>
        <w:jc w:val="center"/>
      </w:pPr>
      <w:r w:rsidR="3BF92B9F">
        <w:rPr/>
        <w:t xml:space="preserve"> </w:t>
      </w:r>
    </w:p>
    <w:p xmlns:wp14="http://schemas.microsoft.com/office/word/2010/wordml" w:rsidP="0E10FB69" wp14:paraId="2C078E63" wp14:textId="2B512489">
      <w:pPr>
        <w:pStyle w:val="Subtitle"/>
        <w:jc w:val="center"/>
      </w:pPr>
      <w:r w:rsidR="3BF92B9F">
        <w:rPr/>
        <w:t>Advisors: Dr. Victoria Schlanser, Dr. Andrew Dennis, Dr. Julian Henderson</w:t>
      </w:r>
    </w:p>
    <w:p w:rsidR="0E10FB69" w:rsidRDefault="0E10FB69" w14:paraId="48B0B22D" w14:textId="4221FE1C">
      <w:r>
        <w:br w:type="page"/>
      </w:r>
    </w:p>
    <w:p w:rsidR="2F2BBDB8" w:rsidP="0E10FB69" w:rsidRDefault="2F2BBDB8" w14:paraId="37BECFFE" w14:textId="2315B0BA">
      <w:pPr>
        <w:pStyle w:val="Heading1"/>
      </w:pPr>
      <w:r w:rsidR="2F2BBDB8">
        <w:rPr/>
        <w:t>Abstract</w:t>
      </w:r>
    </w:p>
    <w:p w:rsidR="2F2BBDB8" w:rsidP="0E10FB69" w:rsidRDefault="2F2BBDB8" w14:paraId="7DBFB9AA" w14:textId="6542A537">
      <w:pPr>
        <w:pStyle w:val="Subtitle"/>
        <w:jc w:val="left"/>
      </w:pPr>
      <w:r w:rsidR="2F2BBDB8">
        <w:rPr/>
        <w:t xml:space="preserve"> </w:t>
      </w:r>
    </w:p>
    <w:p w:rsidR="2F2BBDB8" w:rsidP="0E10FB69" w:rsidRDefault="2F2BBDB8" w14:paraId="0B78C563" w14:textId="62530F97">
      <w:pPr>
        <w:pStyle w:val="Normal"/>
        <w:spacing w:line="240" w:lineRule="auto"/>
        <w:rPr>
          <w:sz w:val="20"/>
          <w:szCs w:val="20"/>
        </w:rPr>
      </w:pPr>
      <w:bookmarkStart w:name="_Int_yOs9yGA9" w:id="1343317595"/>
      <w:r w:rsidRPr="0E10FB69" w:rsidR="2F2BBDB8">
        <w:rPr>
          <w:sz w:val="20"/>
          <w:szCs w:val="20"/>
        </w:rPr>
        <w:t xml:space="preserve">Resuscitative Thoracotomy (RT) is a potentially </w:t>
      </w:r>
      <w:r w:rsidRPr="0E10FB69" w:rsidR="2F2BBDB8">
        <w:rPr>
          <w:sz w:val="20"/>
          <w:szCs w:val="20"/>
        </w:rPr>
        <w:t>lifesaving</w:t>
      </w:r>
      <w:r w:rsidRPr="0E10FB69" w:rsidR="2F2BBDB8">
        <w:rPr>
          <w:sz w:val="20"/>
          <w:szCs w:val="20"/>
        </w:rPr>
        <w:t xml:space="preserve"> intervention that is important in the setting of trauma to the thorax.</w:t>
      </w:r>
      <w:bookmarkEnd w:id="1343317595"/>
      <w:r w:rsidRPr="0E10FB69" w:rsidR="2F2BBDB8">
        <w:rPr>
          <w:sz w:val="20"/>
          <w:szCs w:val="20"/>
        </w:rPr>
        <w:t xml:space="preserve"> Due to the high mortality rate of this procedure, guidelines are continuously </w:t>
      </w:r>
      <w:r w:rsidRPr="0E10FB69" w:rsidR="4593E22C">
        <w:rPr>
          <w:sz w:val="20"/>
          <w:szCs w:val="20"/>
        </w:rPr>
        <w:t>evolving</w:t>
      </w:r>
      <w:r w:rsidRPr="0E10FB69" w:rsidR="2F2BBDB8">
        <w:rPr>
          <w:sz w:val="20"/>
          <w:szCs w:val="20"/>
        </w:rPr>
        <w:t xml:space="preserve"> to provide a framework for </w:t>
      </w:r>
      <w:r w:rsidRPr="0E10FB69" w:rsidR="7DD230F9">
        <w:rPr>
          <w:sz w:val="20"/>
          <w:szCs w:val="20"/>
        </w:rPr>
        <w:t>practitioners</w:t>
      </w:r>
      <w:r w:rsidRPr="0E10FB69" w:rsidR="2F2BBDB8">
        <w:rPr>
          <w:sz w:val="20"/>
          <w:szCs w:val="20"/>
        </w:rPr>
        <w:t xml:space="preserve"> to </w:t>
      </w:r>
      <w:r w:rsidRPr="0E10FB69" w:rsidR="2F2BBDB8">
        <w:rPr>
          <w:sz w:val="20"/>
          <w:szCs w:val="20"/>
        </w:rPr>
        <w:t>determine</w:t>
      </w:r>
      <w:r w:rsidRPr="0E10FB69" w:rsidR="2F2BBDB8">
        <w:rPr>
          <w:sz w:val="20"/>
          <w:szCs w:val="20"/>
        </w:rPr>
        <w:t xml:space="preserve"> whether RT is </w:t>
      </w:r>
      <w:r w:rsidRPr="0E10FB69" w:rsidR="2F2BBDB8">
        <w:rPr>
          <w:sz w:val="20"/>
          <w:szCs w:val="20"/>
        </w:rPr>
        <w:t>warranted</w:t>
      </w:r>
      <w:r w:rsidRPr="0E10FB69" w:rsidR="2F2BBDB8">
        <w:rPr>
          <w:sz w:val="20"/>
          <w:szCs w:val="20"/>
        </w:rPr>
        <w:t xml:space="preserve"> for a given case. Many of the guidelines currently in place involve factors such as mechanism of </w:t>
      </w:r>
      <w:r w:rsidRPr="0E10FB69" w:rsidR="094C895B">
        <w:rPr>
          <w:sz w:val="20"/>
          <w:szCs w:val="20"/>
        </w:rPr>
        <w:t>injury</w:t>
      </w:r>
      <w:r w:rsidRPr="0E10FB69" w:rsidR="2F2BBDB8">
        <w:rPr>
          <w:sz w:val="20"/>
          <w:szCs w:val="20"/>
        </w:rPr>
        <w:t xml:space="preserve"> (MOI) </w:t>
      </w:r>
      <w:r w:rsidRPr="0E10FB69" w:rsidR="64CF7BFD">
        <w:rPr>
          <w:sz w:val="20"/>
          <w:szCs w:val="20"/>
        </w:rPr>
        <w:t>i.e.,</w:t>
      </w:r>
      <w:r w:rsidRPr="0E10FB69" w:rsidR="2F2BBDB8">
        <w:rPr>
          <w:sz w:val="20"/>
          <w:szCs w:val="20"/>
        </w:rPr>
        <w:t xml:space="preserve"> blunt or penetrating, minutes of CPR performed </w:t>
      </w:r>
      <w:r w:rsidRPr="0E10FB69" w:rsidR="79AF20DF">
        <w:rPr>
          <w:sz w:val="20"/>
          <w:szCs w:val="20"/>
        </w:rPr>
        <w:t xml:space="preserve">before arrival at the emergency department (ED) and signs of life (SOL). The two major institutions creating these guidelines are the Eastern Association for the Surgery of Trauma </w:t>
      </w:r>
      <w:r w:rsidRPr="0E10FB69" w:rsidR="06146443">
        <w:rPr>
          <w:sz w:val="20"/>
          <w:szCs w:val="20"/>
        </w:rPr>
        <w:t xml:space="preserve">(EAST) </w:t>
      </w:r>
      <w:r w:rsidRPr="0E10FB69" w:rsidR="79AF20DF">
        <w:rPr>
          <w:sz w:val="20"/>
          <w:szCs w:val="20"/>
        </w:rPr>
        <w:t>and the Western Trauma Association</w:t>
      </w:r>
      <w:r w:rsidRPr="0E10FB69" w:rsidR="2D2754F8">
        <w:rPr>
          <w:sz w:val="20"/>
          <w:szCs w:val="20"/>
        </w:rPr>
        <w:t xml:space="preserve"> (WTA)</w:t>
      </w:r>
      <w:r w:rsidRPr="0E10FB69" w:rsidR="79AF20DF">
        <w:rPr>
          <w:sz w:val="20"/>
          <w:szCs w:val="20"/>
        </w:rPr>
        <w:t>. Currently, neither of these institutions provide</w:t>
      </w:r>
      <w:r w:rsidRPr="0E10FB69" w:rsidR="76FCD1EB">
        <w:rPr>
          <w:sz w:val="20"/>
          <w:szCs w:val="20"/>
        </w:rPr>
        <w:t>s</w:t>
      </w:r>
      <w:r w:rsidRPr="0E10FB69" w:rsidR="79AF20DF">
        <w:rPr>
          <w:sz w:val="20"/>
          <w:szCs w:val="20"/>
        </w:rPr>
        <w:t xml:space="preserve"> </w:t>
      </w:r>
      <w:r w:rsidRPr="0E10FB69" w:rsidR="6BCFA9DB">
        <w:rPr>
          <w:sz w:val="20"/>
          <w:szCs w:val="20"/>
        </w:rPr>
        <w:t>guidelines</w:t>
      </w:r>
      <w:r w:rsidRPr="0E10FB69" w:rsidR="2F2BBDB8">
        <w:rPr>
          <w:sz w:val="20"/>
          <w:szCs w:val="20"/>
        </w:rPr>
        <w:t xml:space="preserve"> </w:t>
      </w:r>
      <w:r w:rsidRPr="0E10FB69" w:rsidR="2F2BBDB8">
        <w:rPr>
          <w:sz w:val="20"/>
          <w:szCs w:val="20"/>
        </w:rPr>
        <w:t>regarding</w:t>
      </w:r>
      <w:r w:rsidRPr="0E10FB69" w:rsidR="2F2BBDB8">
        <w:rPr>
          <w:sz w:val="20"/>
          <w:szCs w:val="20"/>
        </w:rPr>
        <w:t xml:space="preserve"> the efficacy of RT based on age. </w:t>
      </w:r>
      <w:r w:rsidRPr="0E10FB69" w:rsidR="6C23D3D5">
        <w:rPr>
          <w:sz w:val="20"/>
          <w:szCs w:val="20"/>
        </w:rPr>
        <w:t>RT is no longer a procedure performed liberally due to studies showing high mortality rates for trauma patients.</w:t>
      </w:r>
      <w:r w:rsidRPr="0E10FB69" w:rsidR="2F2BBDB8">
        <w:rPr>
          <w:sz w:val="20"/>
          <w:szCs w:val="20"/>
        </w:rPr>
        <w:t xml:space="preserve"> </w:t>
      </w:r>
      <w:r w:rsidRPr="0E10FB69" w:rsidR="7163631D">
        <w:rPr>
          <w:sz w:val="20"/>
          <w:szCs w:val="20"/>
        </w:rPr>
        <w:t>There</w:t>
      </w:r>
      <w:r w:rsidRPr="0E10FB69" w:rsidR="2F2BBDB8">
        <w:rPr>
          <w:sz w:val="20"/>
          <w:szCs w:val="20"/>
        </w:rPr>
        <w:t xml:space="preserve"> is an increased need to </w:t>
      </w:r>
      <w:r w:rsidRPr="0E10FB69" w:rsidR="2F2BBDB8">
        <w:rPr>
          <w:sz w:val="20"/>
          <w:szCs w:val="20"/>
        </w:rPr>
        <w:t>establish</w:t>
      </w:r>
      <w:r w:rsidRPr="0E10FB69" w:rsidR="2F2BBDB8">
        <w:rPr>
          <w:sz w:val="20"/>
          <w:szCs w:val="20"/>
        </w:rPr>
        <w:t xml:space="preserve"> guidelines and algorithms to stratify patients into categories that minimize </w:t>
      </w:r>
      <w:r w:rsidRPr="0E10FB69" w:rsidR="2F2BBDB8">
        <w:rPr>
          <w:sz w:val="20"/>
          <w:szCs w:val="20"/>
        </w:rPr>
        <w:t>unn</w:t>
      </w:r>
      <w:r w:rsidRPr="0E10FB69" w:rsidR="31462251">
        <w:rPr>
          <w:sz w:val="20"/>
          <w:szCs w:val="20"/>
        </w:rPr>
        <w:t>ecessary harm and maximize the benefit of this procedure.</w:t>
      </w:r>
      <w:r w:rsidRPr="0E10FB69" w:rsidR="00886697">
        <w:rPr>
          <w:sz w:val="20"/>
          <w:szCs w:val="20"/>
        </w:rPr>
        <w:t xml:space="preserve"> </w:t>
      </w:r>
      <w:r w:rsidRPr="0E10FB69" w:rsidR="594AEA69">
        <w:rPr>
          <w:sz w:val="20"/>
          <w:szCs w:val="20"/>
        </w:rPr>
        <w:t>Therefore,</w:t>
      </w:r>
      <w:r w:rsidRPr="0E10FB69" w:rsidR="2F2BBDB8">
        <w:rPr>
          <w:sz w:val="20"/>
          <w:szCs w:val="20"/>
        </w:rPr>
        <w:t xml:space="preserve"> we aim to </w:t>
      </w:r>
      <w:r w:rsidRPr="0E10FB69" w:rsidR="2F2BBDB8">
        <w:rPr>
          <w:sz w:val="20"/>
          <w:szCs w:val="20"/>
        </w:rPr>
        <w:t>establish</w:t>
      </w:r>
      <w:r w:rsidRPr="0E10FB69" w:rsidR="2F2BBDB8">
        <w:rPr>
          <w:sz w:val="20"/>
          <w:szCs w:val="20"/>
        </w:rPr>
        <w:t xml:space="preserve"> an </w:t>
      </w:r>
      <w:r w:rsidRPr="0E10FB69" w:rsidR="2F2BBDB8">
        <w:rPr>
          <w:sz w:val="20"/>
          <w:szCs w:val="20"/>
        </w:rPr>
        <w:t>age</w:t>
      </w:r>
      <w:r w:rsidRPr="0E10FB69" w:rsidR="27D8DC0B">
        <w:rPr>
          <w:sz w:val="20"/>
          <w:szCs w:val="20"/>
        </w:rPr>
        <w:t>-</w:t>
      </w:r>
      <w:r w:rsidRPr="0E10FB69" w:rsidR="2F2BBDB8">
        <w:rPr>
          <w:sz w:val="20"/>
          <w:szCs w:val="20"/>
        </w:rPr>
        <w:t>based</w:t>
      </w:r>
      <w:r w:rsidRPr="0E10FB69" w:rsidR="2F2BBDB8">
        <w:rPr>
          <w:sz w:val="20"/>
          <w:szCs w:val="20"/>
        </w:rPr>
        <w:t xml:space="preserve"> mortality threshold above which RT is contraindicated based on mortality statistics using the National</w:t>
      </w:r>
      <w:r w:rsidRPr="0E10FB69" w:rsidR="3C4B6F6B">
        <w:rPr>
          <w:sz w:val="20"/>
          <w:szCs w:val="20"/>
        </w:rPr>
        <w:t xml:space="preserve"> Trauma Data Bank (NTDB).</w:t>
      </w:r>
    </w:p>
    <w:p w:rsidR="3C4B6F6B" w:rsidP="0E10FB69" w:rsidRDefault="3C4B6F6B" w14:paraId="0E73234A" w14:textId="18D7AF5F">
      <w:pPr>
        <w:pStyle w:val="Heading1"/>
      </w:pPr>
      <w:r w:rsidR="3C4B6F6B">
        <w:rPr/>
        <w:t>Specific aims</w:t>
      </w:r>
    </w:p>
    <w:p w:rsidR="3C4B6F6B" w:rsidP="0E10FB69" w:rsidRDefault="3C4B6F6B" w14:paraId="224AE460" w14:textId="243693B8">
      <w:pPr>
        <w:pStyle w:val="Normal"/>
      </w:pPr>
      <w:r w:rsidR="3C4B6F6B">
        <w:rPr/>
        <w:t xml:space="preserve"> </w:t>
      </w:r>
    </w:p>
    <w:p w:rsidR="3C4B6F6B" w:rsidP="0E10FB69" w:rsidRDefault="3C4B6F6B" w14:paraId="18EF2D62" w14:textId="2ED2F628">
      <w:pPr>
        <w:pStyle w:val="Normal"/>
        <w:suppressLineNumbers w:val="0"/>
        <w:bidi w:val="0"/>
        <w:spacing w:before="0" w:beforeAutospacing="off" w:after="160" w:afterAutospacing="off" w:line="240" w:lineRule="auto"/>
        <w:ind w:left="0" w:right="0"/>
        <w:jc w:val="left"/>
        <w:rPr>
          <w:sz w:val="20"/>
          <w:szCs w:val="20"/>
        </w:rPr>
      </w:pPr>
      <w:r w:rsidRPr="0E10FB69" w:rsidR="3C4B6F6B">
        <w:rPr>
          <w:sz w:val="20"/>
          <w:szCs w:val="20"/>
        </w:rPr>
        <w:t>1) Obtain access to NTDB</w:t>
      </w:r>
      <w:r w:rsidRPr="0E10FB69" w:rsidR="61E4C03A">
        <w:rPr>
          <w:sz w:val="20"/>
          <w:szCs w:val="20"/>
        </w:rPr>
        <w:t xml:space="preserve"> and </w:t>
      </w:r>
      <w:r w:rsidRPr="0E10FB69" w:rsidR="3C4B6F6B">
        <w:rPr>
          <w:sz w:val="20"/>
          <w:szCs w:val="20"/>
        </w:rPr>
        <w:t xml:space="preserve">isolate case data </w:t>
      </w:r>
      <w:r w:rsidRPr="0E10FB69" w:rsidR="38453666">
        <w:rPr>
          <w:sz w:val="20"/>
          <w:szCs w:val="20"/>
        </w:rPr>
        <w:t xml:space="preserve">for patients who underwent RT. </w:t>
      </w:r>
      <w:r w:rsidRPr="0E10FB69" w:rsidR="3C4B6F6B">
        <w:rPr>
          <w:sz w:val="20"/>
          <w:szCs w:val="20"/>
        </w:rPr>
        <w:t xml:space="preserve"> </w:t>
      </w:r>
      <w:r w:rsidRPr="0E10FB69" w:rsidR="767F002F">
        <w:rPr>
          <w:sz w:val="20"/>
          <w:szCs w:val="20"/>
        </w:rPr>
        <w:t xml:space="preserve">Process data and </w:t>
      </w:r>
      <w:r w:rsidRPr="0E10FB69" w:rsidR="391B9AB8">
        <w:rPr>
          <w:sz w:val="20"/>
          <w:szCs w:val="20"/>
        </w:rPr>
        <w:t>exploration of data for information about the demographics and circumstances of relevant case</w:t>
      </w:r>
      <w:r w:rsidRPr="0E10FB69" w:rsidR="1AA7412A">
        <w:rPr>
          <w:sz w:val="20"/>
          <w:szCs w:val="20"/>
        </w:rPr>
        <w:t>s (</w:t>
      </w:r>
      <w:r w:rsidRPr="0E10FB69" w:rsidR="2FFECEB7">
        <w:rPr>
          <w:sz w:val="20"/>
          <w:szCs w:val="20"/>
        </w:rPr>
        <w:t>i.e.,</w:t>
      </w:r>
      <w:r w:rsidRPr="0E10FB69" w:rsidR="1AA7412A">
        <w:rPr>
          <w:sz w:val="20"/>
          <w:szCs w:val="20"/>
        </w:rPr>
        <w:t xml:space="preserve"> hemodynamic stability on arrival, </w:t>
      </w:r>
      <w:r w:rsidRPr="0E10FB69" w:rsidR="4785CEAA">
        <w:rPr>
          <w:sz w:val="20"/>
          <w:szCs w:val="20"/>
        </w:rPr>
        <w:t xml:space="preserve">vital signs, </w:t>
      </w:r>
      <w:r w:rsidRPr="0E10FB69" w:rsidR="1AA7412A">
        <w:rPr>
          <w:sz w:val="20"/>
          <w:szCs w:val="20"/>
        </w:rPr>
        <w:t>MOI, duration of CPR prior to arrival</w:t>
      </w:r>
      <w:r w:rsidRPr="0E10FB69" w:rsidR="5369C219">
        <w:rPr>
          <w:sz w:val="20"/>
          <w:szCs w:val="20"/>
        </w:rPr>
        <w:t xml:space="preserve"> of ED,</w:t>
      </w:r>
      <w:r w:rsidRPr="0E10FB69" w:rsidR="1AA7412A">
        <w:rPr>
          <w:sz w:val="20"/>
          <w:szCs w:val="20"/>
        </w:rPr>
        <w:t xml:space="preserve"> and SOL present).</w:t>
      </w:r>
    </w:p>
    <w:p w:rsidR="3C4B6F6B" w:rsidP="0E10FB69" w:rsidRDefault="3C4B6F6B" w14:paraId="3D5343D8" w14:textId="20EAEB30">
      <w:pPr>
        <w:pStyle w:val="Normal"/>
        <w:spacing w:line="240" w:lineRule="auto"/>
        <w:rPr>
          <w:sz w:val="20"/>
          <w:szCs w:val="20"/>
        </w:rPr>
      </w:pPr>
      <w:r w:rsidRPr="0E10FB69" w:rsidR="3C4B6F6B">
        <w:rPr>
          <w:sz w:val="20"/>
          <w:szCs w:val="20"/>
        </w:rPr>
        <w:t xml:space="preserve">2) Explore data for age relationships with mortality. Additionally, </w:t>
      </w:r>
      <w:r w:rsidRPr="0E10FB69" w:rsidR="3C4B6F6B">
        <w:rPr>
          <w:sz w:val="20"/>
          <w:szCs w:val="20"/>
        </w:rPr>
        <w:t>determine</w:t>
      </w:r>
      <w:r w:rsidRPr="0E10FB69" w:rsidR="3C4B6F6B">
        <w:rPr>
          <w:sz w:val="20"/>
          <w:szCs w:val="20"/>
        </w:rPr>
        <w:t xml:space="preserve"> if there are secondary contributing factors that further stratify mortality within given age ranges.</w:t>
      </w:r>
      <w:r w:rsidRPr="0E10FB69" w:rsidR="70DCE7C1">
        <w:rPr>
          <w:sz w:val="20"/>
          <w:szCs w:val="20"/>
        </w:rPr>
        <w:t xml:space="preserve"> Secondary factors can be corroborated with current algorithms and criteria proposed by EAST and WTA.</w:t>
      </w:r>
    </w:p>
    <w:p w:rsidR="3C4B6F6B" w:rsidP="0E10FB69" w:rsidRDefault="3C4B6F6B" w14:paraId="69B63ADD" w14:textId="3F5EE33A">
      <w:pPr>
        <w:pStyle w:val="Normal"/>
        <w:spacing w:line="240" w:lineRule="auto"/>
        <w:rPr>
          <w:sz w:val="20"/>
          <w:szCs w:val="20"/>
        </w:rPr>
      </w:pPr>
      <w:r w:rsidRPr="0E10FB69" w:rsidR="3C4B6F6B">
        <w:rPr>
          <w:sz w:val="20"/>
          <w:szCs w:val="20"/>
        </w:rPr>
        <w:t>3) Establish statistically driven threshold for mortality guideline beyond which RT is contraindicated. Further stratify with secondary factors if relevant relationships</w:t>
      </w:r>
      <w:r w:rsidRPr="0E10FB69" w:rsidR="3922CB16">
        <w:rPr>
          <w:sz w:val="20"/>
          <w:szCs w:val="20"/>
        </w:rPr>
        <w:t xml:space="preserve"> are</w:t>
      </w:r>
      <w:r w:rsidRPr="0E10FB69" w:rsidR="3C4B6F6B">
        <w:rPr>
          <w:sz w:val="20"/>
          <w:szCs w:val="20"/>
        </w:rPr>
        <w:t xml:space="preserve"> </w:t>
      </w:r>
      <w:r w:rsidRPr="0E10FB69" w:rsidR="3C4B6F6B">
        <w:rPr>
          <w:sz w:val="20"/>
          <w:szCs w:val="20"/>
        </w:rPr>
        <w:t>established</w:t>
      </w:r>
      <w:r w:rsidRPr="0E10FB69" w:rsidR="3C4B6F6B">
        <w:rPr>
          <w:sz w:val="20"/>
          <w:szCs w:val="20"/>
        </w:rPr>
        <w:t>.</w:t>
      </w:r>
      <w:r w:rsidRPr="0E10FB69" w:rsidR="5A9C02C3">
        <w:rPr>
          <w:sz w:val="20"/>
          <w:szCs w:val="20"/>
        </w:rPr>
        <w:t xml:space="preserve"> </w:t>
      </w:r>
    </w:p>
    <w:p w:rsidR="18753DAF" w:rsidP="0E10FB69" w:rsidRDefault="18753DAF" w14:paraId="137919C9" w14:textId="2A046506">
      <w:pPr>
        <w:pStyle w:val="Normal"/>
        <w:spacing w:line="240" w:lineRule="auto"/>
        <w:rPr>
          <w:sz w:val="20"/>
          <w:szCs w:val="20"/>
        </w:rPr>
      </w:pPr>
      <w:r w:rsidRPr="0E10FB69" w:rsidR="18753DAF">
        <w:rPr>
          <w:sz w:val="20"/>
          <w:szCs w:val="20"/>
        </w:rPr>
        <w:t xml:space="preserve">4) Evaluate efficacy of threshold by </w:t>
      </w:r>
      <w:r w:rsidRPr="0E10FB69" w:rsidR="06B8A771">
        <w:rPr>
          <w:sz w:val="20"/>
          <w:szCs w:val="20"/>
        </w:rPr>
        <w:t xml:space="preserve">calculating an area under receiver operator curve (AUROC) score. Further evaluation can be achieved by </w:t>
      </w:r>
      <w:r w:rsidRPr="0E10FB69" w:rsidR="0323D113">
        <w:rPr>
          <w:sz w:val="20"/>
          <w:szCs w:val="20"/>
        </w:rPr>
        <w:t xml:space="preserve">calculating the mortality of patients above the age threshold </w:t>
      </w:r>
      <w:r w:rsidRPr="0E10FB69" w:rsidR="6F9DDF12">
        <w:rPr>
          <w:sz w:val="20"/>
          <w:szCs w:val="20"/>
        </w:rPr>
        <w:t>and perform a test of significance to compare with the mortality across all age ranges.</w:t>
      </w:r>
    </w:p>
    <w:p w:rsidR="1E5417A1" w:rsidP="0E10FB69" w:rsidRDefault="1E5417A1" w14:paraId="13373C45" w14:textId="1AE7067A">
      <w:pPr>
        <w:pStyle w:val="Heading1"/>
      </w:pPr>
      <w:r w:rsidR="1E5417A1">
        <w:rPr/>
        <w:t>Significance</w:t>
      </w:r>
      <w:r w:rsidR="7C819F39">
        <w:rPr/>
        <w:t xml:space="preserve"> &amp;</w:t>
      </w:r>
      <w:r w:rsidR="1E5417A1">
        <w:rPr/>
        <w:t xml:space="preserve"> Background</w:t>
      </w:r>
    </w:p>
    <w:p w:rsidR="1E5417A1" w:rsidP="0E10FB69" w:rsidRDefault="1E5417A1" w14:paraId="4399C091" w14:textId="454312C1">
      <w:pPr>
        <w:pStyle w:val="Normal"/>
      </w:pPr>
      <w:r w:rsidR="1E5417A1">
        <w:rPr/>
        <w:t xml:space="preserve"> </w:t>
      </w:r>
    </w:p>
    <w:p w:rsidR="1E5417A1" w:rsidP="0E10FB69" w:rsidRDefault="1E5417A1" w14:paraId="076C8460" w14:textId="0C692447">
      <w:pPr>
        <w:pStyle w:val="Normal"/>
        <w:spacing w:line="240" w:lineRule="auto"/>
        <w:rPr>
          <w:sz w:val="20"/>
          <w:szCs w:val="20"/>
        </w:rPr>
      </w:pPr>
      <w:r w:rsidRPr="0E10FB69" w:rsidR="1E5417A1">
        <w:rPr>
          <w:sz w:val="20"/>
          <w:szCs w:val="20"/>
        </w:rPr>
        <w:t xml:space="preserve">RT is a damage control surgery performed </w:t>
      </w:r>
      <w:r w:rsidRPr="0E10FB69" w:rsidR="1DC727FB">
        <w:rPr>
          <w:sz w:val="20"/>
          <w:szCs w:val="20"/>
        </w:rPr>
        <w:t xml:space="preserve">to </w:t>
      </w:r>
      <w:r w:rsidRPr="0E10FB69" w:rsidR="1DC727FB">
        <w:rPr>
          <w:sz w:val="20"/>
          <w:szCs w:val="20"/>
        </w:rPr>
        <w:t>locate</w:t>
      </w:r>
      <w:r w:rsidRPr="0E10FB69" w:rsidR="1DC727FB">
        <w:rPr>
          <w:sz w:val="20"/>
          <w:szCs w:val="20"/>
        </w:rPr>
        <w:t xml:space="preserve"> and control</w:t>
      </w:r>
      <w:r w:rsidRPr="0E10FB69" w:rsidR="1E5417A1">
        <w:rPr>
          <w:sz w:val="20"/>
          <w:szCs w:val="20"/>
        </w:rPr>
        <w:t xml:space="preserve"> exsanguinating bleeding in the thorax. Additionally, access to the heart to correct cardiac tamponade</w:t>
      </w:r>
      <w:r w:rsidRPr="0E10FB69" w:rsidR="593FDE87">
        <w:rPr>
          <w:sz w:val="20"/>
          <w:szCs w:val="20"/>
        </w:rPr>
        <w:t xml:space="preserve"> </w:t>
      </w:r>
      <w:r w:rsidRPr="0E10FB69" w:rsidR="23B7C557">
        <w:rPr>
          <w:sz w:val="20"/>
          <w:szCs w:val="20"/>
        </w:rPr>
        <w:t xml:space="preserve">and </w:t>
      </w:r>
      <w:r w:rsidRPr="0E10FB69" w:rsidR="593FDE87">
        <w:rPr>
          <w:sz w:val="20"/>
          <w:szCs w:val="20"/>
        </w:rPr>
        <w:t xml:space="preserve">to </w:t>
      </w:r>
      <w:r w:rsidRPr="0E10FB69" w:rsidR="1E5417A1">
        <w:rPr>
          <w:sz w:val="20"/>
          <w:szCs w:val="20"/>
        </w:rPr>
        <w:t>explor</w:t>
      </w:r>
      <w:r w:rsidRPr="0E10FB69" w:rsidR="14FA2879">
        <w:rPr>
          <w:sz w:val="20"/>
          <w:szCs w:val="20"/>
        </w:rPr>
        <w:t xml:space="preserve">e the diaphragm </w:t>
      </w:r>
      <w:r w:rsidRPr="0E10FB69" w:rsidR="30E4BFAE">
        <w:rPr>
          <w:sz w:val="20"/>
          <w:szCs w:val="20"/>
        </w:rPr>
        <w:t xml:space="preserve">with the goal </w:t>
      </w:r>
      <w:r w:rsidRPr="0E10FB69" w:rsidR="610E6459">
        <w:rPr>
          <w:sz w:val="20"/>
          <w:szCs w:val="20"/>
        </w:rPr>
        <w:t xml:space="preserve">of </w:t>
      </w:r>
      <w:r w:rsidRPr="0E10FB69" w:rsidR="610E6459">
        <w:rPr>
          <w:sz w:val="20"/>
          <w:szCs w:val="20"/>
        </w:rPr>
        <w:t>identifying</w:t>
      </w:r>
      <w:r w:rsidRPr="0E10FB69" w:rsidR="1E5417A1">
        <w:rPr>
          <w:sz w:val="20"/>
          <w:szCs w:val="20"/>
        </w:rPr>
        <w:t xml:space="preserve"> diaphragmatic injury (DI) can be </w:t>
      </w:r>
      <w:r w:rsidRPr="0E10FB69" w:rsidR="1E5417A1">
        <w:rPr>
          <w:sz w:val="20"/>
          <w:szCs w:val="20"/>
        </w:rPr>
        <w:t>accomplished</w:t>
      </w:r>
      <w:r w:rsidRPr="0E10FB69" w:rsidR="1E5417A1">
        <w:rPr>
          <w:sz w:val="20"/>
          <w:szCs w:val="20"/>
        </w:rPr>
        <w:t xml:space="preserve"> (Mitchell et. al). </w:t>
      </w:r>
      <w:r w:rsidRPr="0E10FB69" w:rsidR="1E5417A1">
        <w:rPr>
          <w:sz w:val="20"/>
          <w:szCs w:val="20"/>
        </w:rPr>
        <w:t xml:space="preserve">The patient has antiseptic skin preparation applied and is draped. A left mammary anterolateral thoracotomy is made from the sternal margin to the axillary fossa. </w:t>
      </w:r>
      <w:r w:rsidRPr="0E10FB69" w:rsidR="4499A522">
        <w:rPr>
          <w:sz w:val="20"/>
          <w:szCs w:val="20"/>
        </w:rPr>
        <w:t xml:space="preserve">From this point, the incision can be extended to a bilateral thoracotomy, also called a clam-shell thoracotomy, which can be performed when access to </w:t>
      </w:r>
      <w:r w:rsidRPr="0E10FB69" w:rsidR="52774781">
        <w:rPr>
          <w:sz w:val="20"/>
          <w:szCs w:val="20"/>
        </w:rPr>
        <w:t>the right</w:t>
      </w:r>
      <w:r w:rsidRPr="0E10FB69" w:rsidR="4499A522">
        <w:rPr>
          <w:sz w:val="20"/>
          <w:szCs w:val="20"/>
        </w:rPr>
        <w:t xml:space="preserve"> side of </w:t>
      </w:r>
      <w:r w:rsidRPr="0E10FB69" w:rsidR="2A1E5BBB">
        <w:rPr>
          <w:sz w:val="20"/>
          <w:szCs w:val="20"/>
        </w:rPr>
        <w:t xml:space="preserve">the </w:t>
      </w:r>
      <w:r w:rsidRPr="0E10FB69" w:rsidR="4499A522">
        <w:rPr>
          <w:sz w:val="20"/>
          <w:szCs w:val="20"/>
        </w:rPr>
        <w:t>thorax</w:t>
      </w:r>
      <w:r w:rsidRPr="0E10FB69" w:rsidR="4499A522">
        <w:rPr>
          <w:sz w:val="20"/>
          <w:szCs w:val="20"/>
        </w:rPr>
        <w:t xml:space="preserve"> or mediastinal structures must be addressed.</w:t>
      </w:r>
      <w:r w:rsidRPr="0E10FB69" w:rsidR="1E5417A1">
        <w:rPr>
          <w:sz w:val="20"/>
          <w:szCs w:val="20"/>
        </w:rPr>
        <w:t xml:space="preserve"> RT is performed with the </w:t>
      </w:r>
      <w:r w:rsidRPr="0E10FB69" w:rsidR="1E5417A1">
        <w:rPr>
          <w:sz w:val="20"/>
          <w:szCs w:val="20"/>
        </w:rPr>
        <w:t>objective</w:t>
      </w:r>
      <w:r w:rsidRPr="0E10FB69" w:rsidR="1E5417A1">
        <w:rPr>
          <w:sz w:val="20"/>
          <w:szCs w:val="20"/>
        </w:rPr>
        <w:t xml:space="preserve"> of controlling </w:t>
      </w:r>
      <w:r w:rsidRPr="0E10FB69" w:rsidR="7FCFD030">
        <w:rPr>
          <w:sz w:val="20"/>
          <w:szCs w:val="20"/>
        </w:rPr>
        <w:t>exsanguinating</w:t>
      </w:r>
      <w:r w:rsidRPr="0E10FB69" w:rsidR="1E5417A1">
        <w:rPr>
          <w:sz w:val="20"/>
          <w:szCs w:val="20"/>
        </w:rPr>
        <w:t xml:space="preserve"> bleeding from the heart, lungs</w:t>
      </w:r>
      <w:r w:rsidRPr="0E10FB69" w:rsidR="5BE09CA4">
        <w:rPr>
          <w:sz w:val="20"/>
          <w:szCs w:val="20"/>
        </w:rPr>
        <w:t>,</w:t>
      </w:r>
      <w:r w:rsidRPr="0E10FB69" w:rsidR="1E5417A1">
        <w:rPr>
          <w:sz w:val="20"/>
          <w:szCs w:val="20"/>
        </w:rPr>
        <w:t xml:space="preserve"> or major vessels, decompression of pericardial tamponade, prevent</w:t>
      </w:r>
      <w:r w:rsidRPr="0E10FB69" w:rsidR="07BACD40">
        <w:rPr>
          <w:sz w:val="20"/>
          <w:szCs w:val="20"/>
        </w:rPr>
        <w:t>ing</w:t>
      </w:r>
      <w:r w:rsidRPr="0E10FB69" w:rsidR="1E5417A1">
        <w:rPr>
          <w:sz w:val="20"/>
          <w:szCs w:val="20"/>
        </w:rPr>
        <w:t xml:space="preserve"> blood loss </w:t>
      </w:r>
      <w:r w:rsidRPr="0E10FB69" w:rsidR="1E5417A1">
        <w:rPr>
          <w:sz w:val="20"/>
          <w:szCs w:val="20"/>
        </w:rPr>
        <w:t>infradiaphragmatically</w:t>
      </w:r>
      <w:r w:rsidRPr="0E10FB69" w:rsidR="1E5417A1">
        <w:rPr>
          <w:sz w:val="20"/>
          <w:szCs w:val="20"/>
        </w:rPr>
        <w:t xml:space="preserve">, </w:t>
      </w:r>
      <w:bookmarkStart w:name="_Int_ticBhLXD" w:id="647355939"/>
      <w:r w:rsidRPr="0E10FB69" w:rsidR="6EA5A52E">
        <w:rPr>
          <w:sz w:val="20"/>
          <w:szCs w:val="20"/>
        </w:rPr>
        <w:t>cross</w:t>
      </w:r>
      <w:r w:rsidRPr="0E10FB69" w:rsidR="57DCC0E7">
        <w:rPr>
          <w:sz w:val="20"/>
          <w:szCs w:val="20"/>
        </w:rPr>
        <w:t>-</w:t>
      </w:r>
      <w:r w:rsidRPr="0E10FB69" w:rsidR="6EA5A52E">
        <w:rPr>
          <w:sz w:val="20"/>
          <w:szCs w:val="20"/>
        </w:rPr>
        <w:t>clamping</w:t>
      </w:r>
      <w:bookmarkEnd w:id="647355939"/>
      <w:r w:rsidRPr="0E10FB69" w:rsidR="1E5417A1">
        <w:rPr>
          <w:sz w:val="20"/>
          <w:szCs w:val="20"/>
        </w:rPr>
        <w:t xml:space="preserve"> the descending thoracic aorta</w:t>
      </w:r>
      <w:r w:rsidRPr="0E10FB69" w:rsidR="46D3669E">
        <w:rPr>
          <w:sz w:val="20"/>
          <w:szCs w:val="20"/>
        </w:rPr>
        <w:t>,</w:t>
      </w:r>
      <w:r w:rsidRPr="0E10FB69" w:rsidR="1E5417A1">
        <w:rPr>
          <w:sz w:val="20"/>
          <w:szCs w:val="20"/>
        </w:rPr>
        <w:t xml:space="preserve"> or </w:t>
      </w:r>
      <w:r w:rsidRPr="0E10FB69" w:rsidR="1E5417A1">
        <w:rPr>
          <w:sz w:val="20"/>
          <w:szCs w:val="20"/>
        </w:rPr>
        <w:t>initiating</w:t>
      </w:r>
      <w:r w:rsidRPr="0E10FB69" w:rsidR="1E5417A1">
        <w:rPr>
          <w:sz w:val="20"/>
          <w:szCs w:val="20"/>
        </w:rPr>
        <w:t xml:space="preserve"> internal cardiac massage</w:t>
      </w:r>
      <w:r w:rsidRPr="0E10FB69" w:rsidR="38D7E71A">
        <w:rPr>
          <w:sz w:val="20"/>
          <w:szCs w:val="20"/>
        </w:rPr>
        <w:t xml:space="preserve"> (site paper this was from here)</w:t>
      </w:r>
      <w:r w:rsidRPr="0E10FB69" w:rsidR="1E5417A1">
        <w:rPr>
          <w:sz w:val="20"/>
          <w:szCs w:val="20"/>
        </w:rPr>
        <w:t>.</w:t>
      </w:r>
    </w:p>
    <w:p w:rsidR="1E5417A1" w:rsidP="0E10FB69" w:rsidRDefault="1E5417A1" w14:paraId="32E2CC69" w14:textId="23F7B922">
      <w:pPr>
        <w:pStyle w:val="Normal"/>
        <w:spacing w:line="240" w:lineRule="auto"/>
        <w:rPr>
          <w:sz w:val="20"/>
          <w:szCs w:val="20"/>
        </w:rPr>
      </w:pPr>
      <w:r w:rsidRPr="0E10FB69" w:rsidR="1E5417A1">
        <w:rPr>
          <w:sz w:val="20"/>
          <w:szCs w:val="20"/>
        </w:rPr>
        <w:t xml:space="preserve">MOI plays </w:t>
      </w:r>
      <w:r w:rsidRPr="0E10FB69" w:rsidR="1D512EF3">
        <w:rPr>
          <w:sz w:val="20"/>
          <w:szCs w:val="20"/>
        </w:rPr>
        <w:t>a significant role</w:t>
      </w:r>
      <w:r w:rsidRPr="0E10FB69" w:rsidR="1E5417A1">
        <w:rPr>
          <w:sz w:val="20"/>
          <w:szCs w:val="20"/>
        </w:rPr>
        <w:t xml:space="preserve"> in the mortality of RT performed in the civilian sector. As </w:t>
      </w:r>
      <w:r w:rsidRPr="0E10FB69" w:rsidR="7D05D15B">
        <w:rPr>
          <w:sz w:val="20"/>
          <w:szCs w:val="20"/>
        </w:rPr>
        <w:t>described</w:t>
      </w:r>
      <w:r w:rsidRPr="0E10FB69" w:rsidR="1E5417A1">
        <w:rPr>
          <w:sz w:val="20"/>
          <w:szCs w:val="20"/>
        </w:rPr>
        <w:t xml:space="preserve"> by Mitchell et</w:t>
      </w:r>
      <w:r w:rsidRPr="0E10FB69" w:rsidR="715BDACB">
        <w:rPr>
          <w:sz w:val="20"/>
          <w:szCs w:val="20"/>
        </w:rPr>
        <w:t xml:space="preserve"> al.</w:t>
      </w:r>
      <w:r w:rsidRPr="0E10FB69" w:rsidR="1E5417A1">
        <w:rPr>
          <w:sz w:val="20"/>
          <w:szCs w:val="20"/>
        </w:rPr>
        <w:t xml:space="preserve">, civilian literature </w:t>
      </w:r>
      <w:r w:rsidRPr="0E10FB69" w:rsidR="1E5417A1">
        <w:rPr>
          <w:sz w:val="20"/>
          <w:szCs w:val="20"/>
        </w:rPr>
        <w:t>indi</w:t>
      </w:r>
      <w:r w:rsidRPr="0E10FB69" w:rsidR="1E5417A1">
        <w:rPr>
          <w:sz w:val="20"/>
          <w:szCs w:val="20"/>
        </w:rPr>
        <w:t>cates</w:t>
      </w:r>
      <w:r w:rsidRPr="0E10FB69" w:rsidR="1E5417A1">
        <w:rPr>
          <w:sz w:val="20"/>
          <w:szCs w:val="20"/>
        </w:rPr>
        <w:t xml:space="preserve"> a s</w:t>
      </w:r>
      <w:r w:rsidRPr="0E10FB69" w:rsidR="1E5417A1">
        <w:rPr>
          <w:sz w:val="20"/>
          <w:szCs w:val="20"/>
        </w:rPr>
        <w:t xml:space="preserve">urvival rate of 1-2% for blunt traumas and 11-16% for penetrating trauma. </w:t>
      </w:r>
      <w:r w:rsidRPr="0E10FB69" w:rsidR="01749570">
        <w:rPr>
          <w:sz w:val="20"/>
          <w:szCs w:val="20"/>
        </w:rPr>
        <w:t>M</w:t>
      </w:r>
      <w:r w:rsidRPr="0E10FB69" w:rsidR="1E5417A1">
        <w:rPr>
          <w:sz w:val="20"/>
          <w:szCs w:val="20"/>
        </w:rPr>
        <w:t>ajor governing associations</w:t>
      </w:r>
      <w:r w:rsidRPr="0E10FB69" w:rsidR="12096833">
        <w:rPr>
          <w:sz w:val="20"/>
          <w:szCs w:val="20"/>
        </w:rPr>
        <w:t xml:space="preserve"> have </w:t>
      </w:r>
      <w:r w:rsidRPr="0E10FB69" w:rsidR="12096833">
        <w:rPr>
          <w:sz w:val="20"/>
          <w:szCs w:val="20"/>
        </w:rPr>
        <w:t>esta</w:t>
      </w:r>
      <w:r w:rsidRPr="0E10FB69" w:rsidR="12096833">
        <w:rPr>
          <w:sz w:val="20"/>
          <w:szCs w:val="20"/>
        </w:rPr>
        <w:t>blished</w:t>
      </w:r>
      <w:r w:rsidRPr="0E10FB69" w:rsidR="12096833">
        <w:rPr>
          <w:sz w:val="20"/>
          <w:szCs w:val="20"/>
        </w:rPr>
        <w:t xml:space="preserve"> </w:t>
      </w:r>
      <w:r w:rsidRPr="0E10FB69" w:rsidR="12096833">
        <w:rPr>
          <w:sz w:val="20"/>
          <w:szCs w:val="20"/>
        </w:rPr>
        <w:t>num</w:t>
      </w:r>
      <w:r w:rsidRPr="0E10FB69" w:rsidR="12096833">
        <w:rPr>
          <w:sz w:val="20"/>
          <w:szCs w:val="20"/>
        </w:rPr>
        <w:t>e</w:t>
      </w:r>
      <w:r w:rsidRPr="0E10FB69" w:rsidR="12096833">
        <w:rPr>
          <w:sz w:val="20"/>
          <w:szCs w:val="20"/>
        </w:rPr>
        <w:t>rous</w:t>
      </w:r>
      <w:r w:rsidRPr="0E10FB69" w:rsidR="12096833">
        <w:rPr>
          <w:sz w:val="20"/>
          <w:szCs w:val="20"/>
        </w:rPr>
        <w:t xml:space="preserve"> gui</w:t>
      </w:r>
      <w:r w:rsidRPr="0E10FB69" w:rsidR="12096833">
        <w:rPr>
          <w:sz w:val="20"/>
          <w:szCs w:val="20"/>
        </w:rPr>
        <w:t>delines and algorithms</w:t>
      </w:r>
      <w:r w:rsidRPr="0E10FB69" w:rsidR="1E5417A1">
        <w:rPr>
          <w:sz w:val="20"/>
          <w:szCs w:val="20"/>
        </w:rPr>
        <w:t>, namely the Western Trauma Association (WTA) and the East Association of the Surgery of Trauma (EAST). According to the algorithm devised by the WTA, the primary indicators for performing RT are patients presenting with signs of life present but in refractory shock (defined as arriving while undergoing CPR with SOL or systolic blood pressure (SBP) &lt;</w:t>
      </w:r>
      <w:bookmarkStart w:name="_Int_9pxTmKpk" w:id="1315147438"/>
      <w:r w:rsidRPr="0E10FB69" w:rsidR="1E5417A1">
        <w:rPr>
          <w:sz w:val="20"/>
          <w:szCs w:val="20"/>
        </w:rPr>
        <w:t>60 m</w:t>
      </w:r>
      <w:r w:rsidRPr="0E10FB69" w:rsidR="1E5417A1">
        <w:rPr>
          <w:sz w:val="20"/>
          <w:szCs w:val="20"/>
        </w:rPr>
        <w:t>m</w:t>
      </w:r>
      <w:bookmarkEnd w:id="1315147438"/>
      <w:r w:rsidRPr="0E10FB69" w:rsidR="1E5417A1">
        <w:rPr>
          <w:sz w:val="20"/>
          <w:szCs w:val="20"/>
        </w:rPr>
        <w:t>Hg).</w:t>
      </w:r>
      <w:r w:rsidRPr="0E10FB69" w:rsidR="1E5417A1">
        <w:rPr>
          <w:sz w:val="20"/>
          <w:szCs w:val="20"/>
        </w:rPr>
        <w:t xml:space="preserve"> Alternatively, patients presenting without SOL and undergoing CPR for less than 10 or 15 minutes for blunt or penetrating trauma (penetrating trauma to neck or </w:t>
      </w:r>
      <w:r w:rsidRPr="0E10FB69" w:rsidR="1E5417A1">
        <w:rPr>
          <w:sz w:val="20"/>
          <w:szCs w:val="20"/>
        </w:rPr>
        <w:t>extremities</w:t>
      </w:r>
      <w:r w:rsidRPr="0E10FB69" w:rsidR="1E5417A1">
        <w:rPr>
          <w:sz w:val="20"/>
          <w:szCs w:val="20"/>
        </w:rPr>
        <w:t xml:space="preserve"> with &gt;5 minutes of CPR leads to non-salvageability), respectively, are </w:t>
      </w:r>
      <w:r w:rsidRPr="0E10FB69" w:rsidR="1E5417A1">
        <w:rPr>
          <w:sz w:val="20"/>
          <w:szCs w:val="20"/>
        </w:rPr>
        <w:t>indi</w:t>
      </w:r>
      <w:r w:rsidRPr="0E10FB69" w:rsidR="1E5417A1">
        <w:rPr>
          <w:sz w:val="20"/>
          <w:szCs w:val="20"/>
        </w:rPr>
        <w:t>cated</w:t>
      </w:r>
      <w:r w:rsidRPr="0E10FB69" w:rsidR="1E5417A1">
        <w:rPr>
          <w:sz w:val="20"/>
          <w:szCs w:val="20"/>
        </w:rPr>
        <w:t xml:space="preserve"> for</w:t>
      </w:r>
      <w:r w:rsidRPr="0E10FB69" w:rsidR="1E5417A1">
        <w:rPr>
          <w:sz w:val="20"/>
          <w:szCs w:val="20"/>
        </w:rPr>
        <w:t xml:space="preserve"> RT. </w:t>
      </w:r>
    </w:p>
    <w:p w:rsidR="0E10FB69" w:rsidP="0E10FB69" w:rsidRDefault="0E10FB69" w14:paraId="1903C1D6" w14:textId="1D95434E">
      <w:pPr>
        <w:pStyle w:val="Normal"/>
        <w:spacing w:line="240" w:lineRule="auto"/>
        <w:rPr>
          <w:sz w:val="20"/>
          <w:szCs w:val="20"/>
        </w:rPr>
      </w:pPr>
    </w:p>
    <w:p w:rsidR="1E5417A1" w:rsidP="0E10FB69" w:rsidRDefault="1E5417A1" w14:paraId="711505BC" w14:textId="0E7C8DE4">
      <w:pPr>
        <w:pStyle w:val="Normal"/>
        <w:suppressLineNumbers w:val="0"/>
        <w:bidi w:val="0"/>
        <w:spacing w:before="0" w:beforeAutospacing="off" w:after="160" w:afterAutospacing="off" w:line="240" w:lineRule="auto"/>
        <w:ind w:left="0" w:right="0"/>
        <w:jc w:val="left"/>
        <w:rPr>
          <w:sz w:val="20"/>
          <w:szCs w:val="20"/>
        </w:rPr>
      </w:pPr>
      <w:r w:rsidRPr="0E10FB69" w:rsidR="1E5417A1">
        <w:rPr>
          <w:sz w:val="20"/>
          <w:szCs w:val="20"/>
        </w:rPr>
        <w:t xml:space="preserve">In this work, we propose introducing </w:t>
      </w:r>
      <w:r w:rsidRPr="0E10FB69" w:rsidR="1E5417A1">
        <w:rPr>
          <w:sz w:val="20"/>
          <w:szCs w:val="20"/>
        </w:rPr>
        <w:t>additional</w:t>
      </w:r>
      <w:r w:rsidRPr="0E10FB69" w:rsidR="1E5417A1">
        <w:rPr>
          <w:sz w:val="20"/>
          <w:szCs w:val="20"/>
        </w:rPr>
        <w:t xml:space="preserve"> guidelines related to the patient's age. To our knowledge, the literature does not include studies that evaluate the relationship between RT mortality and age. Although there are works that describe thoracotomy mortality rates performed for non-emergent cases</w:t>
      </w:r>
      <w:r w:rsidRPr="0E10FB69" w:rsidR="6109F31B">
        <w:rPr>
          <w:sz w:val="20"/>
          <w:szCs w:val="20"/>
        </w:rPr>
        <w:t xml:space="preserve"> (cite paper here)</w:t>
      </w:r>
      <w:r w:rsidRPr="0E10FB69" w:rsidR="1E5417A1">
        <w:rPr>
          <w:sz w:val="20"/>
          <w:szCs w:val="20"/>
        </w:rPr>
        <w:t xml:space="preserve">, there has yet to be a study exploring this topic in emergent traumatic scenarios. We hypothesize that </w:t>
      </w:r>
      <w:r w:rsidRPr="0E10FB69" w:rsidR="32B6F59A">
        <w:rPr>
          <w:sz w:val="20"/>
          <w:szCs w:val="20"/>
        </w:rPr>
        <w:t xml:space="preserve">the </w:t>
      </w:r>
      <w:r w:rsidRPr="0E10FB69" w:rsidR="1E5417A1">
        <w:rPr>
          <w:sz w:val="20"/>
          <w:szCs w:val="20"/>
        </w:rPr>
        <w:t xml:space="preserve">mortality of RT increases with age and that there is an age-threshold that can be </w:t>
      </w:r>
      <w:r w:rsidRPr="0E10FB69" w:rsidR="64D98683">
        <w:rPr>
          <w:sz w:val="20"/>
          <w:szCs w:val="20"/>
        </w:rPr>
        <w:t>identified</w:t>
      </w:r>
      <w:r w:rsidRPr="0E10FB69" w:rsidR="1E5417A1">
        <w:rPr>
          <w:sz w:val="20"/>
          <w:szCs w:val="20"/>
        </w:rPr>
        <w:t xml:space="preserve"> over which RT is no longer recommended as </w:t>
      </w:r>
      <w:r w:rsidRPr="0E10FB69" w:rsidR="7C6ED380">
        <w:rPr>
          <w:sz w:val="20"/>
          <w:szCs w:val="20"/>
        </w:rPr>
        <w:t>a therapeutic</w:t>
      </w:r>
      <w:r w:rsidRPr="0E10FB69" w:rsidR="1E5417A1">
        <w:rPr>
          <w:sz w:val="20"/>
          <w:szCs w:val="20"/>
        </w:rPr>
        <w:t xml:space="preserve"> modality. </w:t>
      </w:r>
    </w:p>
    <w:p w:rsidR="1E5417A1" w:rsidP="0E10FB69" w:rsidRDefault="1E5417A1" w14:paraId="5BF2858A" w14:textId="4EBD118F">
      <w:pPr>
        <w:pStyle w:val="Normal"/>
        <w:suppressLineNumbers w:val="0"/>
        <w:bidi w:val="0"/>
        <w:spacing w:before="0" w:beforeAutospacing="off" w:after="160" w:afterAutospacing="off" w:line="240" w:lineRule="auto"/>
        <w:ind w:left="0" w:right="0"/>
        <w:jc w:val="left"/>
        <w:rPr>
          <w:sz w:val="20"/>
          <w:szCs w:val="20"/>
        </w:rPr>
      </w:pPr>
      <w:r w:rsidRPr="0E10FB69" w:rsidR="1E5417A1">
        <w:rPr>
          <w:sz w:val="20"/>
          <w:szCs w:val="20"/>
        </w:rPr>
        <w:t xml:space="preserve">In older patients, hemodynamic instability secondary to trauma, lengthy </w:t>
      </w:r>
      <w:r w:rsidRPr="0E10FB69" w:rsidR="40C78546">
        <w:rPr>
          <w:sz w:val="20"/>
          <w:szCs w:val="20"/>
        </w:rPr>
        <w:t>CPR,</w:t>
      </w:r>
      <w:r w:rsidRPr="0E10FB69" w:rsidR="1E5417A1">
        <w:rPr>
          <w:sz w:val="20"/>
          <w:szCs w:val="20"/>
        </w:rPr>
        <w:t xml:space="preserve"> and invasive procedures such as RT are not </w:t>
      </w:r>
      <w:r w:rsidRPr="0E10FB69" w:rsidR="00027ECC">
        <w:rPr>
          <w:sz w:val="20"/>
          <w:szCs w:val="20"/>
        </w:rPr>
        <w:t>tolerated as well as in younger patients</w:t>
      </w:r>
      <w:r w:rsidRPr="0E10FB69" w:rsidR="6993A7B2">
        <w:rPr>
          <w:sz w:val="20"/>
          <w:szCs w:val="20"/>
        </w:rPr>
        <w:t xml:space="preserve"> (</w:t>
      </w:r>
      <w:r w:rsidRPr="0E10FB69" w:rsidR="6993A7B2">
        <w:rPr>
          <w:rFonts w:ascii="Aptos" w:hAnsi="Aptos" w:eastAsia="Aptos" w:cs="Aptos"/>
          <w:noProof w:val="0"/>
          <w:sz w:val="20"/>
          <w:szCs w:val="20"/>
          <w:lang w:val="en-US"/>
        </w:rPr>
        <w:t>Does age matter? The relationship between age and mortality in penetrating trauma)</w:t>
      </w:r>
      <w:r w:rsidRPr="0E10FB69" w:rsidR="1E5417A1">
        <w:rPr>
          <w:sz w:val="20"/>
          <w:szCs w:val="20"/>
        </w:rPr>
        <w:t xml:space="preserve">. </w:t>
      </w:r>
      <w:r w:rsidRPr="0E10FB69" w:rsidR="600CB787">
        <w:rPr>
          <w:sz w:val="20"/>
          <w:szCs w:val="20"/>
        </w:rPr>
        <w:t xml:space="preserve">It is important to recognize that there is less data on penetrating trauma in the elderly where the main MOI in this age population tends to be blunt. </w:t>
      </w:r>
      <w:r w:rsidRPr="0E10FB69" w:rsidR="6C704416">
        <w:rPr>
          <w:sz w:val="20"/>
          <w:szCs w:val="20"/>
        </w:rPr>
        <w:t xml:space="preserve">Also, it is noteworthy that most trauma cases are of blunt origin and </w:t>
      </w:r>
      <w:bookmarkStart w:name="_Int_I6Iul8Lz" w:id="299971521"/>
      <w:r w:rsidRPr="0E10FB69" w:rsidR="6C704416">
        <w:rPr>
          <w:sz w:val="20"/>
          <w:szCs w:val="20"/>
        </w:rPr>
        <w:t>generally have</w:t>
      </w:r>
      <w:bookmarkEnd w:id="299971521"/>
      <w:r w:rsidRPr="0E10FB69" w:rsidR="6C704416">
        <w:rPr>
          <w:sz w:val="20"/>
          <w:szCs w:val="20"/>
        </w:rPr>
        <w:t xml:space="preserve"> a higher survival rate than penetrating traumas (cite that paper again).</w:t>
      </w:r>
      <w:r w:rsidRPr="0E10FB69" w:rsidR="5EE6505C">
        <w:rPr>
          <w:sz w:val="20"/>
          <w:szCs w:val="20"/>
        </w:rPr>
        <w:t xml:space="preserve"> This </w:t>
      </w:r>
      <w:r w:rsidRPr="0E10FB69" w:rsidR="2FB69476">
        <w:rPr>
          <w:sz w:val="20"/>
          <w:szCs w:val="20"/>
        </w:rPr>
        <w:t xml:space="preserve">publication also showed mortality rates of both blunt and penetrating traumas remained </w:t>
      </w:r>
      <w:r w:rsidRPr="0E10FB69" w:rsidR="1133ED44">
        <w:rPr>
          <w:sz w:val="20"/>
          <w:szCs w:val="20"/>
        </w:rPr>
        <w:t>steady</w:t>
      </w:r>
      <w:r w:rsidRPr="0E10FB69" w:rsidR="2FB69476">
        <w:rPr>
          <w:sz w:val="20"/>
          <w:szCs w:val="20"/>
        </w:rPr>
        <w:t xml:space="preserve"> until age 55 (cite here). </w:t>
      </w:r>
      <w:bookmarkStart w:name="_Int_Nohpxtbk" w:id="1737200679"/>
      <w:r w:rsidRPr="0E10FB69" w:rsidR="4164F19A">
        <w:rPr>
          <w:sz w:val="20"/>
          <w:szCs w:val="20"/>
        </w:rPr>
        <w:t>At first glance this</w:t>
      </w:r>
      <w:bookmarkEnd w:id="1737200679"/>
      <w:r w:rsidRPr="0E10FB69" w:rsidR="4164F19A">
        <w:rPr>
          <w:sz w:val="20"/>
          <w:szCs w:val="20"/>
        </w:rPr>
        <w:t xml:space="preserve"> seems contradictory to the </w:t>
      </w:r>
      <w:r w:rsidRPr="0E10FB69" w:rsidR="4164F19A">
        <w:rPr>
          <w:sz w:val="20"/>
          <w:szCs w:val="20"/>
        </w:rPr>
        <w:t>previous</w:t>
      </w:r>
      <w:r w:rsidRPr="0E10FB69" w:rsidR="4164F19A">
        <w:rPr>
          <w:sz w:val="20"/>
          <w:szCs w:val="20"/>
        </w:rPr>
        <w:t xml:space="preserve"> statements and works </w:t>
      </w:r>
      <w:r w:rsidRPr="0E10FB69" w:rsidR="4164F19A">
        <w:rPr>
          <w:sz w:val="20"/>
          <w:szCs w:val="20"/>
        </w:rPr>
        <w:t>regarding</w:t>
      </w:r>
      <w:r w:rsidRPr="0E10FB69" w:rsidR="4164F19A">
        <w:rPr>
          <w:sz w:val="20"/>
          <w:szCs w:val="20"/>
        </w:rPr>
        <w:t xml:space="preserve"> RT mortality which state that blunt trauma has a </w:t>
      </w:r>
      <w:bookmarkStart w:name="_Int_GoGfqL2G" w:id="747751070"/>
      <w:r w:rsidRPr="0E10FB69" w:rsidR="4164F19A">
        <w:rPr>
          <w:sz w:val="20"/>
          <w:szCs w:val="20"/>
        </w:rPr>
        <w:t>substantially lower</w:t>
      </w:r>
      <w:bookmarkEnd w:id="747751070"/>
      <w:r w:rsidRPr="0E10FB69" w:rsidR="4164F19A">
        <w:rPr>
          <w:sz w:val="20"/>
          <w:szCs w:val="20"/>
        </w:rPr>
        <w:t xml:space="preserve"> survival rate in comparison to penetrating traumas of the thorax. </w:t>
      </w:r>
      <w:r w:rsidRPr="0E10FB69" w:rsidR="38482599">
        <w:rPr>
          <w:sz w:val="20"/>
          <w:szCs w:val="20"/>
        </w:rPr>
        <w:t xml:space="preserve">This speaks to the complexity of the anatomy and importance of MOI when dealing with thoracic trauma compared to the above study which did not differentiate between </w:t>
      </w:r>
      <w:r w:rsidRPr="0E10FB69" w:rsidR="1E012E96">
        <w:rPr>
          <w:sz w:val="20"/>
          <w:szCs w:val="20"/>
        </w:rPr>
        <w:t xml:space="preserve">anatomical compartments of trauma. </w:t>
      </w:r>
    </w:p>
    <w:p w:rsidR="1E5417A1" w:rsidP="0E10FB69" w:rsidRDefault="1E5417A1" w14:paraId="2D284821" w14:textId="620E5248">
      <w:pPr>
        <w:pStyle w:val="Normal"/>
        <w:suppressLineNumbers w:val="0"/>
        <w:bidi w:val="0"/>
        <w:spacing w:before="0" w:beforeAutospacing="off" w:after="160" w:afterAutospacing="off" w:line="240" w:lineRule="auto"/>
        <w:ind w:left="0" w:right="0"/>
        <w:jc w:val="left"/>
        <w:rPr>
          <w:sz w:val="20"/>
          <w:szCs w:val="20"/>
        </w:rPr>
      </w:pPr>
      <w:r w:rsidRPr="0E10FB69" w:rsidR="1E5417A1">
        <w:rPr>
          <w:sz w:val="20"/>
          <w:szCs w:val="20"/>
        </w:rPr>
        <w:t xml:space="preserve">In </w:t>
      </w:r>
      <w:r w:rsidRPr="0E10FB69" w:rsidR="62887809">
        <w:rPr>
          <w:sz w:val="20"/>
          <w:szCs w:val="20"/>
        </w:rPr>
        <w:t>patients above the determined age threshold,</w:t>
      </w:r>
      <w:r w:rsidRPr="0E10FB69" w:rsidR="1E5417A1">
        <w:rPr>
          <w:sz w:val="20"/>
          <w:szCs w:val="20"/>
        </w:rPr>
        <w:t xml:space="preserve"> </w:t>
      </w:r>
      <w:r w:rsidRPr="0E10FB69" w:rsidR="1E5417A1">
        <w:rPr>
          <w:sz w:val="20"/>
          <w:szCs w:val="20"/>
        </w:rPr>
        <w:t xml:space="preserve">RT would be a </w:t>
      </w:r>
      <w:r w:rsidRPr="0E10FB69" w:rsidR="21D379E1">
        <w:rPr>
          <w:sz w:val="20"/>
          <w:szCs w:val="20"/>
        </w:rPr>
        <w:t>low-yield</w:t>
      </w:r>
      <w:r w:rsidRPr="0E10FB69" w:rsidR="1E5417A1">
        <w:rPr>
          <w:sz w:val="20"/>
          <w:szCs w:val="20"/>
        </w:rPr>
        <w:t xml:space="preserve">, </w:t>
      </w:r>
      <w:r w:rsidRPr="0E10FB69" w:rsidR="2C505F36">
        <w:rPr>
          <w:sz w:val="20"/>
          <w:szCs w:val="20"/>
        </w:rPr>
        <w:t>high-cost</w:t>
      </w:r>
      <w:r w:rsidRPr="0E10FB69" w:rsidR="1E5417A1">
        <w:rPr>
          <w:sz w:val="20"/>
          <w:szCs w:val="20"/>
        </w:rPr>
        <w:t xml:space="preserve"> procedure</w:t>
      </w:r>
      <w:r w:rsidRPr="0E10FB69" w:rsidR="1E5417A1">
        <w:rPr>
          <w:sz w:val="20"/>
          <w:szCs w:val="20"/>
        </w:rPr>
        <w:t xml:space="preserve"> that may </w:t>
      </w:r>
      <w:bookmarkStart w:name="_Int_ywdTMLeX" w:id="1301416326"/>
      <w:r w:rsidRPr="0E10FB69" w:rsidR="5172F68A">
        <w:rPr>
          <w:sz w:val="20"/>
          <w:szCs w:val="20"/>
        </w:rPr>
        <w:t>ultima</w:t>
      </w:r>
      <w:r w:rsidRPr="0E10FB69" w:rsidR="5172F68A">
        <w:rPr>
          <w:sz w:val="20"/>
          <w:szCs w:val="20"/>
        </w:rPr>
        <w:t>t</w:t>
      </w:r>
      <w:r w:rsidRPr="0E10FB69" w:rsidR="5172F68A">
        <w:rPr>
          <w:sz w:val="20"/>
          <w:szCs w:val="20"/>
        </w:rPr>
        <w:t>ely cause</w:t>
      </w:r>
      <w:bookmarkEnd w:id="1301416326"/>
      <w:r w:rsidRPr="0E10FB69" w:rsidR="1E5417A1">
        <w:rPr>
          <w:sz w:val="20"/>
          <w:szCs w:val="20"/>
        </w:rPr>
        <w:t xml:space="preserve"> </w:t>
      </w:r>
      <w:r w:rsidRPr="0E10FB69" w:rsidR="1A1B1C60">
        <w:rPr>
          <w:sz w:val="20"/>
          <w:szCs w:val="20"/>
        </w:rPr>
        <w:t>additional</w:t>
      </w:r>
      <w:r w:rsidRPr="0E10FB69" w:rsidR="1E5417A1">
        <w:rPr>
          <w:sz w:val="20"/>
          <w:szCs w:val="20"/>
        </w:rPr>
        <w:t xml:space="preserve"> and avoidable</w:t>
      </w:r>
      <w:r w:rsidRPr="0E10FB69" w:rsidR="1E5417A1">
        <w:rPr>
          <w:sz w:val="20"/>
          <w:szCs w:val="20"/>
        </w:rPr>
        <w:t xml:space="preserve"> harm. By </w:t>
      </w:r>
      <w:r w:rsidRPr="0E10FB69" w:rsidR="1E5417A1">
        <w:rPr>
          <w:sz w:val="20"/>
          <w:szCs w:val="20"/>
        </w:rPr>
        <w:t>es</w:t>
      </w:r>
      <w:r w:rsidRPr="0E10FB69" w:rsidR="1E5417A1">
        <w:rPr>
          <w:sz w:val="20"/>
          <w:szCs w:val="20"/>
        </w:rPr>
        <w:t>tablishing</w:t>
      </w:r>
      <w:r w:rsidRPr="0E10FB69" w:rsidR="1E5417A1">
        <w:rPr>
          <w:sz w:val="20"/>
          <w:szCs w:val="20"/>
        </w:rPr>
        <w:t xml:space="preserve"> a robust age-specific threshold</w:t>
      </w:r>
      <w:r w:rsidRPr="0E10FB69" w:rsidR="3A3A87BF">
        <w:rPr>
          <w:sz w:val="20"/>
          <w:szCs w:val="20"/>
        </w:rPr>
        <w:t>,</w:t>
      </w:r>
      <w:r w:rsidRPr="0E10FB69" w:rsidR="1E5417A1">
        <w:rPr>
          <w:sz w:val="20"/>
          <w:szCs w:val="20"/>
        </w:rPr>
        <w:t xml:space="preserve"> unnecessary RT can be avoided in lieu of rapidly pursuing alternative interventions that yield better outcomes for the patient.</w:t>
      </w:r>
      <w:r w:rsidRPr="0E10FB69" w:rsidR="3591EFFC">
        <w:rPr>
          <w:sz w:val="20"/>
          <w:szCs w:val="20"/>
        </w:rPr>
        <w:t xml:space="preserve"> </w:t>
      </w:r>
    </w:p>
    <w:p w:rsidR="0E10FB69" w:rsidP="0E10FB69" w:rsidRDefault="0E10FB69" w14:paraId="05BEFC7C" w14:textId="1916AEA3">
      <w:pPr>
        <w:pStyle w:val="Normal"/>
      </w:pPr>
    </w:p>
    <w:p w:rsidR="1E5417A1" w:rsidP="0E10FB69" w:rsidRDefault="1E5417A1" w14:paraId="595BAFFA" w14:textId="19F9EA9C">
      <w:pPr>
        <w:pStyle w:val="Heading1"/>
        <w:suppressLineNumbers w:val="0"/>
        <w:bidi w:val="0"/>
        <w:spacing w:before="360" w:beforeAutospacing="off" w:after="80" w:afterAutospacing="off" w:line="279" w:lineRule="auto"/>
        <w:ind w:left="0" w:right="0"/>
        <w:jc w:val="left"/>
      </w:pPr>
      <w:r w:rsidR="1E5417A1">
        <w:rPr/>
        <w:t>Design &amp; Methods</w:t>
      </w:r>
    </w:p>
    <w:p w:rsidR="1E5417A1" w:rsidP="0E10FB69" w:rsidRDefault="1E5417A1" w14:paraId="3756C225" w14:textId="221EDCED">
      <w:pPr>
        <w:pStyle w:val="Normal"/>
      </w:pPr>
      <w:r w:rsidR="1E5417A1">
        <w:rPr/>
        <w:t xml:space="preserve"> </w:t>
      </w:r>
    </w:p>
    <w:p w:rsidR="1E5417A1" w:rsidP="0E10FB69" w:rsidRDefault="1E5417A1" w14:paraId="4B309B6A" w14:textId="614757E3">
      <w:pPr>
        <w:pStyle w:val="Normal"/>
        <w:spacing w:line="240" w:lineRule="auto"/>
        <w:rPr>
          <w:sz w:val="20"/>
          <w:szCs w:val="20"/>
        </w:rPr>
      </w:pPr>
      <w:r w:rsidRPr="0E10FB69" w:rsidR="1E5417A1">
        <w:rPr>
          <w:sz w:val="20"/>
          <w:szCs w:val="20"/>
        </w:rPr>
        <w:t>The NTDB will be used to obtain mass data from trauma cases across the country to perform mortality analysis and stratification by age and secondary factors</w:t>
      </w:r>
      <w:r w:rsidRPr="0E10FB69" w:rsidR="7E1EA13A">
        <w:rPr>
          <w:sz w:val="20"/>
          <w:szCs w:val="20"/>
        </w:rPr>
        <w:t xml:space="preserve"> (</w:t>
      </w:r>
      <w:r w:rsidRPr="0E10FB69" w:rsidR="0980E2F7">
        <w:rPr>
          <w:sz w:val="20"/>
          <w:szCs w:val="20"/>
        </w:rPr>
        <w:t xml:space="preserve">Table 1., </w:t>
      </w:r>
      <w:r w:rsidRPr="0E10FB69" w:rsidR="7E1EA13A">
        <w:rPr>
          <w:sz w:val="20"/>
          <w:szCs w:val="20"/>
        </w:rPr>
        <w:t>Figure 1</w:t>
      </w:r>
      <w:r w:rsidRPr="0E10FB69" w:rsidR="217A9CE2">
        <w:rPr>
          <w:sz w:val="20"/>
          <w:szCs w:val="20"/>
        </w:rPr>
        <w:t>.</w:t>
      </w:r>
      <w:r w:rsidRPr="0E10FB69" w:rsidR="7E1EA13A">
        <w:rPr>
          <w:sz w:val="20"/>
          <w:szCs w:val="20"/>
        </w:rPr>
        <w:t>)</w:t>
      </w:r>
      <w:r w:rsidRPr="0E10FB69" w:rsidR="1E5417A1">
        <w:rPr>
          <w:sz w:val="20"/>
          <w:szCs w:val="20"/>
        </w:rPr>
        <w:t xml:space="preserve">. Cases to be used for our study will be isolated by filtering for cases in which a resuscitative thoracotomy was performed and that have a valid value in the age data field. Subsequently, overall mortality rates for RT will be performed and additionally, for RT performed with MOI of penetrating and blunt trauma separately due to their reported discrepancy in mortality as reported and </w:t>
      </w:r>
      <w:r w:rsidRPr="0E10FB69" w:rsidR="1E5417A1">
        <w:rPr>
          <w:sz w:val="20"/>
          <w:szCs w:val="20"/>
        </w:rPr>
        <w:t>established</w:t>
      </w:r>
      <w:r w:rsidRPr="0E10FB69" w:rsidR="1E5417A1">
        <w:rPr>
          <w:sz w:val="20"/>
          <w:szCs w:val="20"/>
        </w:rPr>
        <w:t xml:space="preserve"> </w:t>
      </w:r>
      <w:r w:rsidRPr="0E10FB69" w:rsidR="601C6DF3">
        <w:rPr>
          <w:sz w:val="20"/>
          <w:szCs w:val="20"/>
        </w:rPr>
        <w:t>in civilian</w:t>
      </w:r>
      <w:r w:rsidRPr="0E10FB69" w:rsidR="1E5417A1">
        <w:rPr>
          <w:sz w:val="20"/>
          <w:szCs w:val="20"/>
        </w:rPr>
        <w:t xml:space="preserve"> literature. </w:t>
      </w:r>
    </w:p>
    <w:p w:rsidR="38B09EDD" w:rsidP="0E10FB69" w:rsidRDefault="38B09EDD" w14:paraId="4E5C7E3F" w14:textId="742FFE6C">
      <w:pPr>
        <w:pStyle w:val="Normal"/>
        <w:jc w:val="center"/>
      </w:pPr>
      <w:r w:rsidR="38B09EDD">
        <w:drawing>
          <wp:inline wp14:editId="6AC2CDAF" wp14:anchorId="74D1B567">
            <wp:extent cx="3251412" cy="2010873"/>
            <wp:effectExtent l="0" t="0" r="0" b="0"/>
            <wp:docPr id="1063920478" name="" title=""/>
            <wp:cNvGraphicFramePr>
              <a:graphicFrameLocks noChangeAspect="1"/>
            </wp:cNvGraphicFramePr>
            <a:graphic>
              <a:graphicData uri="http://schemas.openxmlformats.org/drawingml/2006/picture">
                <pic:pic>
                  <pic:nvPicPr>
                    <pic:cNvPr id="0" name=""/>
                    <pic:cNvPicPr/>
                  </pic:nvPicPr>
                  <pic:blipFill>
                    <a:blip r:embed="R53a318ac19544492">
                      <a:extLst>
                        <a:ext xmlns:a="http://schemas.openxmlformats.org/drawingml/2006/main" uri="{28A0092B-C50C-407E-A947-70E740481C1C}">
                          <a14:useLocalDpi val="0"/>
                        </a:ext>
                      </a:extLst>
                    </a:blip>
                    <a:stretch>
                      <a:fillRect/>
                    </a:stretch>
                  </pic:blipFill>
                  <pic:spPr>
                    <a:xfrm>
                      <a:off x="0" y="0"/>
                      <a:ext cx="3251412" cy="2010873"/>
                    </a:xfrm>
                    <a:prstGeom prst="rect">
                      <a:avLst/>
                    </a:prstGeom>
                  </pic:spPr>
                </pic:pic>
              </a:graphicData>
            </a:graphic>
          </wp:inline>
        </w:drawing>
      </w:r>
    </w:p>
    <w:p w:rsidR="38B09EDD" w:rsidP="0E10FB69" w:rsidRDefault="38B09EDD" w14:paraId="57D9637F" w14:textId="49E9FC20">
      <w:pPr>
        <w:pStyle w:val="Normal"/>
        <w:spacing w:line="240" w:lineRule="auto"/>
        <w:jc w:val="center"/>
        <w:rPr>
          <w:b w:val="0"/>
          <w:bCs w:val="0"/>
          <w:sz w:val="20"/>
          <w:szCs w:val="20"/>
        </w:rPr>
      </w:pPr>
      <w:r w:rsidRPr="0E10FB69" w:rsidR="38B09EDD">
        <w:rPr>
          <w:b w:val="1"/>
          <w:bCs w:val="1"/>
          <w:sz w:val="20"/>
          <w:szCs w:val="20"/>
        </w:rPr>
        <w:t>Table 1.</w:t>
      </w:r>
      <w:r w:rsidRPr="0E10FB69" w:rsidR="1E69A7DA">
        <w:rPr>
          <w:b w:val="1"/>
          <w:bCs w:val="1"/>
          <w:sz w:val="20"/>
          <w:szCs w:val="20"/>
        </w:rPr>
        <w:t xml:space="preserve"> Example data obtainable from NTDB.</w:t>
      </w:r>
      <w:r w:rsidRPr="0E10FB69" w:rsidR="1E69A7DA">
        <w:rPr>
          <w:b w:val="0"/>
          <w:bCs w:val="0"/>
          <w:sz w:val="20"/>
          <w:szCs w:val="20"/>
        </w:rPr>
        <w:t xml:space="preserve"> NTDB has an online data dictionary that can be referenc</w:t>
      </w:r>
      <w:r w:rsidRPr="0E10FB69" w:rsidR="1235073F">
        <w:rPr>
          <w:b w:val="0"/>
          <w:bCs w:val="0"/>
          <w:sz w:val="20"/>
          <w:szCs w:val="20"/>
        </w:rPr>
        <w:t xml:space="preserve">ed for </w:t>
      </w:r>
      <w:r w:rsidRPr="0E10FB69" w:rsidR="1235073F">
        <w:rPr>
          <w:b w:val="0"/>
          <w:bCs w:val="0"/>
          <w:sz w:val="20"/>
          <w:szCs w:val="20"/>
        </w:rPr>
        <w:t>determining</w:t>
      </w:r>
      <w:r w:rsidRPr="0E10FB69" w:rsidR="1235073F">
        <w:rPr>
          <w:b w:val="0"/>
          <w:bCs w:val="0"/>
          <w:sz w:val="20"/>
          <w:szCs w:val="20"/>
        </w:rPr>
        <w:t xml:space="preserve"> potentially available data features available for each case along with their codifications. This table is mock data generated using packa</w:t>
      </w:r>
      <w:r w:rsidRPr="0E10FB69" w:rsidR="23CF0A58">
        <w:rPr>
          <w:b w:val="0"/>
          <w:bCs w:val="0"/>
          <w:sz w:val="20"/>
          <w:szCs w:val="20"/>
        </w:rPr>
        <w:t>ges from Python 3.</w:t>
      </w:r>
    </w:p>
    <w:p w:rsidR="7946FAE1" w:rsidP="0E10FB69" w:rsidRDefault="7946FAE1" w14:paraId="7CB8103C" w14:textId="171C6B45">
      <w:pPr>
        <w:pStyle w:val="Normal"/>
        <w:spacing w:line="240" w:lineRule="auto"/>
        <w:rPr>
          <w:sz w:val="20"/>
          <w:szCs w:val="20"/>
        </w:rPr>
      </w:pPr>
      <w:r w:rsidRPr="0E10FB69" w:rsidR="7946FAE1">
        <w:rPr>
          <w:sz w:val="20"/>
          <w:szCs w:val="20"/>
        </w:rPr>
        <w:t xml:space="preserve">Next, overall mortality and MOI will be </w:t>
      </w:r>
      <w:r w:rsidRPr="0E10FB69" w:rsidR="7946FAE1">
        <w:rPr>
          <w:sz w:val="20"/>
          <w:szCs w:val="20"/>
        </w:rPr>
        <w:t>determined</w:t>
      </w:r>
      <w:r w:rsidRPr="0E10FB69" w:rsidR="7946FAE1">
        <w:rPr>
          <w:sz w:val="20"/>
          <w:szCs w:val="20"/>
        </w:rPr>
        <w:t xml:space="preserve"> by age placed into 10-year bins (i.e., ages 51-60 etc., see Figure 2.). Statistical analysis will be performed to compare these age-specific mortality rates to overall mortality rates. Several methods for </w:t>
      </w:r>
      <w:r w:rsidRPr="0E10FB69" w:rsidR="7946FAE1">
        <w:rPr>
          <w:sz w:val="20"/>
          <w:szCs w:val="20"/>
        </w:rPr>
        <w:t>establishing</w:t>
      </w:r>
      <w:r w:rsidRPr="0E10FB69" w:rsidR="7946FAE1">
        <w:rPr>
          <w:sz w:val="20"/>
          <w:szCs w:val="20"/>
        </w:rPr>
        <w:t xml:space="preserve"> the age cut-off for which RT will be contraindicated will be explored. Proposed methods of establishing this threshold include but are not limited to choosing a mortality rate manually (least useful), determining what age group begins to show statistically significant deviation from general mortality rates, determining rates of change in mortality across age groups, or performing a regression analysis that minimizes mortality below threshold while simultaneously minimizing denying candidates for RT that would benefit from the procedure above that age range.</w:t>
      </w:r>
    </w:p>
    <w:p w:rsidR="3535AA76" w:rsidP="0E10FB69" w:rsidRDefault="3535AA76" w14:paraId="379EA34A" w14:textId="588F1AF0">
      <w:pPr>
        <w:pStyle w:val="Normal"/>
        <w:spacing w:line="240" w:lineRule="auto"/>
        <w:rPr>
          <w:sz w:val="20"/>
          <w:szCs w:val="20"/>
        </w:rPr>
      </w:pPr>
      <w:r w:rsidRPr="0E10FB69" w:rsidR="3535AA76">
        <w:rPr>
          <w:sz w:val="20"/>
          <w:szCs w:val="20"/>
        </w:rPr>
        <w:t xml:space="preserve">There are </w:t>
      </w:r>
      <w:r w:rsidRPr="0E10FB69" w:rsidR="3535AA76">
        <w:rPr>
          <w:sz w:val="20"/>
          <w:szCs w:val="20"/>
        </w:rPr>
        <w:t>numerous</w:t>
      </w:r>
      <w:r w:rsidRPr="0E10FB69" w:rsidR="3535AA76">
        <w:rPr>
          <w:sz w:val="20"/>
          <w:szCs w:val="20"/>
        </w:rPr>
        <w:t xml:space="preserve"> statistical methods that can be used to </w:t>
      </w:r>
      <w:r w:rsidRPr="0E10FB69" w:rsidR="3535AA76">
        <w:rPr>
          <w:sz w:val="20"/>
          <w:szCs w:val="20"/>
        </w:rPr>
        <w:t>determine</w:t>
      </w:r>
      <w:r w:rsidRPr="0E10FB69" w:rsidR="3535AA76">
        <w:rPr>
          <w:sz w:val="20"/>
          <w:szCs w:val="20"/>
        </w:rPr>
        <w:t xml:space="preserve"> a statistical threshold. A manual threshold can be set by </w:t>
      </w:r>
      <w:r w:rsidRPr="0E10FB69" w:rsidR="3535AA76">
        <w:rPr>
          <w:sz w:val="20"/>
          <w:szCs w:val="20"/>
        </w:rPr>
        <w:t>determining</w:t>
      </w:r>
      <w:r w:rsidRPr="0E10FB69" w:rsidR="3535AA76">
        <w:rPr>
          <w:sz w:val="20"/>
          <w:szCs w:val="20"/>
        </w:rPr>
        <w:t xml:space="preserve"> a mortality rate for which the value is </w:t>
      </w:r>
      <w:r w:rsidRPr="0E10FB69" w:rsidR="3535AA76">
        <w:rPr>
          <w:sz w:val="20"/>
          <w:szCs w:val="20"/>
        </w:rPr>
        <w:t>deemed</w:t>
      </w:r>
      <w:r w:rsidRPr="0E10FB69" w:rsidR="3535AA76">
        <w:rPr>
          <w:sz w:val="20"/>
          <w:szCs w:val="20"/>
        </w:rPr>
        <w:t xml:space="preserve"> too high (for example, </w:t>
      </w:r>
      <w:r w:rsidRPr="0E10FB69" w:rsidR="3535AA76">
        <w:rPr>
          <w:sz w:val="20"/>
          <w:szCs w:val="20"/>
        </w:rPr>
        <w:t>stating</w:t>
      </w:r>
      <w:r w:rsidRPr="0E10FB69" w:rsidR="3535AA76">
        <w:rPr>
          <w:sz w:val="20"/>
          <w:szCs w:val="20"/>
        </w:rPr>
        <w:t xml:space="preserve"> that a mortality rate exceeding 70% is unacceptable). </w:t>
      </w:r>
      <w:bookmarkStart w:name="_Int_lcVGoHA1" w:id="1698503454"/>
      <w:r w:rsidRPr="0E10FB69" w:rsidR="3535AA76">
        <w:rPr>
          <w:sz w:val="20"/>
          <w:szCs w:val="20"/>
        </w:rPr>
        <w:t>This method does not utilize any information about the dataset and is left to the designer of the study to set it and as a result is not a very robust method.</w:t>
      </w:r>
      <w:bookmarkEnd w:id="1698503454"/>
      <w:r w:rsidRPr="0E10FB69" w:rsidR="3535AA76">
        <w:rPr>
          <w:sz w:val="20"/>
          <w:szCs w:val="20"/>
        </w:rPr>
        <w:t xml:space="preserve"> AUROC score could be used to test </w:t>
      </w:r>
      <w:r w:rsidRPr="0E10FB69" w:rsidR="3535AA76">
        <w:rPr>
          <w:sz w:val="20"/>
          <w:szCs w:val="20"/>
        </w:rPr>
        <w:t>numerous</w:t>
      </w:r>
      <w:r w:rsidRPr="0E10FB69" w:rsidR="3535AA76">
        <w:rPr>
          <w:sz w:val="20"/>
          <w:szCs w:val="20"/>
        </w:rPr>
        <w:t xml:space="preserve"> thresholds and then the threshold that maximizes this score can be selected. This is a valuable method as it incorporates the rates of true and false positives to </w:t>
      </w:r>
      <w:r w:rsidRPr="0E10FB69" w:rsidR="3535AA76">
        <w:rPr>
          <w:sz w:val="20"/>
          <w:szCs w:val="20"/>
        </w:rPr>
        <w:t>establish</w:t>
      </w:r>
      <w:r w:rsidRPr="0E10FB69" w:rsidR="3535AA76">
        <w:rPr>
          <w:sz w:val="20"/>
          <w:szCs w:val="20"/>
        </w:rPr>
        <w:t xml:space="preserve"> the ideal threshold. Lastly, a very straightforward and statistically driven method is using the mean + 2SD which is equivalent to the 97.5 percentile (Figure 3.). This method is practical; however, it can only ever </w:t>
      </w:r>
      <w:r w:rsidRPr="0E10FB69" w:rsidR="3535AA76">
        <w:rPr>
          <w:sz w:val="20"/>
          <w:szCs w:val="20"/>
        </w:rPr>
        <w:t>deem</w:t>
      </w:r>
      <w:r w:rsidRPr="0E10FB69" w:rsidR="3535AA76">
        <w:rPr>
          <w:sz w:val="20"/>
          <w:szCs w:val="20"/>
        </w:rPr>
        <w:t xml:space="preserve"> 2.5% of patients as contraindicated for the procedure. This method would therefore handle mortality rates at the upper extreme of the distribution, however, </w:t>
      </w:r>
      <w:bookmarkStart w:name="_Int_OGyTJ70M" w:id="1275342593"/>
      <w:r w:rsidRPr="0E10FB69" w:rsidR="3535AA76">
        <w:rPr>
          <w:sz w:val="20"/>
          <w:szCs w:val="20"/>
        </w:rPr>
        <w:t>relatively high</w:t>
      </w:r>
      <w:bookmarkEnd w:id="1275342593"/>
      <w:r w:rsidRPr="0E10FB69" w:rsidR="3535AA76">
        <w:rPr>
          <w:sz w:val="20"/>
          <w:szCs w:val="20"/>
        </w:rPr>
        <w:t xml:space="preserve"> mortality rates may still lie below this threshold</w:t>
      </w:r>
      <w:bookmarkStart w:name="_Int_bIEViP35" w:id="1841047518"/>
      <w:r w:rsidRPr="0E10FB69" w:rsidR="3535AA76">
        <w:rPr>
          <w:sz w:val="20"/>
          <w:szCs w:val="20"/>
        </w:rPr>
        <w:t xml:space="preserve">.  </w:t>
      </w:r>
      <w:bookmarkEnd w:id="1841047518"/>
    </w:p>
    <w:p w:rsidR="1FA097E2" w:rsidP="0E10FB69" w:rsidRDefault="1FA097E2" w14:paraId="0880165E" w14:textId="3330F8AF">
      <w:pPr>
        <w:pStyle w:val="Normal"/>
        <w:jc w:val="center"/>
      </w:pPr>
      <w:r w:rsidR="1FA097E2">
        <w:drawing>
          <wp:inline wp14:editId="0140B5D7" wp14:anchorId="18F604D6">
            <wp:extent cx="4133850" cy="4030504"/>
            <wp:effectExtent l="0" t="0" r="0" b="0"/>
            <wp:docPr id="862279622" name="" title=""/>
            <wp:cNvGraphicFramePr>
              <a:graphicFrameLocks noChangeAspect="1"/>
            </wp:cNvGraphicFramePr>
            <a:graphic>
              <a:graphicData uri="http://schemas.openxmlformats.org/drawingml/2006/picture">
                <pic:pic>
                  <pic:nvPicPr>
                    <pic:cNvPr id="0" name=""/>
                    <pic:cNvPicPr/>
                  </pic:nvPicPr>
                  <pic:blipFill>
                    <a:blip r:embed="R50db7323929146ca">
                      <a:extLst>
                        <a:ext xmlns:a="http://schemas.openxmlformats.org/drawingml/2006/main" uri="{28A0092B-C50C-407E-A947-70E740481C1C}">
                          <a14:useLocalDpi val="0"/>
                        </a:ext>
                      </a:extLst>
                    </a:blip>
                    <a:stretch>
                      <a:fillRect/>
                    </a:stretch>
                  </pic:blipFill>
                  <pic:spPr>
                    <a:xfrm>
                      <a:off x="0" y="0"/>
                      <a:ext cx="4133850" cy="4030504"/>
                    </a:xfrm>
                    <a:prstGeom prst="rect">
                      <a:avLst/>
                    </a:prstGeom>
                  </pic:spPr>
                </pic:pic>
              </a:graphicData>
            </a:graphic>
          </wp:inline>
        </w:drawing>
      </w:r>
    </w:p>
    <w:p w:rsidR="1C458882" w:rsidP="0E10FB69" w:rsidRDefault="1C458882" w14:paraId="70C26A2E" w14:textId="7EEE1641">
      <w:pPr>
        <w:pStyle w:val="Normal"/>
        <w:spacing w:line="240" w:lineRule="auto"/>
        <w:jc w:val="center"/>
        <w:rPr>
          <w:b w:val="0"/>
          <w:bCs w:val="0"/>
          <w:sz w:val="20"/>
          <w:szCs w:val="20"/>
        </w:rPr>
      </w:pPr>
      <w:r w:rsidRPr="0E10FB69" w:rsidR="1C458882">
        <w:rPr>
          <w:b w:val="1"/>
          <w:bCs w:val="1"/>
          <w:sz w:val="20"/>
          <w:szCs w:val="20"/>
        </w:rPr>
        <w:t>Figure 1.</w:t>
      </w:r>
      <w:r w:rsidRPr="0E10FB69" w:rsidR="2621B9F5">
        <w:rPr>
          <w:b w:val="1"/>
          <w:bCs w:val="1"/>
          <w:sz w:val="20"/>
          <w:szCs w:val="20"/>
        </w:rPr>
        <w:t xml:space="preserve"> Example data exploration of NTDB. </w:t>
      </w:r>
      <w:r w:rsidRPr="0E10FB69" w:rsidR="2621B9F5">
        <w:rPr>
          <w:b w:val="0"/>
          <w:bCs w:val="0"/>
          <w:sz w:val="20"/>
          <w:szCs w:val="20"/>
        </w:rPr>
        <w:t xml:space="preserve">Mock data was generated using Python 3 packages as </w:t>
      </w:r>
      <w:r w:rsidRPr="0E10FB69" w:rsidR="2621B9F5">
        <w:rPr>
          <w:b w:val="0"/>
          <w:bCs w:val="0"/>
          <w:sz w:val="20"/>
          <w:szCs w:val="20"/>
        </w:rPr>
        <w:t>stated</w:t>
      </w:r>
      <w:r w:rsidRPr="0E10FB69" w:rsidR="2621B9F5">
        <w:rPr>
          <w:b w:val="0"/>
          <w:bCs w:val="0"/>
          <w:sz w:val="20"/>
          <w:szCs w:val="20"/>
        </w:rPr>
        <w:t xml:space="preserve"> above. Diagonal shows</w:t>
      </w:r>
      <w:r w:rsidRPr="0E10FB69" w:rsidR="3D53FA70">
        <w:rPr>
          <w:b w:val="0"/>
          <w:bCs w:val="0"/>
          <w:sz w:val="20"/>
          <w:szCs w:val="20"/>
        </w:rPr>
        <w:t xml:space="preserve"> </w:t>
      </w:r>
      <w:r w:rsidRPr="0E10FB69" w:rsidR="06E1470E">
        <w:rPr>
          <w:b w:val="0"/>
          <w:bCs w:val="0"/>
          <w:sz w:val="20"/>
          <w:szCs w:val="20"/>
        </w:rPr>
        <w:t xml:space="preserve">a histogram </w:t>
      </w:r>
      <w:r w:rsidRPr="0E10FB69" w:rsidR="741F4B7D">
        <w:rPr>
          <w:b w:val="0"/>
          <w:bCs w:val="0"/>
          <w:sz w:val="20"/>
          <w:szCs w:val="20"/>
        </w:rPr>
        <w:t xml:space="preserve">of potential secondary factors to explore in </w:t>
      </w:r>
      <w:r w:rsidRPr="0E10FB69" w:rsidR="57DEE6AF">
        <w:rPr>
          <w:b w:val="0"/>
          <w:bCs w:val="0"/>
          <w:sz w:val="20"/>
          <w:szCs w:val="20"/>
        </w:rPr>
        <w:t>the data</w:t>
      </w:r>
      <w:r w:rsidRPr="0E10FB69" w:rsidR="741F4B7D">
        <w:rPr>
          <w:b w:val="0"/>
          <w:bCs w:val="0"/>
          <w:sz w:val="20"/>
          <w:szCs w:val="20"/>
        </w:rPr>
        <w:t xml:space="preserve"> set. </w:t>
      </w:r>
      <w:r w:rsidRPr="0E10FB69" w:rsidR="3D53FA70">
        <w:rPr>
          <w:b w:val="0"/>
          <w:bCs w:val="0"/>
          <w:sz w:val="20"/>
          <w:szCs w:val="20"/>
        </w:rPr>
        <w:t>Below the diagonal</w:t>
      </w:r>
      <w:r w:rsidRPr="0E10FB69" w:rsidR="77F321BF">
        <w:rPr>
          <w:b w:val="0"/>
          <w:bCs w:val="0"/>
          <w:sz w:val="20"/>
          <w:szCs w:val="20"/>
        </w:rPr>
        <w:t>,</w:t>
      </w:r>
      <w:r w:rsidRPr="0E10FB69" w:rsidR="3D53FA70">
        <w:rPr>
          <w:b w:val="0"/>
          <w:bCs w:val="0"/>
          <w:sz w:val="20"/>
          <w:szCs w:val="20"/>
        </w:rPr>
        <w:t xml:space="preserve"> </w:t>
      </w:r>
      <w:r w:rsidRPr="0E10FB69" w:rsidR="4E293070">
        <w:rPr>
          <w:b w:val="0"/>
          <w:bCs w:val="0"/>
          <w:sz w:val="20"/>
          <w:szCs w:val="20"/>
        </w:rPr>
        <w:t xml:space="preserve">plots </w:t>
      </w:r>
      <w:r w:rsidRPr="0E10FB69" w:rsidR="3D53FA70">
        <w:rPr>
          <w:b w:val="0"/>
          <w:bCs w:val="0"/>
          <w:sz w:val="20"/>
          <w:szCs w:val="20"/>
        </w:rPr>
        <w:t xml:space="preserve">show </w:t>
      </w:r>
      <w:r w:rsidRPr="0E10FB69" w:rsidR="51242BBB">
        <w:rPr>
          <w:b w:val="0"/>
          <w:bCs w:val="0"/>
          <w:sz w:val="20"/>
          <w:szCs w:val="20"/>
        </w:rPr>
        <w:t>the</w:t>
      </w:r>
      <w:r w:rsidRPr="0E10FB69" w:rsidR="3D53FA70">
        <w:rPr>
          <w:b w:val="0"/>
          <w:bCs w:val="0"/>
          <w:sz w:val="20"/>
          <w:szCs w:val="20"/>
        </w:rPr>
        <w:t xml:space="preserve"> relationships between two data features (for example</w:t>
      </w:r>
      <w:r w:rsidRPr="0E10FB69" w:rsidR="46628D57">
        <w:rPr>
          <w:b w:val="0"/>
          <w:bCs w:val="0"/>
          <w:sz w:val="20"/>
          <w:szCs w:val="20"/>
        </w:rPr>
        <w:t xml:space="preserve"> Age vs. SBP). </w:t>
      </w:r>
      <w:r w:rsidRPr="0E10FB69" w:rsidR="0DE401A4">
        <w:rPr>
          <w:b w:val="0"/>
          <w:bCs w:val="0"/>
          <w:sz w:val="20"/>
          <w:szCs w:val="20"/>
        </w:rPr>
        <w:t>Deceased = 1 and survived = 0 for mortality.</w:t>
      </w:r>
    </w:p>
    <w:p w:rsidR="253C4F09" w:rsidP="0E10FB69" w:rsidRDefault="253C4F09" w14:paraId="173FB1E5" w14:textId="4331397A">
      <w:pPr>
        <w:pStyle w:val="Normal"/>
        <w:spacing w:line="240" w:lineRule="auto"/>
        <w:rPr>
          <w:sz w:val="20"/>
          <w:szCs w:val="20"/>
        </w:rPr>
      </w:pPr>
      <w:r w:rsidRPr="0E10FB69" w:rsidR="253C4F09">
        <w:rPr>
          <w:sz w:val="20"/>
          <w:szCs w:val="20"/>
        </w:rPr>
        <w:t>To evaluate this method, the mortality of patients below age threshold will be statistically compared to mortality rates of overall population of cases that underwent RT. Additionally, the mortality above the age threshold will be calculated and statistically compared to population that underwent RT. With the given hypothesis that mortality of RT increases with age and that our established age threshold is valid, we would expect to see an improvement in mortality from RT in cases where the patient is in an age group below the threshold as well as a statistical increase in mortality in the age groups above our proposed age threshold.</w:t>
      </w:r>
    </w:p>
    <w:p w:rsidR="253C4F09" w:rsidP="0E10FB69" w:rsidRDefault="253C4F09" w14:paraId="52E0EE8E" w14:textId="280C3D20">
      <w:pPr>
        <w:pStyle w:val="Normal"/>
        <w:spacing w:line="240" w:lineRule="auto"/>
        <w:rPr>
          <w:sz w:val="20"/>
          <w:szCs w:val="20"/>
        </w:rPr>
      </w:pPr>
      <w:r w:rsidRPr="0E10FB69" w:rsidR="253C4F09">
        <w:rPr>
          <w:sz w:val="20"/>
          <w:szCs w:val="20"/>
        </w:rPr>
        <w:t xml:space="preserve">In future works, further relationships between </w:t>
      </w:r>
      <w:r w:rsidRPr="0E10FB69" w:rsidR="253C4F09">
        <w:rPr>
          <w:sz w:val="20"/>
          <w:szCs w:val="20"/>
        </w:rPr>
        <w:t>additional</w:t>
      </w:r>
      <w:r w:rsidRPr="0E10FB69" w:rsidR="253C4F09">
        <w:rPr>
          <w:sz w:val="20"/>
          <w:szCs w:val="20"/>
        </w:rPr>
        <w:t xml:space="preserve"> factors such as vital signs and MOI could be incorporated into a logistic regression machine learning model. This could be used to further </w:t>
      </w:r>
      <w:r w:rsidRPr="0E10FB69" w:rsidR="253C4F09">
        <w:rPr>
          <w:sz w:val="20"/>
          <w:szCs w:val="20"/>
        </w:rPr>
        <w:t>validate</w:t>
      </w:r>
      <w:r w:rsidRPr="0E10FB69" w:rsidR="253C4F09">
        <w:rPr>
          <w:sz w:val="20"/>
          <w:szCs w:val="20"/>
        </w:rPr>
        <w:t xml:space="preserve"> the currently in place guidelines proposed by the EAST and WTA, in addition to discovering new relationships that may guide the creation of new guidelines and criteria. Full implementation of this could eventually be used to guide physician decision making in the field when given adequate patient information. Work of this caliber would be beyond the scope of this project but could be a plausible direction to pursue as the availability of big data algorithms improves and curated databases such as the NTDB continue to increase in size and quality.</w:t>
      </w:r>
    </w:p>
    <w:p w:rsidR="0E10FB69" w:rsidP="0E10FB69" w:rsidRDefault="0E10FB69" w14:paraId="5536B2F5" w14:textId="3AE7777E">
      <w:pPr>
        <w:pStyle w:val="Normal"/>
        <w:jc w:val="center"/>
        <w:rPr>
          <w:b w:val="0"/>
          <w:bCs w:val="0"/>
          <w:sz w:val="20"/>
          <w:szCs w:val="20"/>
        </w:rPr>
      </w:pPr>
    </w:p>
    <w:p w:rsidR="2BBAA7A2" w:rsidP="0E10FB69" w:rsidRDefault="2BBAA7A2" w14:paraId="6119687D" w14:textId="636EE355">
      <w:pPr>
        <w:pStyle w:val="Normal"/>
        <w:jc w:val="center"/>
      </w:pPr>
      <w:r w:rsidR="2BBAA7A2">
        <w:drawing>
          <wp:inline wp14:editId="193FFFD0" wp14:anchorId="72AD8CB7">
            <wp:extent cx="3924300" cy="2861469"/>
            <wp:effectExtent l="0" t="0" r="0" b="0"/>
            <wp:docPr id="1939495915" name="" title=""/>
            <wp:cNvGraphicFramePr>
              <a:graphicFrameLocks noChangeAspect="1"/>
            </wp:cNvGraphicFramePr>
            <a:graphic>
              <a:graphicData uri="http://schemas.openxmlformats.org/drawingml/2006/picture">
                <pic:pic>
                  <pic:nvPicPr>
                    <pic:cNvPr id="0" name=""/>
                    <pic:cNvPicPr/>
                  </pic:nvPicPr>
                  <pic:blipFill>
                    <a:blip r:embed="Racf0f18036f748a1">
                      <a:extLst>
                        <a:ext xmlns:a="http://schemas.openxmlformats.org/drawingml/2006/main" uri="{28A0092B-C50C-407E-A947-70E740481C1C}">
                          <a14:useLocalDpi val="0"/>
                        </a:ext>
                      </a:extLst>
                    </a:blip>
                    <a:stretch>
                      <a:fillRect/>
                    </a:stretch>
                  </pic:blipFill>
                  <pic:spPr>
                    <a:xfrm>
                      <a:off x="0" y="0"/>
                      <a:ext cx="3924300" cy="2861469"/>
                    </a:xfrm>
                    <a:prstGeom prst="rect">
                      <a:avLst/>
                    </a:prstGeom>
                  </pic:spPr>
                </pic:pic>
              </a:graphicData>
            </a:graphic>
          </wp:inline>
        </w:drawing>
      </w:r>
    </w:p>
    <w:p w:rsidR="0449E49B" w:rsidP="0E10FB69" w:rsidRDefault="0449E49B" w14:paraId="1DF2869B" w14:textId="221BB8D9">
      <w:pPr>
        <w:pStyle w:val="Normal"/>
        <w:spacing w:line="240" w:lineRule="auto"/>
        <w:jc w:val="center"/>
        <w:rPr>
          <w:b w:val="0"/>
          <w:bCs w:val="0"/>
          <w:sz w:val="20"/>
          <w:szCs w:val="20"/>
        </w:rPr>
      </w:pPr>
      <w:r w:rsidRPr="0E10FB69" w:rsidR="0449E49B">
        <w:rPr>
          <w:b w:val="1"/>
          <w:bCs w:val="1"/>
          <w:sz w:val="20"/>
          <w:szCs w:val="20"/>
        </w:rPr>
        <w:t xml:space="preserve">Figure 2. Example of number of cases in each age bin. </w:t>
      </w:r>
      <w:r w:rsidRPr="0E10FB69" w:rsidR="0449E49B">
        <w:rPr>
          <w:b w:val="0"/>
          <w:bCs w:val="0"/>
          <w:sz w:val="20"/>
          <w:szCs w:val="20"/>
        </w:rPr>
        <w:t xml:space="preserve">Bins were made using </w:t>
      </w:r>
      <w:r w:rsidRPr="0E10FB69" w:rsidR="6A02ED97">
        <w:rPr>
          <w:b w:val="0"/>
          <w:bCs w:val="0"/>
          <w:sz w:val="20"/>
          <w:szCs w:val="20"/>
        </w:rPr>
        <w:t>10-year</w:t>
      </w:r>
      <w:r w:rsidRPr="0E10FB69" w:rsidR="0449E49B">
        <w:rPr>
          <w:b w:val="0"/>
          <w:bCs w:val="0"/>
          <w:sz w:val="20"/>
          <w:szCs w:val="20"/>
        </w:rPr>
        <w:t xml:space="preserve"> intervals</w:t>
      </w:r>
      <w:r w:rsidRPr="0E10FB69" w:rsidR="16F975A5">
        <w:rPr>
          <w:b w:val="0"/>
          <w:bCs w:val="0"/>
          <w:sz w:val="20"/>
          <w:szCs w:val="20"/>
        </w:rPr>
        <w:t xml:space="preserve">. Simulated data generated using Python 3 packages. </w:t>
      </w:r>
    </w:p>
    <w:p w:rsidR="712F64DD" w:rsidP="0E10FB69" w:rsidRDefault="712F64DD" w14:paraId="06134122" w14:textId="75DF8F3C">
      <w:pPr>
        <w:pStyle w:val="Normal"/>
        <w:jc w:val="center"/>
      </w:pPr>
      <w:r w:rsidR="712F64DD">
        <w:drawing>
          <wp:inline wp14:editId="0D5C2FD4" wp14:anchorId="0C1F200D">
            <wp:extent cx="4572000" cy="3409950"/>
            <wp:effectExtent l="0" t="0" r="0" b="0"/>
            <wp:docPr id="608230422" name="" title=""/>
            <wp:cNvGraphicFramePr>
              <a:graphicFrameLocks noChangeAspect="1"/>
            </wp:cNvGraphicFramePr>
            <a:graphic>
              <a:graphicData uri="http://schemas.openxmlformats.org/drawingml/2006/picture">
                <pic:pic>
                  <pic:nvPicPr>
                    <pic:cNvPr id="0" name=""/>
                    <pic:cNvPicPr/>
                  </pic:nvPicPr>
                  <pic:blipFill>
                    <a:blip r:embed="R4906ccc5a87a4db8">
                      <a:extLst>
                        <a:ext xmlns:a="http://schemas.openxmlformats.org/drawingml/2006/main" uri="{28A0092B-C50C-407E-A947-70E740481C1C}">
                          <a14:useLocalDpi val="0"/>
                        </a:ext>
                      </a:extLst>
                    </a:blip>
                    <a:stretch>
                      <a:fillRect/>
                    </a:stretch>
                  </pic:blipFill>
                  <pic:spPr>
                    <a:xfrm>
                      <a:off x="0" y="0"/>
                      <a:ext cx="4572000" cy="3409950"/>
                    </a:xfrm>
                    <a:prstGeom prst="rect">
                      <a:avLst/>
                    </a:prstGeom>
                  </pic:spPr>
                </pic:pic>
              </a:graphicData>
            </a:graphic>
          </wp:inline>
        </w:drawing>
      </w:r>
    </w:p>
    <w:p w:rsidR="5EC9AF35" w:rsidP="0E10FB69" w:rsidRDefault="5EC9AF35" w14:paraId="2A18C9F1" w14:textId="1A23DED1">
      <w:pPr>
        <w:pStyle w:val="Normal"/>
        <w:spacing w:line="240" w:lineRule="auto"/>
        <w:jc w:val="center"/>
        <w:rPr>
          <w:b w:val="0"/>
          <w:bCs w:val="0"/>
          <w:sz w:val="20"/>
          <w:szCs w:val="20"/>
        </w:rPr>
      </w:pPr>
      <w:r w:rsidRPr="0E10FB69" w:rsidR="5EC9AF35">
        <w:rPr>
          <w:b w:val="1"/>
          <w:bCs w:val="1"/>
          <w:sz w:val="20"/>
          <w:szCs w:val="20"/>
        </w:rPr>
        <w:t>Figure 3. Age ranges vs. Average Mortality with a threshold of mean mortality + 2</w:t>
      </w:r>
      <w:r w:rsidRPr="0E10FB69" w:rsidR="7C3CD4DD">
        <w:rPr>
          <w:b w:val="1"/>
          <w:bCs w:val="1"/>
          <w:sz w:val="20"/>
          <w:szCs w:val="20"/>
        </w:rPr>
        <w:t>SD.</w:t>
      </w:r>
      <w:r w:rsidRPr="0E10FB69" w:rsidR="7C3CD4DD">
        <w:rPr>
          <w:b w:val="0"/>
          <w:bCs w:val="0"/>
          <w:sz w:val="20"/>
          <w:szCs w:val="20"/>
        </w:rPr>
        <w:t xml:space="preserve"> Simulated figure data and threshold generated and calculated using Python 3 packages. </w:t>
      </w:r>
    </w:p>
    <w:p w:rsidR="1E5417A1" w:rsidP="0E10FB69" w:rsidRDefault="1E5417A1" w14:paraId="2579A6D2" w14:textId="06D1DDEB">
      <w:pPr>
        <w:pStyle w:val="Normal"/>
        <w:jc w:val="center"/>
        <w:rPr>
          <w:sz w:val="20"/>
          <w:szCs w:val="20"/>
        </w:rPr>
      </w:pPr>
      <w:r w:rsidRPr="0E10FB69" w:rsidR="1E5417A1">
        <w:rPr>
          <w:sz w:val="20"/>
          <w:szCs w:val="20"/>
        </w:rPr>
        <w:t xml:space="preserve"> </w:t>
      </w:r>
      <w:r w:rsidRPr="0E10FB69" w:rsidR="1E5417A1">
        <w:rPr>
          <w:sz w:val="20"/>
          <w:szCs w:val="20"/>
        </w:rPr>
        <w:t xml:space="preserve"> </w:t>
      </w:r>
    </w:p>
    <w:p w:rsidR="0E10FB69" w:rsidP="0E10FB69" w:rsidRDefault="0E10FB69" w14:paraId="41E69103" w14:textId="76AA8581">
      <w:pPr>
        <w:pStyle w:val="Normal"/>
      </w:pPr>
      <w:r>
        <w:br w:type="page"/>
      </w:r>
    </w:p>
    <w:p w:rsidR="1E5417A1" w:rsidP="0E10FB69" w:rsidRDefault="1E5417A1" w14:paraId="22A7CC6C" w14:textId="2AF4DA03">
      <w:pPr>
        <w:pStyle w:val="Heading1"/>
      </w:pPr>
      <w:r w:rsidR="1E5417A1">
        <w:rPr/>
        <w:t>References</w:t>
      </w:r>
    </w:p>
    <w:p w:rsidR="7704290A" w:rsidP="0E10FB69" w:rsidRDefault="7704290A" w14:paraId="326623BA" w14:textId="742FAB37">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Boddaert, G., et al. “Resuscitation Thoracotomy.” </w:t>
      </w:r>
      <w:r w:rsidRPr="0E10FB69" w:rsidR="7704290A">
        <w:rPr>
          <w:rFonts w:ascii="Times New Roman" w:hAnsi="Times New Roman" w:eastAsia="Times New Roman" w:cs="Times New Roman"/>
          <w:i w:val="1"/>
          <w:iCs w:val="1"/>
          <w:noProof w:val="0"/>
          <w:sz w:val="22"/>
          <w:szCs w:val="22"/>
          <w:lang w:val="en-US"/>
        </w:rPr>
        <w:t>Journal of Visceral Surgery</w:t>
      </w:r>
      <w:r w:rsidRPr="0E10FB69" w:rsidR="7704290A">
        <w:rPr>
          <w:rFonts w:ascii="Times New Roman" w:hAnsi="Times New Roman" w:eastAsia="Times New Roman" w:cs="Times New Roman"/>
          <w:noProof w:val="0"/>
          <w:sz w:val="22"/>
          <w:szCs w:val="22"/>
          <w:lang w:val="en-US"/>
        </w:rPr>
        <w:t xml:space="preserve">, vol. 154, Dec. 2017, pp. S35–S41, </w:t>
      </w:r>
      <w:hyperlink r:id="R0b1da4c995ac4ab9">
        <w:r w:rsidRPr="0E10FB69" w:rsidR="7704290A">
          <w:rPr>
            <w:rStyle w:val="Hyperlink"/>
            <w:noProof w:val="0"/>
            <w:sz w:val="22"/>
            <w:szCs w:val="22"/>
            <w:lang w:val="en-US"/>
          </w:rPr>
          <w:t>https://doi.org/10.1016/j.jviscsurg.2017.07.003</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0F9B980F" w14:textId="64E9BBA8">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Breyer, M.D., Robert H. “Thoracotomy in Patients over Age Seventy Years.” </w:t>
      </w:r>
      <w:r w:rsidRPr="0E10FB69" w:rsidR="7704290A">
        <w:rPr>
          <w:rFonts w:ascii="Times New Roman" w:hAnsi="Times New Roman" w:eastAsia="Times New Roman" w:cs="Times New Roman"/>
          <w:i w:val="1"/>
          <w:iCs w:val="1"/>
          <w:noProof w:val="0"/>
          <w:sz w:val="22"/>
          <w:szCs w:val="22"/>
          <w:lang w:val="en-US"/>
        </w:rPr>
        <w:t>Journal of Thoracic and Cardiovascular Surgery</w:t>
      </w:r>
      <w:r w:rsidRPr="0E10FB69" w:rsidR="7704290A">
        <w:rPr>
          <w:rFonts w:ascii="Times New Roman" w:hAnsi="Times New Roman" w:eastAsia="Times New Roman" w:cs="Times New Roman"/>
          <w:noProof w:val="0"/>
          <w:sz w:val="22"/>
          <w:szCs w:val="22"/>
          <w:lang w:val="en-US"/>
        </w:rPr>
        <w:t xml:space="preserve">, vol. 81, no. 2, Feb. 1981, pp. 187–193, </w:t>
      </w:r>
      <w:hyperlink>
        <w:r w:rsidRPr="0E10FB69" w:rsidR="7704290A">
          <w:rPr>
            <w:rStyle w:val="Hyperlink"/>
            <w:noProof w:val="0"/>
            <w:sz w:val="22"/>
            <w:szCs w:val="22"/>
            <w:lang w:val="en-US"/>
          </w:rPr>
          <w:t>www.sciencedirect.com/science/article/pii/S0022522319376251</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7138B49E" w14:textId="14ADF84B">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Cannon, Jeremy W., et al. “Damage Control Resuscitation in Patients with Severe Traumatic Hemorrhage.” </w:t>
      </w:r>
      <w:r w:rsidRPr="0E10FB69" w:rsidR="7704290A">
        <w:rPr>
          <w:rFonts w:ascii="Times New Roman" w:hAnsi="Times New Roman" w:eastAsia="Times New Roman" w:cs="Times New Roman"/>
          <w:i w:val="1"/>
          <w:iCs w:val="1"/>
          <w:noProof w:val="0"/>
          <w:sz w:val="22"/>
          <w:szCs w:val="22"/>
          <w:lang w:val="en-US"/>
        </w:rPr>
        <w:t>Journal of Trauma and Acute Care Surgery</w:t>
      </w:r>
      <w:r w:rsidRPr="0E10FB69" w:rsidR="7704290A">
        <w:rPr>
          <w:rFonts w:ascii="Times New Roman" w:hAnsi="Times New Roman" w:eastAsia="Times New Roman" w:cs="Times New Roman"/>
          <w:noProof w:val="0"/>
          <w:sz w:val="22"/>
          <w:szCs w:val="22"/>
          <w:lang w:val="en-US"/>
        </w:rPr>
        <w:t xml:space="preserve">, vol. 82, no. 3, Mar. 2017, pp. 605–617, </w:t>
      </w:r>
      <w:hyperlink r:id="R2be97aaacb4042b5">
        <w:r w:rsidRPr="0E10FB69" w:rsidR="7704290A">
          <w:rPr>
            <w:rStyle w:val="Hyperlink"/>
            <w:noProof w:val="0"/>
            <w:sz w:val="22"/>
            <w:szCs w:val="22"/>
            <w:lang w:val="en-US"/>
          </w:rPr>
          <w:t>https://doi.org/10.1097/ta.0000000000001333</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44E8C2D8" w14:textId="11B2EE86">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Habibzadeh, Farrokh, et al. “On Determining the Most Appropriate Test Cut-off Value: The Case of Tests with Continuous Results.” </w:t>
      </w:r>
      <w:r w:rsidRPr="0E10FB69" w:rsidR="7704290A">
        <w:rPr>
          <w:rFonts w:ascii="Times New Roman" w:hAnsi="Times New Roman" w:eastAsia="Times New Roman" w:cs="Times New Roman"/>
          <w:i w:val="1"/>
          <w:iCs w:val="1"/>
          <w:noProof w:val="0"/>
          <w:sz w:val="22"/>
          <w:szCs w:val="22"/>
          <w:lang w:val="en-US"/>
        </w:rPr>
        <w:t>Biochemia</w:t>
      </w:r>
      <w:r w:rsidRPr="0E10FB69" w:rsidR="7704290A">
        <w:rPr>
          <w:rFonts w:ascii="Times New Roman" w:hAnsi="Times New Roman" w:eastAsia="Times New Roman" w:cs="Times New Roman"/>
          <w:i w:val="1"/>
          <w:iCs w:val="1"/>
          <w:noProof w:val="0"/>
          <w:sz w:val="22"/>
          <w:szCs w:val="22"/>
          <w:lang w:val="en-US"/>
        </w:rPr>
        <w:t xml:space="preserve"> Medica</w:t>
      </w:r>
      <w:r w:rsidRPr="0E10FB69" w:rsidR="7704290A">
        <w:rPr>
          <w:rFonts w:ascii="Times New Roman" w:hAnsi="Times New Roman" w:eastAsia="Times New Roman" w:cs="Times New Roman"/>
          <w:noProof w:val="0"/>
          <w:sz w:val="22"/>
          <w:szCs w:val="22"/>
          <w:lang w:val="en-US"/>
        </w:rPr>
        <w:t xml:space="preserve">, vol. 26, no. 3, 2016, pp. 297–307, </w:t>
      </w:r>
      <w:hyperlink r:id="R647a03bea8944534">
        <w:r w:rsidRPr="0E10FB69" w:rsidR="7704290A">
          <w:rPr>
            <w:rStyle w:val="Hyperlink"/>
            <w:noProof w:val="0"/>
            <w:sz w:val="22"/>
            <w:szCs w:val="22"/>
            <w:lang w:val="en-US"/>
          </w:rPr>
          <w:t>https://doi.org/10.11613/bm.2016.034</w:t>
        </w:r>
      </w:hyperlink>
      <w:r w:rsidRPr="0E10FB69" w:rsidR="7704290A">
        <w:rPr>
          <w:rFonts w:ascii="Times New Roman" w:hAnsi="Times New Roman" w:eastAsia="Times New Roman" w:cs="Times New Roman"/>
          <w:noProof w:val="0"/>
          <w:sz w:val="22"/>
          <w:szCs w:val="22"/>
          <w:lang w:val="en-US"/>
        </w:rPr>
        <w:t>.</w:t>
      </w:r>
    </w:p>
    <w:p w:rsidR="7704290A" w:rsidP="0E10FB69" w:rsidRDefault="7704290A" w14:paraId="312E7347" w14:textId="682F6BBA">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Harwell, Paige A., et al. “Outcomes of Rural Trauma Patients Who Undergo Damage Control Laparotomy.” </w:t>
      </w:r>
      <w:r w:rsidRPr="0E10FB69" w:rsidR="7704290A">
        <w:rPr>
          <w:rFonts w:ascii="Times New Roman" w:hAnsi="Times New Roman" w:eastAsia="Times New Roman" w:cs="Times New Roman"/>
          <w:i w:val="1"/>
          <w:iCs w:val="1"/>
          <w:noProof w:val="0"/>
          <w:sz w:val="22"/>
          <w:szCs w:val="22"/>
          <w:lang w:val="en-US"/>
        </w:rPr>
        <w:t>The American Journal of Surgery</w:t>
      </w:r>
      <w:r w:rsidRPr="0E10FB69" w:rsidR="7704290A">
        <w:rPr>
          <w:rFonts w:ascii="Times New Roman" w:hAnsi="Times New Roman" w:eastAsia="Times New Roman" w:cs="Times New Roman"/>
          <w:noProof w:val="0"/>
          <w:sz w:val="22"/>
          <w:szCs w:val="22"/>
          <w:lang w:val="en-US"/>
        </w:rPr>
        <w:t xml:space="preserve">, vol. 218, no. 3, Sept. 2019, pp. 490–495, </w:t>
      </w:r>
      <w:hyperlink r:id="R78b206e87ecd4e7c">
        <w:r w:rsidRPr="0E10FB69" w:rsidR="7704290A">
          <w:rPr>
            <w:rStyle w:val="Hyperlink"/>
            <w:noProof w:val="0"/>
            <w:sz w:val="22"/>
            <w:szCs w:val="22"/>
            <w:lang w:val="en-US"/>
          </w:rPr>
          <w:t>https://doi.org/10.1016/j.amjsurg.2019.01.005</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53D9BA98" w14:textId="0D70F1EF">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Hashmi, Zain G., et al. “Practical Guide to Surgical Data Sets: National Trauma Data Bank (NTDB).” </w:t>
      </w:r>
      <w:r w:rsidRPr="0E10FB69" w:rsidR="7704290A">
        <w:rPr>
          <w:rFonts w:ascii="Times New Roman" w:hAnsi="Times New Roman" w:eastAsia="Times New Roman" w:cs="Times New Roman"/>
          <w:i w:val="1"/>
          <w:iCs w:val="1"/>
          <w:noProof w:val="0"/>
          <w:sz w:val="22"/>
          <w:szCs w:val="22"/>
          <w:lang w:val="en-US"/>
        </w:rPr>
        <w:t>JAMA Surgery</w:t>
      </w:r>
      <w:r w:rsidRPr="0E10FB69" w:rsidR="7704290A">
        <w:rPr>
          <w:rFonts w:ascii="Times New Roman" w:hAnsi="Times New Roman" w:eastAsia="Times New Roman" w:cs="Times New Roman"/>
          <w:noProof w:val="0"/>
          <w:sz w:val="22"/>
          <w:szCs w:val="22"/>
          <w:lang w:val="en-US"/>
        </w:rPr>
        <w:t xml:space="preserve">, vol. 153, no. 9, 1 Sept. 2018, p. 852, </w:t>
      </w:r>
      <w:hyperlink r:id="R86c70faf32ed4ecf">
        <w:r w:rsidRPr="0E10FB69" w:rsidR="7704290A">
          <w:rPr>
            <w:rStyle w:val="Hyperlink"/>
            <w:noProof w:val="0"/>
            <w:sz w:val="22"/>
            <w:szCs w:val="22"/>
            <w:lang w:val="en-US"/>
          </w:rPr>
          <w:t>https://doi.org/10.1001/jamasurg.2018.0483</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38E9600D" w14:textId="247E245C">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Mitchell, Thomas A., et al. “An 8-Year Review of Operation Enduring Freedom and Operation Iraqi Freedom Resuscitative Thoracotomies.” </w:t>
      </w:r>
      <w:r w:rsidRPr="0E10FB69" w:rsidR="7704290A">
        <w:rPr>
          <w:rFonts w:ascii="Times New Roman" w:hAnsi="Times New Roman" w:eastAsia="Times New Roman" w:cs="Times New Roman"/>
          <w:i w:val="1"/>
          <w:iCs w:val="1"/>
          <w:noProof w:val="0"/>
          <w:sz w:val="22"/>
          <w:szCs w:val="22"/>
          <w:lang w:val="en-US"/>
        </w:rPr>
        <w:t>Military Medicine</w:t>
      </w:r>
      <w:r w:rsidRPr="0E10FB69" w:rsidR="7704290A">
        <w:rPr>
          <w:rFonts w:ascii="Times New Roman" w:hAnsi="Times New Roman" w:eastAsia="Times New Roman" w:cs="Times New Roman"/>
          <w:noProof w:val="0"/>
          <w:sz w:val="22"/>
          <w:szCs w:val="22"/>
          <w:lang w:val="en-US"/>
        </w:rPr>
        <w:t xml:space="preserve">, vol. 180, no. 3S, Mar. 2015, pp. 33–36, </w:t>
      </w:r>
      <w:hyperlink r:id="Rf346b9b396cf40b9">
        <w:r w:rsidRPr="0E10FB69" w:rsidR="7704290A">
          <w:rPr>
            <w:rStyle w:val="Hyperlink"/>
            <w:noProof w:val="0"/>
            <w:sz w:val="22"/>
            <w:szCs w:val="22"/>
            <w:lang w:val="en-US"/>
          </w:rPr>
          <w:t>https://doi.org/10.7205/milmed-d-14-00440</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41D66D38" w14:textId="44925C6C">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Ottochian</w:t>
      </w:r>
      <w:r w:rsidRPr="0E10FB69" w:rsidR="7704290A">
        <w:rPr>
          <w:rFonts w:ascii="Times New Roman" w:hAnsi="Times New Roman" w:eastAsia="Times New Roman" w:cs="Times New Roman"/>
          <w:noProof w:val="0"/>
          <w:sz w:val="22"/>
          <w:szCs w:val="22"/>
          <w:lang w:val="en-US"/>
        </w:rPr>
        <w:t xml:space="preserve">, Marcus, et al. “Does Age Matter? The Relationship between Age and Mortality in Penetrating Trauma.” </w:t>
      </w:r>
      <w:r w:rsidRPr="0E10FB69" w:rsidR="7704290A">
        <w:rPr>
          <w:rFonts w:ascii="Times New Roman" w:hAnsi="Times New Roman" w:eastAsia="Times New Roman" w:cs="Times New Roman"/>
          <w:i w:val="1"/>
          <w:iCs w:val="1"/>
          <w:noProof w:val="0"/>
          <w:sz w:val="22"/>
          <w:szCs w:val="22"/>
          <w:lang w:val="en-US"/>
        </w:rPr>
        <w:t>Injury</w:t>
      </w:r>
      <w:r w:rsidRPr="0E10FB69" w:rsidR="7704290A">
        <w:rPr>
          <w:rFonts w:ascii="Times New Roman" w:hAnsi="Times New Roman" w:eastAsia="Times New Roman" w:cs="Times New Roman"/>
          <w:noProof w:val="0"/>
          <w:sz w:val="22"/>
          <w:szCs w:val="22"/>
          <w:lang w:val="en-US"/>
        </w:rPr>
        <w:t xml:space="preserve">, vol. 40, no. 4, Apr. 2009, pp. 354–357, </w:t>
      </w:r>
      <w:hyperlink r:id="R330bf1cff01041b5">
        <w:r w:rsidRPr="0E10FB69" w:rsidR="7704290A">
          <w:rPr>
            <w:rStyle w:val="Hyperlink"/>
            <w:noProof w:val="0"/>
            <w:sz w:val="22"/>
            <w:szCs w:val="22"/>
            <w:lang w:val="en-US"/>
          </w:rPr>
          <w:t>https://doi.org/10.1016/j.injury.2008.10.015</w:t>
        </w:r>
      </w:hyperlink>
      <w:r w:rsidRPr="0E10FB69" w:rsidR="7704290A">
        <w:rPr>
          <w:rFonts w:ascii="Times New Roman" w:hAnsi="Times New Roman" w:eastAsia="Times New Roman" w:cs="Times New Roman"/>
          <w:noProof w:val="0"/>
          <w:sz w:val="22"/>
          <w:szCs w:val="22"/>
          <w:lang w:val="en-US"/>
        </w:rPr>
        <w:t>. Accessed 28 Mar. 2024.</w:t>
      </w:r>
    </w:p>
    <w:p w:rsidR="7704290A" w:rsidP="0E10FB69" w:rsidRDefault="7704290A" w14:paraId="0D173C95" w14:textId="6E9AAEF8">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Radulovic, Nada, et al. “Predictors of Survival in Trauma Patients Requiring Resuscitative Thoracotomy: A Scoping Review.” </w:t>
      </w:r>
      <w:r w:rsidRPr="0E10FB69" w:rsidR="7704290A">
        <w:rPr>
          <w:rFonts w:ascii="Times New Roman" w:hAnsi="Times New Roman" w:eastAsia="Times New Roman" w:cs="Times New Roman"/>
          <w:i w:val="1"/>
          <w:iCs w:val="1"/>
          <w:noProof w:val="0"/>
          <w:sz w:val="22"/>
          <w:szCs w:val="22"/>
          <w:lang w:val="en-US"/>
        </w:rPr>
        <w:t>Trauma</w:t>
      </w:r>
      <w:r w:rsidRPr="0E10FB69" w:rsidR="7704290A">
        <w:rPr>
          <w:rFonts w:ascii="Times New Roman" w:hAnsi="Times New Roman" w:eastAsia="Times New Roman" w:cs="Times New Roman"/>
          <w:noProof w:val="0"/>
          <w:sz w:val="22"/>
          <w:szCs w:val="22"/>
          <w:lang w:val="en-US"/>
        </w:rPr>
        <w:t xml:space="preserve">, 15 Mar. 2023, p. 146040862311562, </w:t>
      </w:r>
      <w:hyperlink r:id="R60c25b3c83fc47ad">
        <w:r w:rsidRPr="0E10FB69" w:rsidR="7704290A">
          <w:rPr>
            <w:rStyle w:val="Hyperlink"/>
            <w:noProof w:val="0"/>
            <w:sz w:val="22"/>
            <w:szCs w:val="22"/>
            <w:lang w:val="en-US"/>
          </w:rPr>
          <w:t>https://doi.org/10.1177/14604086231156265</w:t>
        </w:r>
      </w:hyperlink>
      <w:r w:rsidRPr="0E10FB69" w:rsidR="7704290A">
        <w:rPr>
          <w:rFonts w:ascii="Times New Roman" w:hAnsi="Times New Roman" w:eastAsia="Times New Roman" w:cs="Times New Roman"/>
          <w:noProof w:val="0"/>
          <w:sz w:val="22"/>
          <w:szCs w:val="22"/>
          <w:lang w:val="en-US"/>
        </w:rPr>
        <w:t>. Accessed 14 Mar. 2024.</w:t>
      </w:r>
    </w:p>
    <w:p w:rsidR="7704290A" w:rsidP="0E10FB69" w:rsidRDefault="7704290A" w14:paraId="1C0C2F48" w14:textId="5A7879B3">
      <w:pPr>
        <w:pStyle w:val="ListParagraph"/>
        <w:numPr>
          <w:ilvl w:val="0"/>
          <w:numId w:val="1"/>
        </w:numPr>
        <w:spacing w:before="0" w:beforeAutospacing="off" w:after="0" w:afterAutospacing="off" w:line="360" w:lineRule="auto"/>
        <w:ind w:right="0"/>
        <w:rPr>
          <w:rFonts w:ascii="Times New Roman" w:hAnsi="Times New Roman" w:eastAsia="Times New Roman" w:cs="Times New Roman"/>
          <w:noProof w:val="0"/>
          <w:sz w:val="22"/>
          <w:szCs w:val="22"/>
          <w:lang w:val="en-US"/>
        </w:rPr>
      </w:pPr>
      <w:r w:rsidRPr="0E10FB69" w:rsidR="7704290A">
        <w:rPr>
          <w:rFonts w:ascii="Times New Roman" w:hAnsi="Times New Roman" w:eastAsia="Times New Roman" w:cs="Times New Roman"/>
          <w:noProof w:val="0"/>
          <w:sz w:val="22"/>
          <w:szCs w:val="22"/>
          <w:lang w:val="en-US"/>
        </w:rPr>
        <w:t xml:space="preserve">Sharma, Megha, et al. “Chlamydia Trachomatis Associated Reactive Arthritis: A Urinary </w:t>
      </w:r>
      <w:r w:rsidRPr="0E10FB69" w:rsidR="7704290A">
        <w:rPr>
          <w:rFonts w:ascii="Times New Roman" w:hAnsi="Times New Roman" w:eastAsia="Times New Roman" w:cs="Times New Roman"/>
          <w:noProof w:val="0"/>
          <w:sz w:val="22"/>
          <w:szCs w:val="22"/>
          <w:lang w:val="en-US"/>
        </w:rPr>
        <w:t>PCR</w:t>
      </w:r>
      <w:r w:rsidRPr="0E10FB69" w:rsidR="7704290A">
        <w:rPr>
          <w:rFonts w:ascii="Times New Roman" w:hAnsi="Times New Roman" w:eastAsia="Times New Roman" w:cs="Times New Roman"/>
          <w:noProof w:val="0"/>
          <w:sz w:val="22"/>
          <w:szCs w:val="22"/>
          <w:lang w:val="en-US"/>
        </w:rPr>
        <w:t xml:space="preserve"> Based Study.” </w:t>
      </w:r>
      <w:r w:rsidRPr="0E10FB69" w:rsidR="7704290A">
        <w:rPr>
          <w:rFonts w:ascii="Times New Roman" w:hAnsi="Times New Roman" w:eastAsia="Times New Roman" w:cs="Times New Roman"/>
          <w:i w:val="1"/>
          <w:iCs w:val="1"/>
          <w:noProof w:val="0"/>
          <w:sz w:val="22"/>
          <w:szCs w:val="22"/>
          <w:lang w:val="en-US"/>
        </w:rPr>
        <w:t>Indian Journal of Rheumatology</w:t>
      </w:r>
      <w:r w:rsidRPr="0E10FB69" w:rsidR="7704290A">
        <w:rPr>
          <w:rFonts w:ascii="Times New Roman" w:hAnsi="Times New Roman" w:eastAsia="Times New Roman" w:cs="Times New Roman"/>
          <w:noProof w:val="0"/>
          <w:sz w:val="22"/>
          <w:szCs w:val="22"/>
          <w:lang w:val="en-US"/>
        </w:rPr>
        <w:t xml:space="preserve">, vol. 9, Nov. 2014, pp. S48–S49, </w:t>
      </w:r>
      <w:hyperlink r:id="R15ad514e71764207">
        <w:r w:rsidRPr="0E10FB69" w:rsidR="7704290A">
          <w:rPr>
            <w:rStyle w:val="Hyperlink"/>
            <w:noProof w:val="0"/>
            <w:sz w:val="22"/>
            <w:szCs w:val="22"/>
            <w:lang w:val="en-US"/>
          </w:rPr>
          <w:t>https://doi.org/10.1016/j.injr.2014.10.145</w:t>
        </w:r>
      </w:hyperlink>
      <w:r w:rsidRPr="0E10FB69" w:rsidR="7704290A">
        <w:rPr>
          <w:rFonts w:ascii="Times New Roman" w:hAnsi="Times New Roman" w:eastAsia="Times New Roman" w:cs="Times New Roman"/>
          <w:noProof w:val="0"/>
          <w:sz w:val="22"/>
          <w:szCs w:val="22"/>
          <w:lang w:val="en-US"/>
        </w:rPr>
        <w:t>. Accessed 5 May 2019.</w:t>
      </w:r>
    </w:p>
    <w:sectPr>
      <w:pgSz w:w="12240" w:h="15840" w:orient="portrait"/>
      <w:pgMar w:top="1440" w:right="1440" w:bottom="1440" w:left="1440" w:header="720" w:footer="720" w:gutter="0"/>
      <w:cols w:space="720"/>
      <w:docGrid w:linePitch="360"/>
      <w:headerReference w:type="default" r:id="R18fa34e47a7a4506"/>
      <w:footerReference w:type="default" r:id="Ree96c7ee505a425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72A27A" w:rsidTr="3872A27A" w14:paraId="146D4A0B">
      <w:trPr>
        <w:trHeight w:val="300"/>
      </w:trPr>
      <w:tc>
        <w:tcPr>
          <w:tcW w:w="3120" w:type="dxa"/>
          <w:tcMar/>
        </w:tcPr>
        <w:p w:rsidR="3872A27A" w:rsidP="3872A27A" w:rsidRDefault="3872A27A" w14:paraId="25501207" w14:textId="5E97D3DF">
          <w:pPr>
            <w:pStyle w:val="Header"/>
            <w:bidi w:val="0"/>
            <w:ind w:left="-115"/>
            <w:jc w:val="left"/>
          </w:pPr>
        </w:p>
      </w:tc>
      <w:tc>
        <w:tcPr>
          <w:tcW w:w="3120" w:type="dxa"/>
          <w:tcMar/>
        </w:tcPr>
        <w:p w:rsidR="3872A27A" w:rsidP="3872A27A" w:rsidRDefault="3872A27A" w14:paraId="060EFE90" w14:textId="0BF30326">
          <w:pPr>
            <w:pStyle w:val="Header"/>
            <w:bidi w:val="0"/>
            <w:jc w:val="center"/>
          </w:pPr>
        </w:p>
      </w:tc>
      <w:tc>
        <w:tcPr>
          <w:tcW w:w="3120" w:type="dxa"/>
          <w:tcMar/>
        </w:tcPr>
        <w:p w:rsidR="3872A27A" w:rsidP="3872A27A" w:rsidRDefault="3872A27A" w14:paraId="36B5AD51" w14:textId="0CE75193">
          <w:pPr>
            <w:pStyle w:val="Header"/>
            <w:bidi w:val="0"/>
            <w:ind w:right="-115"/>
            <w:jc w:val="right"/>
          </w:pPr>
          <w:r>
            <w:fldChar w:fldCharType="begin"/>
          </w:r>
          <w:r>
            <w:instrText xml:space="preserve">PAGE</w:instrText>
          </w:r>
          <w:r>
            <w:fldChar w:fldCharType="separate"/>
          </w:r>
          <w:r>
            <w:fldChar w:fldCharType="end"/>
          </w:r>
        </w:p>
      </w:tc>
    </w:tr>
  </w:tbl>
  <w:p w:rsidR="3872A27A" w:rsidP="3872A27A" w:rsidRDefault="3872A27A" w14:paraId="51B3820A" w14:textId="2FC8421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872A27A" w:rsidTr="3872A27A" w14:paraId="2649E95A">
      <w:trPr>
        <w:trHeight w:val="300"/>
      </w:trPr>
      <w:tc>
        <w:tcPr>
          <w:tcW w:w="3120" w:type="dxa"/>
          <w:tcMar/>
        </w:tcPr>
        <w:p w:rsidR="3872A27A" w:rsidP="3872A27A" w:rsidRDefault="3872A27A" w14:paraId="2A69DF05" w14:textId="2C0F57B7">
          <w:pPr>
            <w:pStyle w:val="Header"/>
            <w:bidi w:val="0"/>
            <w:ind w:left="-115"/>
            <w:jc w:val="left"/>
          </w:pPr>
          <w:r w:rsidR="3872A27A">
            <w:rPr/>
            <w:t>Jacob Canfield</w:t>
          </w:r>
        </w:p>
      </w:tc>
      <w:tc>
        <w:tcPr>
          <w:tcW w:w="3120" w:type="dxa"/>
          <w:tcMar/>
        </w:tcPr>
        <w:p w:rsidR="3872A27A" w:rsidP="3872A27A" w:rsidRDefault="3872A27A" w14:paraId="760EAE5B" w14:textId="4021A3B3">
          <w:pPr>
            <w:pStyle w:val="Header"/>
            <w:bidi w:val="0"/>
            <w:jc w:val="center"/>
          </w:pPr>
        </w:p>
      </w:tc>
      <w:tc>
        <w:tcPr>
          <w:tcW w:w="3120" w:type="dxa"/>
          <w:tcMar/>
        </w:tcPr>
        <w:p w:rsidR="3872A27A" w:rsidP="3872A27A" w:rsidRDefault="3872A27A" w14:paraId="01299345" w14:textId="610C3106">
          <w:pPr>
            <w:pStyle w:val="Header"/>
            <w:bidi w:val="0"/>
            <w:ind w:right="-115"/>
            <w:jc w:val="right"/>
          </w:pPr>
        </w:p>
      </w:tc>
    </w:tr>
  </w:tbl>
  <w:p w:rsidR="3872A27A" w:rsidP="3872A27A" w:rsidRDefault="3872A27A" w14:paraId="4DD81BEE" w14:textId="235D1E6A">
    <w:pPr>
      <w:pStyle w:val="Header"/>
      <w:bidi w:val="0"/>
    </w:pPr>
  </w:p>
</w:hdr>
</file>

<file path=word/intelligence2.xml><?xml version="1.0" encoding="utf-8"?>
<int2:intelligence xmlns:oel="http://schemas.microsoft.com/office/2019/extlst" xmlns:int2="http://schemas.microsoft.com/office/intelligence/2020/intelligence">
  <int2:observations>
    <int2:textHash int2:hashCode="JjAvS4/bwvYqLM" int2:id="cizB5F6K">
      <int2:state int2:type="AugLoop_Text_Critique" int2:value="Rejected"/>
    </int2:textHash>
    <int2:bookmark int2:bookmarkName="_Int_bIEViP35" int2:invalidationBookmarkName="" int2:hashCode="RoHRJMxsS3O6q/" int2:id="v8hOhBzu">
      <int2:state int2:type="AugLoop_Text_Critique" int2:value="Rejected"/>
    </int2:bookmark>
    <int2:bookmark int2:bookmarkName="_Int_OGyTJ70M" int2:invalidationBookmarkName="" int2:hashCode="5bbKpge84ChWU3" int2:id="iUm7MPbQ">
      <int2:state int2:type="AugLoop_Text_Critique" int2:value="Rejected"/>
    </int2:bookmark>
    <int2:bookmark int2:bookmarkName="_Int_lcVGoHA1" int2:invalidationBookmarkName="" int2:hashCode="O0HZ/3j7Nl6ZcF" int2:id="FiVjbsi5">
      <int2:state int2:type="AugLoop_Text_Critique" int2:value="Rejected"/>
    </int2:bookmark>
    <int2:bookmark int2:bookmarkName="_Int_eeV8gT9P" int2:invalidationBookmarkName="" int2:hashCode="RoHRJMxsS3O6q/" int2:id="7u8RFhCl">
      <int2:state int2:type="AugLoop_Text_Critique" int2:value="Rejected"/>
    </int2:bookmark>
    <int2:bookmark int2:bookmarkName="_Int_XaYVqTsD" int2:invalidationBookmarkName="" int2:hashCode="5bbKpge84ChWU3" int2:id="0c5C2F4f">
      <int2:state int2:type="AugLoop_Text_Critique" int2:value="Rejected"/>
    </int2:bookmark>
    <int2:bookmark int2:bookmarkName="_Int_1MnZpxQ1" int2:invalidationBookmarkName="" int2:hashCode="O0HZ/3j7Nl6ZcF" int2:id="wsU2vcF7">
      <int2:state int2:type="AugLoop_Text_Critique" int2:value="Rejected"/>
    </int2:bookmark>
    <int2:bookmark int2:bookmarkName="_Int_hh7yg7WZ" int2:invalidationBookmarkName="" int2:hashCode="5bbKpge84ChWU3" int2:id="UTIvTGLG">
      <int2:state int2:type="AugLoop_Text_Critique" int2:value="Rejected"/>
    </int2:bookmark>
    <int2:bookmark int2:bookmarkName="_Int_tSF40lev" int2:invalidationBookmarkName="" int2:hashCode="O0HZ/3j7Nl6ZcF" int2:id="ZhF851ZM">
      <int2:state int2:type="AugLoop_Text_Critique" int2:value="Rejected"/>
    </int2:bookmark>
    <int2:bookmark int2:bookmarkName="_Int_GoGfqL2G" int2:invalidationBookmarkName="" int2:hashCode="PAi7dKTwYStAXX" int2:id="34JNxBFx">
      <int2:state int2:type="AugLoop_Text_Critique" int2:value="Rejected"/>
    </int2:bookmark>
    <int2:bookmark int2:bookmarkName="_Int_Nohpxtbk" int2:invalidationBookmarkName="" int2:hashCode="5xEuewsKFjfXAe" int2:id="TL68bWoi">
      <int2:state int2:type="AugLoop_Text_Critique" int2:value="Rejected"/>
    </int2:bookmark>
    <int2:bookmark int2:bookmarkName="_Int_I6Iul8Lz" int2:invalidationBookmarkName="" int2:hashCode="sJFKvnHp7PEqT0" int2:id="gvNJn5Te">
      <int2:state int2:type="AugLoop_Text_Critique" int2:value="Rejected"/>
    </int2:bookmark>
    <int2:bookmark int2:bookmarkName="_Int_ywdTMLeX" int2:invalidationBookmarkName="" int2:hashCode="rFb/VtilCspR+Z" int2:id="ioim7APU">
      <int2:state int2:type="AugLoop_Text_Critique" int2:value="Rejected"/>
    </int2:bookmark>
    <int2:bookmark int2:bookmarkName="_Int_9pxTmKpk" int2:invalidationBookmarkName="" int2:hashCode="5Q03o3qi1hqaLF" int2:id="7EsGvcI9">
      <int2:state int2:type="AugLoop_Text_Critique" int2:value="Rejected"/>
    </int2:bookmark>
    <int2:bookmark int2:bookmarkName="_Int_ticBhLXD" int2:invalidationBookmarkName="" int2:hashCode="3l43qQ9JfFpMeg" int2:id="ouvRAnzU">
      <int2:state int2:type="AugLoop_Text_Critique" int2:value="Rejected"/>
    </int2:bookmark>
    <int2:bookmark int2:bookmarkName="_Int_kP8834NK" int2:invalidationBookmarkName="" int2:hashCode="94gGADSKCRpD4q" int2:id="UeyuIAsL">
      <int2:state int2:type="AugLoop_Text_Critique" int2:value="Rejected"/>
    </int2:bookmark>
    <int2:bookmark int2:bookmarkName="_Int_yOs9yGA9" int2:invalidationBookmarkName="" int2:hashCode="U/RdZZP2YE1CKi" int2:id="avm2NWBh">
      <int2:state int2:type="AugLoop_Text_Critique" int2:value="Rejected"/>
    </int2:bookmark>
    <int2:entireDocument int2:id="SVLWMedN">
      <int2:extLst>
        <oel:ext uri="E302BA01-7950-474C-9AD3-286E660C40A8">
          <int2:similaritySummary int2:version="1" int2:runId="1711639734386" int2:tilesCheckedInThisRun="36" int2:totalNumOfTiles="36" int2:similarityAnnotationCount="0" int2:numWords="1559" int2:numFlaggedWords="0"/>
        </oel:ext>
      </int2:extLst>
    </int2:entireDocument>
  </int2:observations>
  <int2:intelligenceSettings/>
  <int2:onDemandWorkflows>
    <int2:onDemandWorkflow int2:type="SimilarityCheck" int2:paragraphVersions="1C5E6050-74ECBA61 7E7A09EB-5E250EE9 04AAB62E-0B94FAA6 652C0E61-66650204 2C078E63-2B512489 48B0B22D-4221FE1C 37BECFFE-2315B0BA 7DBFB9AA-6542A537 5978D030-6220DB84 0B78C563-5A2874BE 0E73234A-18D7AF5F 224AE460-243693B8 18EF2D62-2ED2F628 3D5343D8-20EAEB30 69B63ADD-3F5EE33A 137919C9-2A046506 13373C45-1AE7067A 4399C091-454312C1 49D854DC-18367E87 076C8460-3FAAE57F 32E2CC69-23F7B922 1903C1D6-0DE36EA1 2D284821-336C0DB9 05BEFC7C-1916AEA3 595BAFFA-19F9EA9C 3756C225-221EDCED 59336A42-3C842AA6 0FDCC0B9-7EE55522 0880165E-6A93C2BF 0F547A5D-3FFC7B8E 64A4641A-0CDC4722 6119687D-296E6062 0D9DDC6B-2212C53C 612B8937-4AD2495B 613E57D7-17EF78EB 7F196A62-115C0D94 28A19FDF-6AAD2EC7 3E568D27-7B399490 06134122-23BF099E 2E2571B2-64889A1E 266C182A-7A694D54 4019DD84-12F79B2A 2B170DBE-43A09586 4078C62D-6C7D3602 3BFD13FE-06F86050 2579A6D2-3AB0BE8D 41E69103-76AA8581 29846EA8-7A7F1004 6DCDC58C-3B11C5DC 5E0A72E4-2B95CAF9 006C6E9E-4D1870B4 05DC5086-09C4D36B 3031CDEF-363829DB 19A41BC8-1F513BCE 143D5BB0-58D1AC32 0E1416B8-04E2B5A9 3C7D45F6-2BE056D1 2A69DF05-2C0F57B7 760EAE5B-4021A3B3 01299345-610C3106 4DD81BEE-235D1E6A 25501207-5E97D3DF 060EFE90-0BF30326 36B5AD51-0CE75193 51B3820A-2FC84211"/>
  </int2:onDemandWorkflows>
</int2:intelligence>
</file>

<file path=word/numbering.xml><?xml version="1.0" encoding="utf-8"?>
<w:numbering xmlns:w="http://schemas.openxmlformats.org/wordprocessingml/2006/main">
  <w:abstractNum xmlns:w="http://schemas.openxmlformats.org/wordprocessingml/2006/main" w:abstractNumId="1">
    <w:nsid w:val="58c2a1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054827"/>
    <w:rsid w:val="00027ECC"/>
    <w:rsid w:val="0061ED98"/>
    <w:rsid w:val="00886697"/>
    <w:rsid w:val="01749570"/>
    <w:rsid w:val="01E4959C"/>
    <w:rsid w:val="0227BCDD"/>
    <w:rsid w:val="027FD1B1"/>
    <w:rsid w:val="02B63E42"/>
    <w:rsid w:val="0323D113"/>
    <w:rsid w:val="0449E49B"/>
    <w:rsid w:val="04EE501D"/>
    <w:rsid w:val="05764206"/>
    <w:rsid w:val="06146443"/>
    <w:rsid w:val="06B8A771"/>
    <w:rsid w:val="06E1470E"/>
    <w:rsid w:val="07B44F07"/>
    <w:rsid w:val="07BACD40"/>
    <w:rsid w:val="08CC7F8F"/>
    <w:rsid w:val="08D3A2CC"/>
    <w:rsid w:val="08D3A2CC"/>
    <w:rsid w:val="094C895B"/>
    <w:rsid w:val="0980E2F7"/>
    <w:rsid w:val="0A08CFDE"/>
    <w:rsid w:val="0AB64D81"/>
    <w:rsid w:val="0BCE9F23"/>
    <w:rsid w:val="0C4F0B8D"/>
    <w:rsid w:val="0DE401A4"/>
    <w:rsid w:val="0DF9ED08"/>
    <w:rsid w:val="0E10FB69"/>
    <w:rsid w:val="0F93F701"/>
    <w:rsid w:val="106F5BE0"/>
    <w:rsid w:val="10FA251A"/>
    <w:rsid w:val="1133ED44"/>
    <w:rsid w:val="12054827"/>
    <w:rsid w:val="12096833"/>
    <w:rsid w:val="120B2C41"/>
    <w:rsid w:val="121243EB"/>
    <w:rsid w:val="1235073F"/>
    <w:rsid w:val="1295F57B"/>
    <w:rsid w:val="12BE4D11"/>
    <w:rsid w:val="13D9B108"/>
    <w:rsid w:val="140930DB"/>
    <w:rsid w:val="141C4B12"/>
    <w:rsid w:val="14FA2879"/>
    <w:rsid w:val="158FF461"/>
    <w:rsid w:val="164CA238"/>
    <w:rsid w:val="16F975A5"/>
    <w:rsid w:val="179A9832"/>
    <w:rsid w:val="1822EC4C"/>
    <w:rsid w:val="18753DAF"/>
    <w:rsid w:val="1A1B1C60"/>
    <w:rsid w:val="1A636584"/>
    <w:rsid w:val="1AA7412A"/>
    <w:rsid w:val="1B7D4BB8"/>
    <w:rsid w:val="1C458882"/>
    <w:rsid w:val="1D512EF3"/>
    <w:rsid w:val="1DC727FB"/>
    <w:rsid w:val="1E012E96"/>
    <w:rsid w:val="1E39B455"/>
    <w:rsid w:val="1E5417A1"/>
    <w:rsid w:val="1E69A7DA"/>
    <w:rsid w:val="1F36D6A7"/>
    <w:rsid w:val="1F7A4592"/>
    <w:rsid w:val="1FA097E2"/>
    <w:rsid w:val="1FF6FE45"/>
    <w:rsid w:val="20333211"/>
    <w:rsid w:val="217A9CE2"/>
    <w:rsid w:val="21D379E1"/>
    <w:rsid w:val="231C2AA8"/>
    <w:rsid w:val="2333E6AC"/>
    <w:rsid w:val="23642035"/>
    <w:rsid w:val="23A3F80F"/>
    <w:rsid w:val="23B7C557"/>
    <w:rsid w:val="23CF0A58"/>
    <w:rsid w:val="243B8A57"/>
    <w:rsid w:val="248F35AD"/>
    <w:rsid w:val="24A9DF2B"/>
    <w:rsid w:val="25095BDF"/>
    <w:rsid w:val="2522843C"/>
    <w:rsid w:val="253C4F09"/>
    <w:rsid w:val="253FC870"/>
    <w:rsid w:val="2621B9F5"/>
    <w:rsid w:val="26E6AC33"/>
    <w:rsid w:val="26EC3BD9"/>
    <w:rsid w:val="273D6098"/>
    <w:rsid w:val="27465A66"/>
    <w:rsid w:val="27D8DC0B"/>
    <w:rsid w:val="27DFFECC"/>
    <w:rsid w:val="27FC261E"/>
    <w:rsid w:val="2840FCA1"/>
    <w:rsid w:val="293301EE"/>
    <w:rsid w:val="29BA395C"/>
    <w:rsid w:val="29BA395C"/>
    <w:rsid w:val="2A1E5BBB"/>
    <w:rsid w:val="2B4CEB29"/>
    <w:rsid w:val="2B5706D7"/>
    <w:rsid w:val="2BBAA7A2"/>
    <w:rsid w:val="2C06A6C1"/>
    <w:rsid w:val="2C1D4735"/>
    <w:rsid w:val="2C505F36"/>
    <w:rsid w:val="2CB36FEF"/>
    <w:rsid w:val="2CFB4662"/>
    <w:rsid w:val="2D2754F8"/>
    <w:rsid w:val="2D2D9621"/>
    <w:rsid w:val="2E3617F3"/>
    <w:rsid w:val="2EC96682"/>
    <w:rsid w:val="2F2BBDB8"/>
    <w:rsid w:val="2FB69476"/>
    <w:rsid w:val="2FFECEB7"/>
    <w:rsid w:val="302A77FA"/>
    <w:rsid w:val="30E4BFAE"/>
    <w:rsid w:val="31462251"/>
    <w:rsid w:val="31DBF64D"/>
    <w:rsid w:val="32B6F59A"/>
    <w:rsid w:val="3322B173"/>
    <w:rsid w:val="35065847"/>
    <w:rsid w:val="3535AA76"/>
    <w:rsid w:val="3591EFFC"/>
    <w:rsid w:val="35B7B401"/>
    <w:rsid w:val="36D47867"/>
    <w:rsid w:val="38453666"/>
    <w:rsid w:val="38482599"/>
    <w:rsid w:val="387048C8"/>
    <w:rsid w:val="3872A27A"/>
    <w:rsid w:val="387F7801"/>
    <w:rsid w:val="38B09EDD"/>
    <w:rsid w:val="38C6AD5F"/>
    <w:rsid w:val="38D7E71A"/>
    <w:rsid w:val="391B9AB8"/>
    <w:rsid w:val="3922CB16"/>
    <w:rsid w:val="394AE35E"/>
    <w:rsid w:val="39B831E3"/>
    <w:rsid w:val="39B831E3"/>
    <w:rsid w:val="3A01E4E9"/>
    <w:rsid w:val="3A3A87BF"/>
    <w:rsid w:val="3A7512E2"/>
    <w:rsid w:val="3A93E690"/>
    <w:rsid w:val="3A97BB61"/>
    <w:rsid w:val="3BF92B9F"/>
    <w:rsid w:val="3C4B6F6B"/>
    <w:rsid w:val="3D53FA70"/>
    <w:rsid w:val="3E763AA1"/>
    <w:rsid w:val="3E8F62FE"/>
    <w:rsid w:val="3E941230"/>
    <w:rsid w:val="3EC661EF"/>
    <w:rsid w:val="40143611"/>
    <w:rsid w:val="402B335F"/>
    <w:rsid w:val="40478C30"/>
    <w:rsid w:val="40C2A6B4"/>
    <w:rsid w:val="40C78546"/>
    <w:rsid w:val="4164F19A"/>
    <w:rsid w:val="425E7715"/>
    <w:rsid w:val="43E61DF4"/>
    <w:rsid w:val="43FA4776"/>
    <w:rsid w:val="440CEE1D"/>
    <w:rsid w:val="44691C86"/>
    <w:rsid w:val="4499A522"/>
    <w:rsid w:val="44CBF01C"/>
    <w:rsid w:val="44FEA482"/>
    <w:rsid w:val="4535A373"/>
    <w:rsid w:val="453B7082"/>
    <w:rsid w:val="4593E22C"/>
    <w:rsid w:val="45CD8854"/>
    <w:rsid w:val="46628D57"/>
    <w:rsid w:val="46A39AF6"/>
    <w:rsid w:val="46D173D4"/>
    <w:rsid w:val="46D3669E"/>
    <w:rsid w:val="4785CEAA"/>
    <w:rsid w:val="48A17B1F"/>
    <w:rsid w:val="48F43DB6"/>
    <w:rsid w:val="492A0837"/>
    <w:rsid w:val="4A3BA1BE"/>
    <w:rsid w:val="4A6988FA"/>
    <w:rsid w:val="4A900E17"/>
    <w:rsid w:val="4AC5D898"/>
    <w:rsid w:val="4BD91BE1"/>
    <w:rsid w:val="4C0DA147"/>
    <w:rsid w:val="4CD70201"/>
    <w:rsid w:val="4DE998A2"/>
    <w:rsid w:val="4E293070"/>
    <w:rsid w:val="4E59AA05"/>
    <w:rsid w:val="4ED97EF7"/>
    <w:rsid w:val="4FD83632"/>
    <w:rsid w:val="504F54A7"/>
    <w:rsid w:val="51242BBB"/>
    <w:rsid w:val="5172F68A"/>
    <w:rsid w:val="52774781"/>
    <w:rsid w:val="52850DBA"/>
    <w:rsid w:val="5369C219"/>
    <w:rsid w:val="54106B40"/>
    <w:rsid w:val="543C9533"/>
    <w:rsid w:val="547AB85C"/>
    <w:rsid w:val="54D7F0B9"/>
    <w:rsid w:val="55208856"/>
    <w:rsid w:val="559B8EFC"/>
    <w:rsid w:val="55AC3BA1"/>
    <w:rsid w:val="57CA1FBA"/>
    <w:rsid w:val="57DCC0E7"/>
    <w:rsid w:val="57DEE6AF"/>
    <w:rsid w:val="58582918"/>
    <w:rsid w:val="593FDE87"/>
    <w:rsid w:val="594AEA69"/>
    <w:rsid w:val="5A879A4A"/>
    <w:rsid w:val="5A9C02C3"/>
    <w:rsid w:val="5B6CB273"/>
    <w:rsid w:val="5BE09CA4"/>
    <w:rsid w:val="5C05E198"/>
    <w:rsid w:val="5C5EA466"/>
    <w:rsid w:val="5C84697B"/>
    <w:rsid w:val="5DB74D86"/>
    <w:rsid w:val="5E87D84F"/>
    <w:rsid w:val="5EC9AF35"/>
    <w:rsid w:val="5EE6505C"/>
    <w:rsid w:val="5F7732BF"/>
    <w:rsid w:val="5FB0B820"/>
    <w:rsid w:val="600CB787"/>
    <w:rsid w:val="601C6DF3"/>
    <w:rsid w:val="606D65F7"/>
    <w:rsid w:val="6109F31B"/>
    <w:rsid w:val="610E6459"/>
    <w:rsid w:val="61E4C03A"/>
    <w:rsid w:val="62655A50"/>
    <w:rsid w:val="62887809"/>
    <w:rsid w:val="6292AC2F"/>
    <w:rsid w:val="6325FABE"/>
    <w:rsid w:val="633529F7"/>
    <w:rsid w:val="642E7C90"/>
    <w:rsid w:val="64CF7BFD"/>
    <w:rsid w:val="64D98683"/>
    <w:rsid w:val="659CFB12"/>
    <w:rsid w:val="65F08BDD"/>
    <w:rsid w:val="65F08BDD"/>
    <w:rsid w:val="6738CB73"/>
    <w:rsid w:val="67C915C2"/>
    <w:rsid w:val="680C8CE8"/>
    <w:rsid w:val="690A7308"/>
    <w:rsid w:val="697C13E5"/>
    <w:rsid w:val="6993A7B2"/>
    <w:rsid w:val="69A85D49"/>
    <w:rsid w:val="69E8C1AC"/>
    <w:rsid w:val="69FB1FE0"/>
    <w:rsid w:val="6A02ED97"/>
    <w:rsid w:val="6AC7BCF8"/>
    <w:rsid w:val="6AC9E807"/>
    <w:rsid w:val="6AE59487"/>
    <w:rsid w:val="6AEEE2D3"/>
    <w:rsid w:val="6B16FE52"/>
    <w:rsid w:val="6BCFA9DB"/>
    <w:rsid w:val="6C23D3D5"/>
    <w:rsid w:val="6C704416"/>
    <w:rsid w:val="6D14290B"/>
    <w:rsid w:val="6D32C0A2"/>
    <w:rsid w:val="6EA5A52E"/>
    <w:rsid w:val="6F5902F9"/>
    <w:rsid w:val="6F712F37"/>
    <w:rsid w:val="6F9DDF12"/>
    <w:rsid w:val="6FB905AA"/>
    <w:rsid w:val="7028E537"/>
    <w:rsid w:val="70DCE7C1"/>
    <w:rsid w:val="712F64DD"/>
    <w:rsid w:val="715BDACB"/>
    <w:rsid w:val="7163631D"/>
    <w:rsid w:val="71C67C00"/>
    <w:rsid w:val="73572D15"/>
    <w:rsid w:val="741F4B7D"/>
    <w:rsid w:val="743BEAD8"/>
    <w:rsid w:val="74A93597"/>
    <w:rsid w:val="74FC565A"/>
    <w:rsid w:val="755EA239"/>
    <w:rsid w:val="75996122"/>
    <w:rsid w:val="767F002F"/>
    <w:rsid w:val="76CB4748"/>
    <w:rsid w:val="76D76574"/>
    <w:rsid w:val="76FA729A"/>
    <w:rsid w:val="76FCD1EB"/>
    <w:rsid w:val="7704290A"/>
    <w:rsid w:val="776C9A33"/>
    <w:rsid w:val="77B43D7E"/>
    <w:rsid w:val="77D60009"/>
    <w:rsid w:val="77D9DB55"/>
    <w:rsid w:val="77F321BF"/>
    <w:rsid w:val="78788964"/>
    <w:rsid w:val="789642FB"/>
    <w:rsid w:val="78D101E4"/>
    <w:rsid w:val="78EA2A41"/>
    <w:rsid w:val="7946FAE1"/>
    <w:rsid w:val="79AF20DF"/>
    <w:rsid w:val="79ED6BEE"/>
    <w:rsid w:val="7A32135C"/>
    <w:rsid w:val="7A32135C"/>
    <w:rsid w:val="7A6CD245"/>
    <w:rsid w:val="7AB24406"/>
    <w:rsid w:val="7BCDE3BD"/>
    <w:rsid w:val="7C3CD4DD"/>
    <w:rsid w:val="7C6ED380"/>
    <w:rsid w:val="7C819F39"/>
    <w:rsid w:val="7D05D15B"/>
    <w:rsid w:val="7D32D22A"/>
    <w:rsid w:val="7DD230F9"/>
    <w:rsid w:val="7E1EA13A"/>
    <w:rsid w:val="7E8A1043"/>
    <w:rsid w:val="7F05847F"/>
    <w:rsid w:val="7F094477"/>
    <w:rsid w:val="7FCFD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54827"/>
  <w15:chartTrackingRefBased/>
  <w15:docId w15:val="{86E1ADEB-769B-4632-9F72-3A61F32553A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18fa34e47a7a4506" /><Relationship Type="http://schemas.openxmlformats.org/officeDocument/2006/relationships/footer" Target="footer.xml" Id="Ree96c7ee505a4252" /><Relationship Type="http://schemas.openxmlformats.org/officeDocument/2006/relationships/image" Target="/media/image.png" Id="R53a318ac19544492" /><Relationship Type="http://schemas.openxmlformats.org/officeDocument/2006/relationships/image" Target="/media/image2.png" Id="R50db7323929146ca" /><Relationship Type="http://schemas.openxmlformats.org/officeDocument/2006/relationships/image" Target="/media/image3.png" Id="Racf0f18036f748a1" /><Relationship Type="http://schemas.openxmlformats.org/officeDocument/2006/relationships/image" Target="/media/image4.png" Id="R4906ccc5a87a4db8" /><Relationship Type="http://schemas.openxmlformats.org/officeDocument/2006/relationships/hyperlink" Target="https://doi.org/10.1016/j.jviscsurg.2017.07.003" TargetMode="External" Id="R0b1da4c995ac4ab9" /><Relationship Type="http://schemas.openxmlformats.org/officeDocument/2006/relationships/hyperlink" Target="https://doi.org/10.1097/ta.0000000000001333" TargetMode="External" Id="R2be97aaacb4042b5" /><Relationship Type="http://schemas.openxmlformats.org/officeDocument/2006/relationships/hyperlink" Target="https://doi.org/10.11613/bm.2016.034" TargetMode="External" Id="R647a03bea8944534" /><Relationship Type="http://schemas.openxmlformats.org/officeDocument/2006/relationships/hyperlink" Target="https://doi.org/10.1016/j.amjsurg.2019.01.005" TargetMode="External" Id="R78b206e87ecd4e7c" /><Relationship Type="http://schemas.openxmlformats.org/officeDocument/2006/relationships/hyperlink" Target="https://doi.org/10.1001/jamasurg.2018.0483" TargetMode="External" Id="R86c70faf32ed4ecf" /><Relationship Type="http://schemas.openxmlformats.org/officeDocument/2006/relationships/hyperlink" Target="https://doi.org/10.7205/milmed-d-14-00440" TargetMode="External" Id="Rf346b9b396cf40b9" /><Relationship Type="http://schemas.openxmlformats.org/officeDocument/2006/relationships/hyperlink" Target="https://doi.org/10.1016/j.injury.2008.10.015" TargetMode="External" Id="R330bf1cff01041b5" /><Relationship Type="http://schemas.openxmlformats.org/officeDocument/2006/relationships/hyperlink" Target="https://doi.org/10.1177/14604086231156265" TargetMode="External" Id="R60c25b3c83fc47ad" /><Relationship Type="http://schemas.openxmlformats.org/officeDocument/2006/relationships/hyperlink" Target="https://doi.org/10.1016/j.injr.2014.10.145" TargetMode="External" Id="R15ad514e71764207" /><Relationship Type="http://schemas.microsoft.com/office/2020/10/relationships/intelligence" Target="intelligence2.xml" Id="Ra128cfb5fd2f4e18" /><Relationship Type="http://schemas.openxmlformats.org/officeDocument/2006/relationships/numbering" Target="numbering.xml" Id="R091ef29688874fd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2024-03-28T13:10:01.3653946Z</dcterms:created>
  <dcterms:modified xsi:type="dcterms:W3CDTF">2024-03-28T17:46:28.1671989Z</dcterms:modified>
  <dc:creator>Canfield, Jacob-IL CCOM 27</dc:creator>
  <lastModifiedBy>Canfield, Jacob-IL CCOM 27</lastModifiedBy>
</coreProperties>
</file>