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E84D1" w14:textId="77777777" w:rsidR="003006E2" w:rsidRDefault="005068B3" w:rsidP="003006E2">
      <w:pPr>
        <w:jc w:val="center"/>
        <w:rPr>
          <w:rFonts w:ascii="Calibri" w:hAnsi="Calibri"/>
          <w:b/>
        </w:rPr>
      </w:pPr>
      <w:r>
        <w:rPr>
          <w:rFonts w:ascii="Calibri" w:hAnsi="Calibri"/>
          <w:b/>
        </w:rPr>
        <w:t xml:space="preserve">ME EN </w:t>
      </w:r>
      <w:r w:rsidR="003006E2" w:rsidRPr="005068B3">
        <w:rPr>
          <w:rFonts w:ascii="Calibri" w:hAnsi="Calibri"/>
          <w:b/>
        </w:rPr>
        <w:t xml:space="preserve">541 – </w:t>
      </w:r>
      <w:r>
        <w:rPr>
          <w:rFonts w:ascii="Calibri" w:hAnsi="Calibri"/>
          <w:b/>
        </w:rPr>
        <w:t xml:space="preserve">HW </w:t>
      </w:r>
      <w:r w:rsidR="006B0FF5">
        <w:rPr>
          <w:rFonts w:ascii="Calibri" w:hAnsi="Calibri"/>
          <w:b/>
        </w:rPr>
        <w:t>3</w:t>
      </w:r>
    </w:p>
    <w:p w14:paraId="4CDA1DF7" w14:textId="29F246A5" w:rsidR="005E416F" w:rsidRDefault="005E416F" w:rsidP="005E416F">
      <w:pPr>
        <w:jc w:val="center"/>
        <w:rPr>
          <w:rFonts w:ascii="Calibri" w:hAnsi="Calibri"/>
        </w:rPr>
      </w:pPr>
      <w:r>
        <w:rPr>
          <w:rFonts w:ascii="Calibri" w:hAnsi="Calibri"/>
        </w:rPr>
        <w:t xml:space="preserve">Handed out </w:t>
      </w:r>
      <w:r w:rsidR="003105A0">
        <w:rPr>
          <w:rFonts w:ascii="Calibri" w:hAnsi="Calibri"/>
        </w:rPr>
        <w:t>6</w:t>
      </w:r>
      <w:r>
        <w:rPr>
          <w:rFonts w:ascii="Calibri" w:hAnsi="Calibri"/>
        </w:rPr>
        <w:t xml:space="preserve"> Feb 202</w:t>
      </w:r>
      <w:r w:rsidR="003105A0">
        <w:rPr>
          <w:rFonts w:ascii="Calibri" w:hAnsi="Calibri"/>
        </w:rPr>
        <w:t>4</w:t>
      </w:r>
    </w:p>
    <w:p w14:paraId="66BC76FA" w14:textId="2DCAAAAE" w:rsidR="005E416F" w:rsidRPr="009208D9" w:rsidRDefault="005E416F" w:rsidP="005E416F">
      <w:pPr>
        <w:jc w:val="center"/>
        <w:rPr>
          <w:rFonts w:ascii="Calibri" w:hAnsi="Calibri"/>
        </w:rPr>
      </w:pPr>
      <w:r>
        <w:rPr>
          <w:rFonts w:ascii="Calibri" w:hAnsi="Calibri"/>
        </w:rPr>
        <w:t xml:space="preserve">Due </w:t>
      </w:r>
      <w:r w:rsidR="00676DE9">
        <w:rPr>
          <w:rFonts w:ascii="Calibri" w:hAnsi="Calibri"/>
        </w:rPr>
        <w:t>12</w:t>
      </w:r>
      <w:r>
        <w:rPr>
          <w:rFonts w:ascii="Calibri" w:hAnsi="Calibri"/>
        </w:rPr>
        <w:t xml:space="preserve"> Feb 202</w:t>
      </w:r>
      <w:r w:rsidR="00676DE9">
        <w:rPr>
          <w:rFonts w:ascii="Calibri" w:hAnsi="Calibri"/>
        </w:rPr>
        <w:t>4</w:t>
      </w:r>
    </w:p>
    <w:p w14:paraId="672D4463" w14:textId="77777777" w:rsidR="005E416F" w:rsidRPr="005E416F" w:rsidRDefault="005E416F" w:rsidP="003006E2">
      <w:pPr>
        <w:jc w:val="center"/>
        <w:rPr>
          <w:rFonts w:ascii="Calibri" w:hAnsi="Calibri"/>
        </w:rPr>
      </w:pPr>
    </w:p>
    <w:p w14:paraId="4EA57590" w14:textId="77777777" w:rsidR="00083D19" w:rsidRDefault="00E0192C">
      <w:r>
        <w:tab/>
      </w:r>
    </w:p>
    <w:tbl>
      <w:tblPr>
        <w:tblW w:w="0" w:type="auto"/>
        <w:jc w:val="center"/>
        <w:tblBorders>
          <w:top w:val="single" w:sz="8" w:space="0" w:color="000000"/>
          <w:bottom w:val="single" w:sz="8" w:space="0" w:color="000000"/>
        </w:tblBorders>
        <w:tblLook w:val="04A0" w:firstRow="1" w:lastRow="0" w:firstColumn="1" w:lastColumn="0" w:noHBand="0" w:noVBand="1"/>
      </w:tblPr>
      <w:tblGrid>
        <w:gridCol w:w="1216"/>
        <w:gridCol w:w="977"/>
        <w:gridCol w:w="4289"/>
      </w:tblGrid>
      <w:tr w:rsidR="00065473" w14:paraId="342A0E55" w14:textId="77777777" w:rsidTr="00065473">
        <w:trPr>
          <w:jc w:val="center"/>
        </w:trPr>
        <w:tc>
          <w:tcPr>
            <w:tcW w:w="1216" w:type="dxa"/>
            <w:tcBorders>
              <w:top w:val="single" w:sz="8" w:space="0" w:color="000000"/>
              <w:bottom w:val="single" w:sz="8" w:space="0" w:color="000000"/>
            </w:tcBorders>
            <w:shd w:val="clear" w:color="auto" w:fill="auto"/>
          </w:tcPr>
          <w:p w14:paraId="3C9BE8DC" w14:textId="77777777" w:rsidR="00065473" w:rsidRPr="003F358F" w:rsidRDefault="00065473" w:rsidP="00065473">
            <w:pPr>
              <w:jc w:val="center"/>
              <w:rPr>
                <w:b/>
                <w:bCs/>
                <w:color w:val="000000"/>
              </w:rPr>
            </w:pPr>
            <w:r w:rsidRPr="003F358F">
              <w:rPr>
                <w:b/>
                <w:bCs/>
                <w:color w:val="000000"/>
              </w:rPr>
              <w:t>Problem</w:t>
            </w:r>
          </w:p>
        </w:tc>
        <w:tc>
          <w:tcPr>
            <w:tcW w:w="977" w:type="dxa"/>
            <w:tcBorders>
              <w:top w:val="single" w:sz="8" w:space="0" w:color="000000"/>
              <w:bottom w:val="single" w:sz="8" w:space="0" w:color="000000"/>
            </w:tcBorders>
            <w:shd w:val="clear" w:color="auto" w:fill="auto"/>
          </w:tcPr>
          <w:p w14:paraId="444107B4" w14:textId="77777777" w:rsidR="00065473" w:rsidRPr="003F358F" w:rsidRDefault="00065473" w:rsidP="00065473">
            <w:pPr>
              <w:jc w:val="center"/>
              <w:rPr>
                <w:b/>
                <w:bCs/>
                <w:color w:val="000000"/>
              </w:rPr>
            </w:pPr>
            <w:r w:rsidRPr="003F358F">
              <w:rPr>
                <w:b/>
                <w:bCs/>
                <w:color w:val="000000"/>
              </w:rPr>
              <w:t>Points</w:t>
            </w:r>
          </w:p>
        </w:tc>
        <w:tc>
          <w:tcPr>
            <w:tcW w:w="4289" w:type="dxa"/>
            <w:tcBorders>
              <w:top w:val="single" w:sz="8" w:space="0" w:color="000000"/>
              <w:bottom w:val="single" w:sz="8" w:space="0" w:color="000000"/>
            </w:tcBorders>
            <w:shd w:val="clear" w:color="auto" w:fill="auto"/>
          </w:tcPr>
          <w:p w14:paraId="0DD15EAF" w14:textId="77777777" w:rsidR="00065473" w:rsidRPr="003F358F" w:rsidRDefault="00065473" w:rsidP="00065473">
            <w:pPr>
              <w:jc w:val="center"/>
              <w:rPr>
                <w:b/>
                <w:bCs/>
                <w:color w:val="000000"/>
              </w:rPr>
            </w:pPr>
            <w:r w:rsidRPr="003F358F">
              <w:rPr>
                <w:b/>
                <w:bCs/>
                <w:color w:val="000000"/>
              </w:rPr>
              <w:t>Topic</w:t>
            </w:r>
          </w:p>
        </w:tc>
      </w:tr>
      <w:tr w:rsidR="00325652" w14:paraId="22E31711" w14:textId="77777777" w:rsidTr="00325652">
        <w:trPr>
          <w:jc w:val="center"/>
        </w:trPr>
        <w:tc>
          <w:tcPr>
            <w:tcW w:w="1216" w:type="dxa"/>
            <w:shd w:val="clear" w:color="auto" w:fill="auto"/>
          </w:tcPr>
          <w:p w14:paraId="4C74938B" w14:textId="77777777" w:rsidR="00325652" w:rsidRDefault="00325652" w:rsidP="00065473">
            <w:pPr>
              <w:jc w:val="center"/>
              <w:rPr>
                <w:b/>
                <w:bCs/>
                <w:color w:val="000000"/>
              </w:rPr>
            </w:pPr>
            <w:r>
              <w:rPr>
                <w:b/>
                <w:bCs/>
                <w:color w:val="000000"/>
              </w:rPr>
              <w:t>1</w:t>
            </w:r>
          </w:p>
        </w:tc>
        <w:tc>
          <w:tcPr>
            <w:tcW w:w="977" w:type="dxa"/>
            <w:tcBorders>
              <w:left w:val="nil"/>
              <w:right w:val="nil"/>
            </w:tcBorders>
            <w:shd w:val="clear" w:color="auto" w:fill="auto"/>
          </w:tcPr>
          <w:p w14:paraId="2F4D0BF8" w14:textId="77777777" w:rsidR="00325652" w:rsidRDefault="00325652" w:rsidP="00065473">
            <w:pPr>
              <w:jc w:val="center"/>
              <w:rPr>
                <w:color w:val="000000"/>
              </w:rPr>
            </w:pPr>
            <w:r>
              <w:rPr>
                <w:color w:val="000000"/>
              </w:rPr>
              <w:t>15</w:t>
            </w:r>
          </w:p>
        </w:tc>
        <w:tc>
          <w:tcPr>
            <w:tcW w:w="4289" w:type="dxa"/>
            <w:shd w:val="clear" w:color="auto" w:fill="auto"/>
          </w:tcPr>
          <w:p w14:paraId="39D10615" w14:textId="77777777" w:rsidR="00325652" w:rsidRDefault="00325652" w:rsidP="00065473">
            <w:pPr>
              <w:jc w:val="center"/>
              <w:rPr>
                <w:color w:val="000000"/>
              </w:rPr>
            </w:pPr>
            <w:r>
              <w:rPr>
                <w:color w:val="000000"/>
              </w:rPr>
              <w:t>Richardson extrapolation</w:t>
            </w:r>
          </w:p>
        </w:tc>
      </w:tr>
      <w:tr w:rsidR="00065473" w14:paraId="7041EA27" w14:textId="77777777" w:rsidTr="0001726B">
        <w:trPr>
          <w:jc w:val="center"/>
        </w:trPr>
        <w:tc>
          <w:tcPr>
            <w:tcW w:w="1216" w:type="dxa"/>
            <w:shd w:val="clear" w:color="auto" w:fill="auto"/>
          </w:tcPr>
          <w:p w14:paraId="7CF8ACEE" w14:textId="77777777" w:rsidR="00065473" w:rsidRPr="003F358F" w:rsidRDefault="00325652" w:rsidP="00065473">
            <w:pPr>
              <w:jc w:val="center"/>
              <w:rPr>
                <w:b/>
                <w:bCs/>
                <w:color w:val="000000"/>
              </w:rPr>
            </w:pPr>
            <w:r>
              <w:rPr>
                <w:b/>
                <w:bCs/>
                <w:color w:val="000000"/>
              </w:rPr>
              <w:t>2</w:t>
            </w:r>
          </w:p>
        </w:tc>
        <w:tc>
          <w:tcPr>
            <w:tcW w:w="977" w:type="dxa"/>
            <w:tcBorders>
              <w:left w:val="nil"/>
              <w:right w:val="nil"/>
            </w:tcBorders>
            <w:shd w:val="clear" w:color="auto" w:fill="auto"/>
          </w:tcPr>
          <w:p w14:paraId="6B0F2AC8" w14:textId="77777777" w:rsidR="00065473" w:rsidRPr="003F358F" w:rsidRDefault="00065473" w:rsidP="00065473">
            <w:pPr>
              <w:jc w:val="center"/>
              <w:rPr>
                <w:color w:val="000000"/>
              </w:rPr>
            </w:pPr>
            <w:r>
              <w:rPr>
                <w:color w:val="000000"/>
              </w:rPr>
              <w:t>20</w:t>
            </w:r>
          </w:p>
        </w:tc>
        <w:tc>
          <w:tcPr>
            <w:tcW w:w="4289" w:type="dxa"/>
            <w:shd w:val="clear" w:color="auto" w:fill="auto"/>
          </w:tcPr>
          <w:p w14:paraId="3FE93278" w14:textId="77777777" w:rsidR="00065473" w:rsidRPr="003F358F" w:rsidRDefault="00065473" w:rsidP="00065473">
            <w:pPr>
              <w:jc w:val="center"/>
              <w:rPr>
                <w:color w:val="000000"/>
              </w:rPr>
            </w:pPr>
            <w:r>
              <w:rPr>
                <w:color w:val="000000"/>
              </w:rPr>
              <w:t>Models with source terms</w:t>
            </w:r>
          </w:p>
        </w:tc>
      </w:tr>
      <w:tr w:rsidR="00065473" w14:paraId="6379684E" w14:textId="77777777" w:rsidTr="00065473">
        <w:trPr>
          <w:jc w:val="center"/>
        </w:trPr>
        <w:tc>
          <w:tcPr>
            <w:tcW w:w="1216" w:type="dxa"/>
            <w:shd w:val="clear" w:color="auto" w:fill="auto"/>
          </w:tcPr>
          <w:p w14:paraId="2BC0BBBA" w14:textId="77777777" w:rsidR="00065473" w:rsidRPr="003F358F" w:rsidRDefault="00325652" w:rsidP="00065473">
            <w:pPr>
              <w:jc w:val="center"/>
              <w:rPr>
                <w:b/>
                <w:bCs/>
                <w:color w:val="000000"/>
              </w:rPr>
            </w:pPr>
            <w:r>
              <w:rPr>
                <w:b/>
                <w:bCs/>
                <w:color w:val="000000"/>
              </w:rPr>
              <w:t>3</w:t>
            </w:r>
          </w:p>
        </w:tc>
        <w:tc>
          <w:tcPr>
            <w:tcW w:w="977" w:type="dxa"/>
            <w:shd w:val="clear" w:color="auto" w:fill="auto"/>
          </w:tcPr>
          <w:p w14:paraId="1BEE953B" w14:textId="77777777" w:rsidR="00065473" w:rsidRPr="003F358F" w:rsidRDefault="00065473" w:rsidP="00065473">
            <w:pPr>
              <w:jc w:val="center"/>
              <w:rPr>
                <w:color w:val="000000"/>
              </w:rPr>
            </w:pPr>
            <w:r>
              <w:rPr>
                <w:color w:val="000000"/>
              </w:rPr>
              <w:t>20</w:t>
            </w:r>
          </w:p>
        </w:tc>
        <w:tc>
          <w:tcPr>
            <w:tcW w:w="4289" w:type="dxa"/>
            <w:shd w:val="clear" w:color="auto" w:fill="auto"/>
          </w:tcPr>
          <w:p w14:paraId="2ADFB6ED" w14:textId="77777777" w:rsidR="00065473" w:rsidRPr="003F358F" w:rsidRDefault="00065473" w:rsidP="00065473">
            <w:pPr>
              <w:jc w:val="center"/>
              <w:rPr>
                <w:color w:val="000000"/>
              </w:rPr>
            </w:pPr>
            <w:r>
              <w:rPr>
                <w:color w:val="000000"/>
              </w:rPr>
              <w:t>Models with source terms</w:t>
            </w:r>
          </w:p>
        </w:tc>
      </w:tr>
    </w:tbl>
    <w:p w14:paraId="43A359BE" w14:textId="77777777" w:rsidR="008643C5" w:rsidRDefault="008643C5" w:rsidP="006B0FF5">
      <w:pPr>
        <w:jc w:val="both"/>
        <w:rPr>
          <w:b/>
        </w:rPr>
      </w:pPr>
    </w:p>
    <w:p w14:paraId="6CB6ACF5" w14:textId="77777777" w:rsidR="00325652" w:rsidRDefault="00325652" w:rsidP="00325652">
      <w:pPr>
        <w:pStyle w:val="ListParagraph"/>
        <w:numPr>
          <w:ilvl w:val="0"/>
          <w:numId w:val="23"/>
        </w:numPr>
        <w:jc w:val="both"/>
      </w:pPr>
      <w:r>
        <w:t xml:space="preserve">Explore Richardson extrapolation on HW 2 Problem 5 as follows. </w:t>
      </w:r>
    </w:p>
    <w:p w14:paraId="3716122A" w14:textId="77777777" w:rsidR="00325652" w:rsidRDefault="00325652" w:rsidP="00325652">
      <w:pPr>
        <w:pStyle w:val="ListParagraph"/>
        <w:numPr>
          <w:ilvl w:val="1"/>
          <w:numId w:val="23"/>
        </w:numPr>
        <w:ind w:left="720"/>
        <w:jc w:val="both"/>
      </w:pPr>
      <w:r>
        <w:t xml:space="preserve">Calculate the </w:t>
      </w:r>
      <w:r w:rsidR="00E135EA">
        <w:t>left-most (“base”) temperature</w:t>
      </w:r>
      <w:r>
        <w:t xml:space="preserve"> simulated using 5, 10, and 20 control volumes. Estimate the order of the simulation using these values.</w:t>
      </w:r>
    </w:p>
    <w:p w14:paraId="64C3A31B" w14:textId="77777777" w:rsidR="00325652" w:rsidRDefault="00325652" w:rsidP="00325652">
      <w:pPr>
        <w:pStyle w:val="ListParagraph"/>
        <w:numPr>
          <w:ilvl w:val="1"/>
          <w:numId w:val="23"/>
        </w:numPr>
        <w:ind w:left="720"/>
        <w:jc w:val="both"/>
      </w:pPr>
      <w:r>
        <w:t xml:space="preserve">Predict the grid-independent base </w:t>
      </w:r>
      <w:r w:rsidR="00E135EA">
        <w:t xml:space="preserve">temperature </w:t>
      </w:r>
      <w:r>
        <w:t xml:space="preserve">using the estimated simulation order from part (a) and the </w:t>
      </w:r>
      <w:r w:rsidR="00E135EA">
        <w:t xml:space="preserve">base temperature </w:t>
      </w:r>
      <w:r>
        <w:t xml:space="preserve">values from the 10- and 20-control volume cases.  </w:t>
      </w:r>
    </w:p>
    <w:p w14:paraId="40553872" w14:textId="77777777" w:rsidR="00325652" w:rsidRDefault="00325652" w:rsidP="00542A97">
      <w:pPr>
        <w:pStyle w:val="ListParagraph"/>
        <w:numPr>
          <w:ilvl w:val="1"/>
          <w:numId w:val="23"/>
        </w:numPr>
        <w:ind w:left="720"/>
        <w:jc w:val="both"/>
      </w:pPr>
      <w:r>
        <w:t xml:space="preserve">Plot base </w:t>
      </w:r>
      <w:r w:rsidR="00E135EA">
        <w:t xml:space="preserve">temperature </w:t>
      </w:r>
      <w:r>
        <w:t xml:space="preserve">for 5, 10, 20, 40, …, 5120, 10240 control volumes. Show the </w:t>
      </w:r>
      <w:r w:rsidR="00FE05B4">
        <w:t xml:space="preserve">predicted grid-independent </w:t>
      </w:r>
      <w:r>
        <w:t xml:space="preserve">solution </w:t>
      </w:r>
      <w:r w:rsidR="00FE05B4">
        <w:t xml:space="preserve">from part b </w:t>
      </w:r>
      <w:r>
        <w:t xml:space="preserve">on this plot. Also generate a table that lists, for these control volumes, the number of control volumes, the simulated base </w:t>
      </w:r>
      <w:r w:rsidR="00E135EA">
        <w:t>temperature</w:t>
      </w:r>
      <w:r>
        <w:t>, and the percent difference between the simulated solutions and the grid-independent solution.</w:t>
      </w:r>
    </w:p>
    <w:p w14:paraId="20634E00" w14:textId="77777777" w:rsidR="00325652" w:rsidRDefault="00325652" w:rsidP="006B0FF5">
      <w:pPr>
        <w:jc w:val="both"/>
      </w:pPr>
    </w:p>
    <w:p w14:paraId="1CB40EA6" w14:textId="77777777" w:rsidR="00325652" w:rsidRDefault="00325652" w:rsidP="006B0FF5">
      <w:pPr>
        <w:jc w:val="both"/>
        <w:rPr>
          <w:b/>
        </w:rPr>
      </w:pPr>
      <w:r>
        <w:rPr>
          <w:b/>
        </w:rPr>
        <w:t>Problem Setup for Problems</w:t>
      </w:r>
      <w:r w:rsidRPr="00325652">
        <w:rPr>
          <w:b/>
        </w:rPr>
        <w:t xml:space="preserve"> 2 and 3</w:t>
      </w:r>
    </w:p>
    <w:p w14:paraId="42A2B612" w14:textId="77777777" w:rsidR="006B0FF5" w:rsidRDefault="006B0FF5" w:rsidP="006B0FF5">
      <w:pPr>
        <w:jc w:val="both"/>
      </w:pPr>
      <w:r>
        <w:t>Consider cooling of a circular fin by means of convective and radiative heat transfer along its length.  For constant diameter, the steady state conservation equation is</w:t>
      </w:r>
    </w:p>
    <w:p w14:paraId="772F9A1E" w14:textId="77777777" w:rsidR="006B0FF5" w:rsidRDefault="006B0FF5" w:rsidP="006B0FF5">
      <w:pPr>
        <w:ind w:left="360" w:firstLine="360"/>
        <w:jc w:val="center"/>
      </w:pPr>
    </w:p>
    <w:p w14:paraId="783858F9" w14:textId="77777777" w:rsidR="006B0FF5" w:rsidRDefault="006B0FF5" w:rsidP="006B0FF5">
      <w:pPr>
        <w:ind w:left="360" w:firstLine="360"/>
        <w:jc w:val="center"/>
      </w:pPr>
      <w:r w:rsidRPr="00CF5A12">
        <w:rPr>
          <w:position w:val="-28"/>
        </w:rPr>
        <w:object w:dxaOrig="4200" w:dyaOrig="680" w14:anchorId="6EE92A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95pt;height:33.45pt" o:ole="" o:allowoverlap="f">
            <v:imagedata r:id="rId5" o:title=""/>
          </v:shape>
          <o:OLEObject Type="Embed" ProgID="Equation.3" ShapeID="_x0000_i1025" DrawAspect="Content" ObjectID="_1768719276" r:id="rId6"/>
        </w:object>
      </w:r>
    </w:p>
    <w:p w14:paraId="24BA2DD6" w14:textId="77777777" w:rsidR="006B0FF5" w:rsidRDefault="006B0FF5" w:rsidP="006B0FF5">
      <w:pPr>
        <w:ind w:left="360" w:firstLine="360"/>
      </w:pPr>
    </w:p>
    <w:p w14:paraId="157D3B71" w14:textId="77777777" w:rsidR="006B0FF5" w:rsidRDefault="006B0FF5" w:rsidP="006B0FF5">
      <w:pPr>
        <w:jc w:val="both"/>
      </w:pPr>
      <w:r>
        <w:t xml:space="preserve">where </w:t>
      </w:r>
      <w:r w:rsidRPr="003B6848">
        <w:rPr>
          <w:i/>
        </w:rPr>
        <w:t>k</w:t>
      </w:r>
      <w:r>
        <w:t xml:space="preserve"> is the thermal conductivity, </w:t>
      </w:r>
      <w:r w:rsidRPr="003B6848">
        <w:rPr>
          <w:i/>
        </w:rPr>
        <w:t>D</w:t>
      </w:r>
      <w:r>
        <w:t xml:space="preserve"> the diameter, </w:t>
      </w:r>
      <w:r w:rsidRPr="003B6848">
        <w:rPr>
          <w:i/>
        </w:rPr>
        <w:t>T</w:t>
      </w:r>
      <w:r>
        <w:rPr>
          <w:vertAlign w:val="subscript"/>
        </w:rPr>
        <w:t>∞</w:t>
      </w:r>
      <w:r>
        <w:t xml:space="preserve"> the ambient temperature, </w:t>
      </w:r>
      <w:proofErr w:type="spellStart"/>
      <w:r w:rsidRPr="001C293B">
        <w:rPr>
          <w:i/>
        </w:rPr>
        <w:t>T</w:t>
      </w:r>
      <w:r w:rsidRPr="001C293B">
        <w:rPr>
          <w:i/>
          <w:vertAlign w:val="subscript"/>
        </w:rPr>
        <w:t>surr</w:t>
      </w:r>
      <w:proofErr w:type="spellEnd"/>
      <w:r w:rsidRPr="001C293B">
        <w:t xml:space="preserve"> </w:t>
      </w:r>
      <w:r>
        <w:t xml:space="preserve">the temperature of the surroundings, </w:t>
      </w:r>
      <w:r w:rsidRPr="001C293B">
        <w:rPr>
          <w:rFonts w:ascii="Symbol" w:hAnsi="Symbol"/>
          <w:i/>
        </w:rPr>
        <w:t></w:t>
      </w:r>
      <w:r>
        <w:t xml:space="preserve"> the fin surface emissivity, and </w:t>
      </w:r>
      <w:r>
        <w:rPr>
          <w:rFonts w:ascii="Symbol" w:hAnsi="Symbol"/>
          <w:i/>
        </w:rPr>
        <w:t></w:t>
      </w:r>
      <w:r>
        <w:t xml:space="preserve"> the Stefan-Boltzmann constant (5.67×10</w:t>
      </w:r>
      <w:r w:rsidRPr="001C293B">
        <w:rPr>
          <w:vertAlign w:val="superscript"/>
        </w:rPr>
        <w:t>−8</w:t>
      </w:r>
      <w:r>
        <w:t xml:space="preserve"> W/m</w:t>
      </w:r>
      <w:r w:rsidRPr="001C293B">
        <w:rPr>
          <w:vertAlign w:val="superscript"/>
        </w:rPr>
        <w:t>2</w:t>
      </w:r>
      <w:r>
        <w:t>K</w:t>
      </w:r>
      <w:r w:rsidRPr="001C293B">
        <w:rPr>
          <w:vertAlign w:val="superscript"/>
        </w:rPr>
        <w:t>4</w:t>
      </w:r>
      <w:r>
        <w:t>).</w:t>
      </w:r>
    </w:p>
    <w:p w14:paraId="005E2995" w14:textId="77777777" w:rsidR="006B0FF5" w:rsidRDefault="006B0FF5" w:rsidP="006B0FF5">
      <w:pPr>
        <w:ind w:left="360" w:firstLine="360"/>
      </w:pPr>
    </w:p>
    <w:p w14:paraId="376DF034" w14:textId="77777777" w:rsidR="006B0FF5" w:rsidRDefault="006B0FF5" w:rsidP="006B0FF5">
      <w:pPr>
        <w:jc w:val="both"/>
      </w:pPr>
      <w:r>
        <w:t>Formulate this problem for solution via the control-volume method, and apply the two cases specified below.  For both cases, the temperature at the base is fixed, the tip of the fin can be considered to be adiabatic, and the following parameters apply:</w:t>
      </w:r>
    </w:p>
    <w:p w14:paraId="0FA4C1C7" w14:textId="77777777" w:rsidR="006B0FF5" w:rsidRDefault="006B0FF5" w:rsidP="006B0FF5">
      <w:pPr>
        <w:ind w:left="720" w:firstLine="360"/>
      </w:pPr>
    </w:p>
    <w:p w14:paraId="3EAAAAB6" w14:textId="77777777" w:rsidR="00E0192C" w:rsidRDefault="00E0192C" w:rsidP="00E0192C">
      <w:pPr>
        <w:sectPr w:rsidR="00E0192C" w:rsidSect="00735168">
          <w:pgSz w:w="12240" w:h="15840"/>
          <w:pgMar w:top="1440" w:right="1440" w:bottom="1440" w:left="1440" w:header="720" w:footer="720" w:gutter="0"/>
          <w:cols w:space="720"/>
          <w:docGrid w:linePitch="360"/>
        </w:sectPr>
      </w:pPr>
    </w:p>
    <w:p w14:paraId="3463E388" w14:textId="77777777" w:rsidR="006B0FF5" w:rsidRDefault="006B0FF5" w:rsidP="00E0192C">
      <w:r w:rsidRPr="001C293B">
        <w:rPr>
          <w:i/>
        </w:rPr>
        <w:t>L</w:t>
      </w:r>
      <w:r>
        <w:t xml:space="preserve"> = 2 cm</w:t>
      </w:r>
      <w:r w:rsidR="00E0192C">
        <w:t xml:space="preserve">, </w:t>
      </w:r>
      <w:r w:rsidRPr="001C293B">
        <w:rPr>
          <w:i/>
        </w:rPr>
        <w:t>D</w:t>
      </w:r>
      <w:r>
        <w:t xml:space="preserve"> = 3 mm</w:t>
      </w:r>
    </w:p>
    <w:p w14:paraId="771CA2F5" w14:textId="77777777" w:rsidR="00E0192C" w:rsidRPr="001C293B" w:rsidRDefault="006B0FF5" w:rsidP="00E0192C">
      <w:r w:rsidRPr="001C293B">
        <w:rPr>
          <w:i/>
        </w:rPr>
        <w:t>k</w:t>
      </w:r>
      <w:r w:rsidR="00E0192C">
        <w:t xml:space="preserve"> = 401 </w:t>
      </w:r>
      <w:r>
        <w:t>W/</w:t>
      </w:r>
      <w:proofErr w:type="spellStart"/>
      <w:r>
        <w:t>mk</w:t>
      </w:r>
      <w:proofErr w:type="spellEnd"/>
      <w:r>
        <w:t xml:space="preserve"> (copper)</w:t>
      </w:r>
      <w:r w:rsidR="00E0192C">
        <w:t xml:space="preserve">, </w:t>
      </w:r>
      <w:r w:rsidR="00E0192C">
        <w:rPr>
          <w:i/>
        </w:rPr>
        <w:t>h</w:t>
      </w:r>
      <w:r w:rsidR="00E0192C">
        <w:t xml:space="preserve"> = 10 W/m</w:t>
      </w:r>
      <w:r w:rsidR="00E0192C" w:rsidRPr="001C293B">
        <w:rPr>
          <w:vertAlign w:val="superscript"/>
        </w:rPr>
        <w:t>2</w:t>
      </w:r>
      <w:r w:rsidR="00E0192C">
        <w:t>K</w:t>
      </w:r>
    </w:p>
    <w:p w14:paraId="20A486F1" w14:textId="77777777" w:rsidR="00E0192C" w:rsidRDefault="006B0FF5" w:rsidP="00E0192C">
      <w:r>
        <w:rPr>
          <w:i/>
        </w:rPr>
        <w:t>T</w:t>
      </w:r>
      <w:r w:rsidRPr="001C293B">
        <w:rPr>
          <w:i/>
          <w:vertAlign w:val="subscript"/>
        </w:rPr>
        <w:t>B</w:t>
      </w:r>
      <w:r>
        <w:t xml:space="preserve"> = 400 K</w:t>
      </w:r>
      <w:r w:rsidR="00E0192C">
        <w:t xml:space="preserve">, </w:t>
      </w:r>
      <w:r>
        <w:rPr>
          <w:i/>
        </w:rPr>
        <w:t>T</w:t>
      </w:r>
      <w:r w:rsidRPr="001C293B">
        <w:rPr>
          <w:i/>
          <w:vertAlign w:val="subscript"/>
        </w:rPr>
        <w:t>∞</w:t>
      </w:r>
      <w:r>
        <w:t xml:space="preserve"> = 273 K</w:t>
      </w:r>
      <w:r w:rsidR="00E0192C">
        <w:t xml:space="preserve">, </w:t>
      </w:r>
      <w:proofErr w:type="spellStart"/>
      <w:r>
        <w:rPr>
          <w:i/>
        </w:rPr>
        <w:t>T</w:t>
      </w:r>
      <w:r w:rsidRPr="001C293B">
        <w:rPr>
          <w:i/>
          <w:vertAlign w:val="subscript"/>
        </w:rPr>
        <w:t>surr</w:t>
      </w:r>
      <w:proofErr w:type="spellEnd"/>
      <w:r>
        <w:t xml:space="preserve"> = 273 K</w:t>
      </w:r>
    </w:p>
    <w:p w14:paraId="62D9A1CB" w14:textId="77777777" w:rsidR="00E0192C" w:rsidRDefault="00E0192C" w:rsidP="006B0FF5">
      <w:pPr>
        <w:sectPr w:rsidR="00E0192C" w:rsidSect="00735168">
          <w:type w:val="continuous"/>
          <w:pgSz w:w="12240" w:h="15840"/>
          <w:pgMar w:top="1440" w:right="1440" w:bottom="1440" w:left="1440" w:header="720" w:footer="720" w:gutter="0"/>
          <w:cols w:space="720"/>
          <w:docGrid w:linePitch="360"/>
        </w:sectPr>
      </w:pPr>
    </w:p>
    <w:p w14:paraId="5220C535" w14:textId="77777777" w:rsidR="006B0FF5" w:rsidRDefault="006B0FF5" w:rsidP="006B0FF5">
      <w:r>
        <w:tab/>
      </w:r>
    </w:p>
    <w:p w14:paraId="4E3A61A3" w14:textId="77777777" w:rsidR="006B0FF5" w:rsidRDefault="006B0FF5" w:rsidP="006B0FF5">
      <w:pPr>
        <w:jc w:val="both"/>
      </w:pPr>
      <w:r>
        <w:t>Note the following in developing your model:</w:t>
      </w:r>
    </w:p>
    <w:p w14:paraId="30C08CD2" w14:textId="77777777" w:rsidR="006B0FF5" w:rsidRDefault="006B0FF5" w:rsidP="006B0FF5">
      <w:pPr>
        <w:numPr>
          <w:ilvl w:val="0"/>
          <w:numId w:val="6"/>
        </w:numPr>
        <w:jc w:val="both"/>
      </w:pPr>
      <w:r>
        <w:t xml:space="preserve">An iterative method is required since the source term is nonlinear.  </w:t>
      </w:r>
      <w:r w:rsidRPr="00296122">
        <w:rPr>
          <w:b/>
          <w:bCs/>
        </w:rPr>
        <w:t>Use the TDMA method</w:t>
      </w:r>
      <w:r>
        <w:t xml:space="preserve"> to solve the linear system at each iteration.</w:t>
      </w:r>
    </w:p>
    <w:p w14:paraId="65E72FA0" w14:textId="77777777" w:rsidR="006B0FF5" w:rsidRDefault="006B0FF5" w:rsidP="006B0FF5">
      <w:pPr>
        <w:numPr>
          <w:ilvl w:val="0"/>
          <w:numId w:val="6"/>
        </w:numPr>
        <w:jc w:val="both"/>
      </w:pPr>
      <w:r>
        <w:t>Iterate until the maximum temperature change at any node between iterations is &lt; 0.0001.</w:t>
      </w:r>
    </w:p>
    <w:p w14:paraId="711AF712" w14:textId="77777777" w:rsidR="006B0FF5" w:rsidRDefault="006B0FF5" w:rsidP="006B0FF5">
      <w:pPr>
        <w:numPr>
          <w:ilvl w:val="0"/>
          <w:numId w:val="6"/>
        </w:numPr>
        <w:jc w:val="both"/>
      </w:pPr>
      <w:r>
        <w:t>Appropriately linearize the source term.</w:t>
      </w:r>
    </w:p>
    <w:p w14:paraId="32856799" w14:textId="77777777" w:rsidR="006B0FF5" w:rsidRDefault="006B0FF5" w:rsidP="006B0FF5"/>
    <w:p w14:paraId="42E42E60" w14:textId="77777777" w:rsidR="006B0FF5" w:rsidRDefault="00325652" w:rsidP="006B0FF5">
      <w:pPr>
        <w:ind w:left="360" w:hanging="360"/>
      </w:pPr>
      <w:r>
        <w:t>2</w:t>
      </w:r>
      <w:r w:rsidR="006B0FF5">
        <w:t>.</w:t>
      </w:r>
      <w:r w:rsidR="006B0FF5">
        <w:tab/>
        <w:t xml:space="preserve">Validate your model by predicting the temperature distribution </w:t>
      </w:r>
      <w:r w:rsidR="006B0FF5" w:rsidRPr="001C293B">
        <w:rPr>
          <w:i/>
        </w:rPr>
        <w:t>T</w:t>
      </w:r>
      <w:r w:rsidR="006B0FF5">
        <w:t>(</w:t>
      </w:r>
      <w:r w:rsidR="006B0FF5" w:rsidRPr="001C293B">
        <w:rPr>
          <w:i/>
        </w:rPr>
        <w:t>x</w:t>
      </w:r>
      <w:r w:rsidR="006B0FF5">
        <w:t xml:space="preserve">) and the fin heat transfer </w:t>
      </w:r>
      <w:proofErr w:type="spellStart"/>
      <w:r w:rsidR="006B0FF5" w:rsidRPr="001C293B">
        <w:rPr>
          <w:i/>
        </w:rPr>
        <w:t>q</w:t>
      </w:r>
      <w:r w:rsidR="006B0FF5" w:rsidRPr="001C293B">
        <w:rPr>
          <w:i/>
          <w:vertAlign w:val="subscript"/>
        </w:rPr>
        <w:t>f</w:t>
      </w:r>
      <w:proofErr w:type="spellEnd"/>
      <w:r w:rsidR="006B0FF5">
        <w:t xml:space="preserve"> for the convection-only case (</w:t>
      </w:r>
      <w:r w:rsidR="006B0FF5" w:rsidRPr="001C293B">
        <w:rPr>
          <w:rFonts w:ascii="Symbol" w:hAnsi="Symbol"/>
          <w:i/>
        </w:rPr>
        <w:t></w:t>
      </w:r>
      <w:r w:rsidR="006B0FF5">
        <w:t xml:space="preserve"> = 0).  For this case there is an analytical solution:</w:t>
      </w:r>
    </w:p>
    <w:p w14:paraId="46D3F1E4" w14:textId="77777777" w:rsidR="006B0FF5" w:rsidRDefault="006B0FF5" w:rsidP="006B0FF5">
      <w:pPr>
        <w:ind w:left="1080"/>
      </w:pPr>
    </w:p>
    <w:p w14:paraId="4BF38993" w14:textId="77777777" w:rsidR="006B0FF5" w:rsidRDefault="006B0FF5" w:rsidP="006B0FF5">
      <w:pPr>
        <w:jc w:val="center"/>
      </w:pPr>
      <w:r w:rsidRPr="001C293B">
        <w:rPr>
          <w:position w:val="-30"/>
        </w:rPr>
        <w:object w:dxaOrig="2400" w:dyaOrig="680" w14:anchorId="020D2144">
          <v:shape id="_x0000_i1026" type="#_x0000_t75" style="width:119.85pt;height:33.45pt" o:ole="">
            <v:imagedata r:id="rId7" o:title=""/>
          </v:shape>
          <o:OLEObject Type="Embed" ProgID="Equation.3" ShapeID="_x0000_i1026" DrawAspect="Content" ObjectID="_1768719277" r:id="rId8"/>
        </w:object>
      </w:r>
    </w:p>
    <w:p w14:paraId="58F1ACC2" w14:textId="77777777" w:rsidR="006B0FF5" w:rsidRDefault="006B0FF5" w:rsidP="006B0FF5">
      <w:pPr>
        <w:ind w:left="1080"/>
      </w:pPr>
    </w:p>
    <w:p w14:paraId="4A7D7EF2" w14:textId="77777777" w:rsidR="006B0FF5" w:rsidRDefault="006B0FF5" w:rsidP="006B0FF5">
      <w:pPr>
        <w:ind w:left="360"/>
      </w:pPr>
      <w:r>
        <w:t xml:space="preserve">where </w:t>
      </w:r>
      <w:r w:rsidRPr="001C293B">
        <w:rPr>
          <w:i/>
        </w:rPr>
        <w:t>n</w:t>
      </w:r>
      <w:r w:rsidRPr="001C293B">
        <w:rPr>
          <w:vertAlign w:val="superscript"/>
        </w:rPr>
        <w:t>2</w:t>
      </w:r>
      <w:r>
        <w:t xml:space="preserve"> = 4</w:t>
      </w:r>
      <w:r w:rsidRPr="001C293B">
        <w:rPr>
          <w:i/>
        </w:rPr>
        <w:t>h</w:t>
      </w:r>
      <w:r>
        <w:t>/</w:t>
      </w:r>
      <w:r w:rsidRPr="001C293B">
        <w:rPr>
          <w:i/>
        </w:rPr>
        <w:t>Dk</w:t>
      </w:r>
      <w:r>
        <w:t>.  Plot the maximum error vs. number of control volumes.</w:t>
      </w:r>
    </w:p>
    <w:p w14:paraId="4B7BD60A" w14:textId="77777777" w:rsidR="008643C5" w:rsidRDefault="008643C5" w:rsidP="006B0FF5">
      <w:pPr>
        <w:ind w:left="360"/>
      </w:pPr>
    </w:p>
    <w:p w14:paraId="68CF2C73" w14:textId="77777777" w:rsidR="005068B3" w:rsidRDefault="00325652" w:rsidP="00142939">
      <w:pPr>
        <w:ind w:left="360" w:hanging="360"/>
      </w:pPr>
      <w:r>
        <w:t>3</w:t>
      </w:r>
      <w:r w:rsidR="006B0FF5">
        <w:t>.</w:t>
      </w:r>
      <w:r w:rsidR="006B0FF5">
        <w:tab/>
        <w:t xml:space="preserve">Predict and plot the steady-state temperature distribution for the combined convection and radiation case with </w:t>
      </w:r>
      <w:r w:rsidR="006B0FF5" w:rsidRPr="00764F9D">
        <w:rPr>
          <w:i/>
        </w:rPr>
        <w:t>h</w:t>
      </w:r>
      <w:r w:rsidR="006B0FF5">
        <w:t xml:space="preserve"> = 10 W/m</w:t>
      </w:r>
      <w:r w:rsidR="006B0FF5" w:rsidRPr="00764F9D">
        <w:rPr>
          <w:vertAlign w:val="superscript"/>
        </w:rPr>
        <w:t>2</w:t>
      </w:r>
      <w:r w:rsidR="006B0FF5">
        <w:t xml:space="preserve">K and </w:t>
      </w:r>
      <w:r w:rsidR="006B0FF5" w:rsidRPr="00764F9D">
        <w:rPr>
          <w:rFonts w:ascii="Symbol" w:hAnsi="Symbol"/>
          <w:i/>
        </w:rPr>
        <w:t></w:t>
      </w:r>
      <w:r w:rsidR="006B0FF5">
        <w:t xml:space="preserve"> = 1.  Use an appropriate number of CVs as determined from the previous problem.  Comparing this problem with the previous problem, comment on the relative importance of convective vs. radiative heat transfer on the tip temperature.</w:t>
      </w:r>
    </w:p>
    <w:sectPr w:rsidR="005068B3" w:rsidSect="0073516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7CCE"/>
    <w:multiLevelType w:val="hybridMultilevel"/>
    <w:tmpl w:val="13BC556A"/>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86737"/>
    <w:multiLevelType w:val="hybridMultilevel"/>
    <w:tmpl w:val="5EF09836"/>
    <w:lvl w:ilvl="0" w:tplc="606A4F66">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2044E6"/>
    <w:multiLevelType w:val="hybridMultilevel"/>
    <w:tmpl w:val="F4585642"/>
    <w:lvl w:ilvl="0" w:tplc="AACAA6A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1E04E5"/>
    <w:multiLevelType w:val="hybridMultilevel"/>
    <w:tmpl w:val="1F36BF4A"/>
    <w:lvl w:ilvl="0" w:tplc="A986101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C936D57"/>
    <w:multiLevelType w:val="hybridMultilevel"/>
    <w:tmpl w:val="CE34600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CB083C"/>
    <w:multiLevelType w:val="hybridMultilevel"/>
    <w:tmpl w:val="A66862AE"/>
    <w:lvl w:ilvl="0" w:tplc="EAF2CBC6">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F972F63"/>
    <w:multiLevelType w:val="hybridMultilevel"/>
    <w:tmpl w:val="5FC2B8D1"/>
    <w:lvl w:ilvl="0" w:tplc="FFFFFFFF">
      <w:start w:val="1"/>
      <w:numFmt w:val="decimal"/>
      <w:suff w:val="nothing"/>
      <w:lvlText w:val=""/>
      <w:lvlJc w:val="left"/>
    </w:lvl>
    <w:lvl w:ilvl="1" w:tplc="FFFFFFFF">
      <w:start w:val="1"/>
      <w:numFmt w:val="decimal"/>
      <w:suff w:val="nothing"/>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2C50AEE"/>
    <w:multiLevelType w:val="hybridMultilevel"/>
    <w:tmpl w:val="B67680F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9F0BCE"/>
    <w:multiLevelType w:val="hybridMultilevel"/>
    <w:tmpl w:val="2A42723E"/>
    <w:lvl w:ilvl="0" w:tplc="1FEE3E8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7E96055"/>
    <w:multiLevelType w:val="hybridMultilevel"/>
    <w:tmpl w:val="8200C3C2"/>
    <w:lvl w:ilvl="0" w:tplc="CB40DF9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C307B49"/>
    <w:multiLevelType w:val="hybridMultilevel"/>
    <w:tmpl w:val="3A9AA65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CB97D40"/>
    <w:multiLevelType w:val="hybridMultilevel"/>
    <w:tmpl w:val="9B2A41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6C33A1"/>
    <w:multiLevelType w:val="hybridMultilevel"/>
    <w:tmpl w:val="D968E5B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04802AF"/>
    <w:multiLevelType w:val="hybridMultilevel"/>
    <w:tmpl w:val="7834D7A6"/>
    <w:lvl w:ilvl="0" w:tplc="348E832A">
      <w:start w:val="1"/>
      <w:numFmt w:val="lowerLetter"/>
      <w:lvlText w:val="%1."/>
      <w:lvlJc w:val="left"/>
      <w:pPr>
        <w:tabs>
          <w:tab w:val="num" w:pos="720"/>
        </w:tabs>
        <w:ind w:left="720" w:hanging="360"/>
      </w:pPr>
      <w:rPr>
        <w:rFonts w:ascii="Times New Roman" w:eastAsia="Times New Roman" w:hAnsi="Times New Roman" w:cs="Times New Roman"/>
      </w:rPr>
    </w:lvl>
    <w:lvl w:ilvl="1" w:tplc="A9ACCEE4">
      <w:start w:val="1"/>
      <w:numFmt w:val="lowerRoman"/>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39B2103"/>
    <w:multiLevelType w:val="hybridMultilevel"/>
    <w:tmpl w:val="F9F45E1B"/>
    <w:lvl w:ilvl="0" w:tplc="FFFFFFFF">
      <w:start w:val="1"/>
      <w:numFmt w:val="decimal"/>
      <w:suff w:val="nothing"/>
      <w:lvlText w:val=""/>
      <w:lvlJc w:val="left"/>
    </w:lvl>
    <w:lvl w:ilvl="1" w:tplc="FFFFFFFF">
      <w:start w:val="1"/>
      <w:numFmt w:val="decimal"/>
      <w:suff w:val="nothing"/>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9AC2F78"/>
    <w:multiLevelType w:val="hybridMultilevel"/>
    <w:tmpl w:val="5A561688"/>
    <w:lvl w:ilvl="0" w:tplc="079AE4F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FF67829"/>
    <w:multiLevelType w:val="hybridMultilevel"/>
    <w:tmpl w:val="3A9AA65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34868D3"/>
    <w:multiLevelType w:val="hybridMultilevel"/>
    <w:tmpl w:val="7D941E92"/>
    <w:lvl w:ilvl="0" w:tplc="1FEE3E8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DBF5F3A"/>
    <w:multiLevelType w:val="hybridMultilevel"/>
    <w:tmpl w:val="993C2406"/>
    <w:lvl w:ilvl="0" w:tplc="76261FF6">
      <w:start w:val="4"/>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A3E4C2C"/>
    <w:multiLevelType w:val="hybridMultilevel"/>
    <w:tmpl w:val="7F72DAA6"/>
    <w:lvl w:ilvl="0" w:tplc="F7E6FDA0">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4FFA12A"/>
    <w:multiLevelType w:val="hybridMultilevel"/>
    <w:tmpl w:val="FC5492AD"/>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6E435C43"/>
    <w:multiLevelType w:val="hybridMultilevel"/>
    <w:tmpl w:val="808626A6"/>
    <w:lvl w:ilvl="0" w:tplc="EADA4528">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3A0EA106">
      <w:start w:val="1"/>
      <w:numFmt w:val="decimal"/>
      <w:lvlText w:val="%3."/>
      <w:lvlJc w:val="right"/>
      <w:pPr>
        <w:tabs>
          <w:tab w:val="num" w:pos="2160"/>
        </w:tabs>
        <w:ind w:left="2160" w:hanging="180"/>
      </w:pPr>
      <w:rPr>
        <w:rFonts w:ascii="Times New Roman" w:eastAsia="MS Mincho" w:hAnsi="Times New Roman" w:cs="Times New Roman"/>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8F82558"/>
    <w:multiLevelType w:val="hybridMultilevel"/>
    <w:tmpl w:val="1960C8AC"/>
    <w:lvl w:ilvl="0" w:tplc="8C46D5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37882936">
    <w:abstractNumId w:val="22"/>
  </w:num>
  <w:num w:numId="2" w16cid:durableId="112529356">
    <w:abstractNumId w:val="9"/>
  </w:num>
  <w:num w:numId="3" w16cid:durableId="1518076708">
    <w:abstractNumId w:val="19"/>
  </w:num>
  <w:num w:numId="4" w16cid:durableId="1394619809">
    <w:abstractNumId w:val="15"/>
  </w:num>
  <w:num w:numId="5" w16cid:durableId="277761396">
    <w:abstractNumId w:val="5"/>
  </w:num>
  <w:num w:numId="6" w16cid:durableId="2050301918">
    <w:abstractNumId w:val="18"/>
  </w:num>
  <w:num w:numId="7" w16cid:durableId="1385179199">
    <w:abstractNumId w:val="4"/>
  </w:num>
  <w:num w:numId="8" w16cid:durableId="1773359271">
    <w:abstractNumId w:val="3"/>
  </w:num>
  <w:num w:numId="9" w16cid:durableId="174273453">
    <w:abstractNumId w:val="10"/>
  </w:num>
  <w:num w:numId="10" w16cid:durableId="338391698">
    <w:abstractNumId w:val="13"/>
  </w:num>
  <w:num w:numId="11" w16cid:durableId="359933277">
    <w:abstractNumId w:val="12"/>
  </w:num>
  <w:num w:numId="12" w16cid:durableId="315036945">
    <w:abstractNumId w:val="20"/>
  </w:num>
  <w:num w:numId="13" w16cid:durableId="174614479">
    <w:abstractNumId w:val="6"/>
  </w:num>
  <w:num w:numId="14" w16cid:durableId="2034381184">
    <w:abstractNumId w:val="14"/>
  </w:num>
  <w:num w:numId="15" w16cid:durableId="953832658">
    <w:abstractNumId w:val="21"/>
  </w:num>
  <w:num w:numId="16" w16cid:durableId="92552789">
    <w:abstractNumId w:val="1"/>
  </w:num>
  <w:num w:numId="17" w16cid:durableId="1376738208">
    <w:abstractNumId w:val="17"/>
  </w:num>
  <w:num w:numId="18" w16cid:durableId="1479834894">
    <w:abstractNumId w:val="8"/>
  </w:num>
  <w:num w:numId="19" w16cid:durableId="1780224876">
    <w:abstractNumId w:val="2"/>
  </w:num>
  <w:num w:numId="20" w16cid:durableId="944576567">
    <w:abstractNumId w:val="0"/>
  </w:num>
  <w:num w:numId="21" w16cid:durableId="1911387068">
    <w:abstractNumId w:val="16"/>
  </w:num>
  <w:num w:numId="22" w16cid:durableId="1960256384">
    <w:abstractNumId w:val="11"/>
  </w:num>
  <w:num w:numId="23" w16cid:durableId="15954323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D19"/>
    <w:rsid w:val="00002533"/>
    <w:rsid w:val="00004A64"/>
    <w:rsid w:val="0001726B"/>
    <w:rsid w:val="00024DDE"/>
    <w:rsid w:val="0002780F"/>
    <w:rsid w:val="0003312E"/>
    <w:rsid w:val="00052589"/>
    <w:rsid w:val="00052D47"/>
    <w:rsid w:val="0005783B"/>
    <w:rsid w:val="00065473"/>
    <w:rsid w:val="00071BA0"/>
    <w:rsid w:val="00083D19"/>
    <w:rsid w:val="00086298"/>
    <w:rsid w:val="000B14BF"/>
    <w:rsid w:val="000B6F30"/>
    <w:rsid w:val="000C5CF7"/>
    <w:rsid w:val="000D1EE1"/>
    <w:rsid w:val="000D3DF9"/>
    <w:rsid w:val="000D4FF4"/>
    <w:rsid w:val="000E7C49"/>
    <w:rsid w:val="000F6728"/>
    <w:rsid w:val="00120224"/>
    <w:rsid w:val="001254DC"/>
    <w:rsid w:val="00142939"/>
    <w:rsid w:val="001434C1"/>
    <w:rsid w:val="00156FF3"/>
    <w:rsid w:val="001574DE"/>
    <w:rsid w:val="00177EB5"/>
    <w:rsid w:val="001920EA"/>
    <w:rsid w:val="001B0164"/>
    <w:rsid w:val="001B558C"/>
    <w:rsid w:val="001E4576"/>
    <w:rsid w:val="001E68D7"/>
    <w:rsid w:val="001F477E"/>
    <w:rsid w:val="001F6696"/>
    <w:rsid w:val="002006DE"/>
    <w:rsid w:val="0021016D"/>
    <w:rsid w:val="00212018"/>
    <w:rsid w:val="00221D42"/>
    <w:rsid w:val="002371CA"/>
    <w:rsid w:val="00237CBB"/>
    <w:rsid w:val="0026493E"/>
    <w:rsid w:val="00267841"/>
    <w:rsid w:val="00276214"/>
    <w:rsid w:val="002822A3"/>
    <w:rsid w:val="00290FE1"/>
    <w:rsid w:val="00291E84"/>
    <w:rsid w:val="00296122"/>
    <w:rsid w:val="002A2B7B"/>
    <w:rsid w:val="002B0E4F"/>
    <w:rsid w:val="002B49CD"/>
    <w:rsid w:val="002C5499"/>
    <w:rsid w:val="002E7FD5"/>
    <w:rsid w:val="002F0EE4"/>
    <w:rsid w:val="003006E2"/>
    <w:rsid w:val="00301FA9"/>
    <w:rsid w:val="003105A0"/>
    <w:rsid w:val="00314B63"/>
    <w:rsid w:val="003217A5"/>
    <w:rsid w:val="00323FCF"/>
    <w:rsid w:val="00325652"/>
    <w:rsid w:val="00330E9B"/>
    <w:rsid w:val="00340D88"/>
    <w:rsid w:val="00364227"/>
    <w:rsid w:val="0036544C"/>
    <w:rsid w:val="00370F46"/>
    <w:rsid w:val="003726DB"/>
    <w:rsid w:val="0037292B"/>
    <w:rsid w:val="003731B8"/>
    <w:rsid w:val="00383157"/>
    <w:rsid w:val="00384E09"/>
    <w:rsid w:val="00384F8F"/>
    <w:rsid w:val="003A58CD"/>
    <w:rsid w:val="003B71A1"/>
    <w:rsid w:val="003C030E"/>
    <w:rsid w:val="003D2B9F"/>
    <w:rsid w:val="003E0098"/>
    <w:rsid w:val="003F4224"/>
    <w:rsid w:val="003F6340"/>
    <w:rsid w:val="00400E03"/>
    <w:rsid w:val="00422D71"/>
    <w:rsid w:val="004306B3"/>
    <w:rsid w:val="004336B7"/>
    <w:rsid w:val="004624CE"/>
    <w:rsid w:val="00490525"/>
    <w:rsid w:val="004B0E0E"/>
    <w:rsid w:val="004B1B67"/>
    <w:rsid w:val="004B6A17"/>
    <w:rsid w:val="004C0A52"/>
    <w:rsid w:val="004D31A1"/>
    <w:rsid w:val="004F211C"/>
    <w:rsid w:val="004F56C1"/>
    <w:rsid w:val="005065CD"/>
    <w:rsid w:val="005068B3"/>
    <w:rsid w:val="00511F65"/>
    <w:rsid w:val="005124E7"/>
    <w:rsid w:val="00521FED"/>
    <w:rsid w:val="00527046"/>
    <w:rsid w:val="00541CFD"/>
    <w:rsid w:val="00545A3F"/>
    <w:rsid w:val="005612B5"/>
    <w:rsid w:val="00562B29"/>
    <w:rsid w:val="0057183B"/>
    <w:rsid w:val="0057479C"/>
    <w:rsid w:val="0058015C"/>
    <w:rsid w:val="00595420"/>
    <w:rsid w:val="00597825"/>
    <w:rsid w:val="005A22D9"/>
    <w:rsid w:val="005C6DCC"/>
    <w:rsid w:val="005C7C42"/>
    <w:rsid w:val="005D059E"/>
    <w:rsid w:val="005E105D"/>
    <w:rsid w:val="005E416F"/>
    <w:rsid w:val="005E45E1"/>
    <w:rsid w:val="005E543D"/>
    <w:rsid w:val="005F71E6"/>
    <w:rsid w:val="00607215"/>
    <w:rsid w:val="0062038F"/>
    <w:rsid w:val="00624B5F"/>
    <w:rsid w:val="00626A24"/>
    <w:rsid w:val="0063290D"/>
    <w:rsid w:val="0063382D"/>
    <w:rsid w:val="00635FCF"/>
    <w:rsid w:val="006401F9"/>
    <w:rsid w:val="00642F46"/>
    <w:rsid w:val="00643DDF"/>
    <w:rsid w:val="00661016"/>
    <w:rsid w:val="00672527"/>
    <w:rsid w:val="00676DE9"/>
    <w:rsid w:val="0067785F"/>
    <w:rsid w:val="00697690"/>
    <w:rsid w:val="006A21B5"/>
    <w:rsid w:val="006B0093"/>
    <w:rsid w:val="006B0FF5"/>
    <w:rsid w:val="006C000B"/>
    <w:rsid w:val="006C3395"/>
    <w:rsid w:val="006C5139"/>
    <w:rsid w:val="006D057D"/>
    <w:rsid w:val="006E1651"/>
    <w:rsid w:val="006E28DD"/>
    <w:rsid w:val="006E66F3"/>
    <w:rsid w:val="006E7C52"/>
    <w:rsid w:val="00711578"/>
    <w:rsid w:val="007144C4"/>
    <w:rsid w:val="00722D92"/>
    <w:rsid w:val="00731D06"/>
    <w:rsid w:val="00735168"/>
    <w:rsid w:val="00741EB2"/>
    <w:rsid w:val="00755D35"/>
    <w:rsid w:val="007560C2"/>
    <w:rsid w:val="00766556"/>
    <w:rsid w:val="00771B8C"/>
    <w:rsid w:val="00772680"/>
    <w:rsid w:val="007759B4"/>
    <w:rsid w:val="007770AF"/>
    <w:rsid w:val="0078694A"/>
    <w:rsid w:val="0079086A"/>
    <w:rsid w:val="00797354"/>
    <w:rsid w:val="007974DF"/>
    <w:rsid w:val="007A2BEA"/>
    <w:rsid w:val="007C0809"/>
    <w:rsid w:val="007D761F"/>
    <w:rsid w:val="007E1C15"/>
    <w:rsid w:val="007E513E"/>
    <w:rsid w:val="007E57A3"/>
    <w:rsid w:val="007F0283"/>
    <w:rsid w:val="00802064"/>
    <w:rsid w:val="008039E7"/>
    <w:rsid w:val="00804A1D"/>
    <w:rsid w:val="00805FFF"/>
    <w:rsid w:val="00807697"/>
    <w:rsid w:val="008142BE"/>
    <w:rsid w:val="00817C5F"/>
    <w:rsid w:val="0082194F"/>
    <w:rsid w:val="00823E1B"/>
    <w:rsid w:val="00844163"/>
    <w:rsid w:val="00857891"/>
    <w:rsid w:val="00862196"/>
    <w:rsid w:val="008643C5"/>
    <w:rsid w:val="0087197E"/>
    <w:rsid w:val="00895C78"/>
    <w:rsid w:val="008B4C25"/>
    <w:rsid w:val="008B5C4B"/>
    <w:rsid w:val="008C4158"/>
    <w:rsid w:val="008D2833"/>
    <w:rsid w:val="008D64ED"/>
    <w:rsid w:val="008D66A2"/>
    <w:rsid w:val="008E2AD6"/>
    <w:rsid w:val="00923F53"/>
    <w:rsid w:val="00956733"/>
    <w:rsid w:val="00962EC0"/>
    <w:rsid w:val="00967540"/>
    <w:rsid w:val="0097572C"/>
    <w:rsid w:val="00977760"/>
    <w:rsid w:val="00996F70"/>
    <w:rsid w:val="0099774F"/>
    <w:rsid w:val="009979AE"/>
    <w:rsid w:val="009A6775"/>
    <w:rsid w:val="009D5519"/>
    <w:rsid w:val="009E2F7C"/>
    <w:rsid w:val="009E3085"/>
    <w:rsid w:val="009F1CDE"/>
    <w:rsid w:val="009F2DAB"/>
    <w:rsid w:val="00A14FE4"/>
    <w:rsid w:val="00A32E83"/>
    <w:rsid w:val="00A34A30"/>
    <w:rsid w:val="00A54774"/>
    <w:rsid w:val="00A56F96"/>
    <w:rsid w:val="00A627BF"/>
    <w:rsid w:val="00A85B5D"/>
    <w:rsid w:val="00A91FA0"/>
    <w:rsid w:val="00A96252"/>
    <w:rsid w:val="00A97927"/>
    <w:rsid w:val="00AA5B2B"/>
    <w:rsid w:val="00AB2FF0"/>
    <w:rsid w:val="00AB4EDF"/>
    <w:rsid w:val="00AE1527"/>
    <w:rsid w:val="00AF01A7"/>
    <w:rsid w:val="00AF0296"/>
    <w:rsid w:val="00AF6BAF"/>
    <w:rsid w:val="00AF7020"/>
    <w:rsid w:val="00B0506E"/>
    <w:rsid w:val="00B07BD9"/>
    <w:rsid w:val="00B11B66"/>
    <w:rsid w:val="00B356CA"/>
    <w:rsid w:val="00B45F71"/>
    <w:rsid w:val="00B5010F"/>
    <w:rsid w:val="00B55D33"/>
    <w:rsid w:val="00B55F9E"/>
    <w:rsid w:val="00B64AA7"/>
    <w:rsid w:val="00B72C0F"/>
    <w:rsid w:val="00B85E09"/>
    <w:rsid w:val="00B9497F"/>
    <w:rsid w:val="00B96128"/>
    <w:rsid w:val="00BB624B"/>
    <w:rsid w:val="00BC63E9"/>
    <w:rsid w:val="00BD075F"/>
    <w:rsid w:val="00BD7C8D"/>
    <w:rsid w:val="00BF19C4"/>
    <w:rsid w:val="00BF5B64"/>
    <w:rsid w:val="00C00B78"/>
    <w:rsid w:val="00C2204F"/>
    <w:rsid w:val="00C25033"/>
    <w:rsid w:val="00C52A27"/>
    <w:rsid w:val="00C545C3"/>
    <w:rsid w:val="00C570F3"/>
    <w:rsid w:val="00C60089"/>
    <w:rsid w:val="00C71EDF"/>
    <w:rsid w:val="00C7724A"/>
    <w:rsid w:val="00CA145A"/>
    <w:rsid w:val="00CA6E1F"/>
    <w:rsid w:val="00CC04E3"/>
    <w:rsid w:val="00CC094D"/>
    <w:rsid w:val="00CC4852"/>
    <w:rsid w:val="00CD2AFB"/>
    <w:rsid w:val="00CD5F42"/>
    <w:rsid w:val="00CE22FD"/>
    <w:rsid w:val="00CE2560"/>
    <w:rsid w:val="00D13B3A"/>
    <w:rsid w:val="00D20DED"/>
    <w:rsid w:val="00D41914"/>
    <w:rsid w:val="00D4562A"/>
    <w:rsid w:val="00D47B5D"/>
    <w:rsid w:val="00D840F2"/>
    <w:rsid w:val="00D91201"/>
    <w:rsid w:val="00D957F6"/>
    <w:rsid w:val="00DA5F01"/>
    <w:rsid w:val="00DB28B1"/>
    <w:rsid w:val="00DB3461"/>
    <w:rsid w:val="00DC5CFE"/>
    <w:rsid w:val="00DE25FC"/>
    <w:rsid w:val="00DE5DC9"/>
    <w:rsid w:val="00DF794E"/>
    <w:rsid w:val="00E0192C"/>
    <w:rsid w:val="00E06ED3"/>
    <w:rsid w:val="00E135EA"/>
    <w:rsid w:val="00E15FAC"/>
    <w:rsid w:val="00E20CE3"/>
    <w:rsid w:val="00E27073"/>
    <w:rsid w:val="00E30E22"/>
    <w:rsid w:val="00E32EA2"/>
    <w:rsid w:val="00E3632B"/>
    <w:rsid w:val="00E57ACF"/>
    <w:rsid w:val="00E61844"/>
    <w:rsid w:val="00E67031"/>
    <w:rsid w:val="00E82FA5"/>
    <w:rsid w:val="00EA5F56"/>
    <w:rsid w:val="00EA600B"/>
    <w:rsid w:val="00EE1132"/>
    <w:rsid w:val="00EF19CA"/>
    <w:rsid w:val="00EF3EB4"/>
    <w:rsid w:val="00EF4A18"/>
    <w:rsid w:val="00EF58C1"/>
    <w:rsid w:val="00F00DC6"/>
    <w:rsid w:val="00F262CF"/>
    <w:rsid w:val="00F30C55"/>
    <w:rsid w:val="00F4186A"/>
    <w:rsid w:val="00F552BA"/>
    <w:rsid w:val="00F6194A"/>
    <w:rsid w:val="00F71400"/>
    <w:rsid w:val="00F76546"/>
    <w:rsid w:val="00F864B9"/>
    <w:rsid w:val="00F96FAD"/>
    <w:rsid w:val="00FB2B36"/>
    <w:rsid w:val="00FB64D2"/>
    <w:rsid w:val="00FB7058"/>
    <w:rsid w:val="00FE05B4"/>
    <w:rsid w:val="00FE5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6696AD"/>
  <w15:chartTrackingRefBased/>
  <w15:docId w15:val="{8DC9F5EC-8820-4044-8C28-7C9FD9A4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33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rsid w:val="006C3395"/>
    <w:pPr>
      <w:tabs>
        <w:tab w:val="center" w:pos="4680"/>
      </w:tabs>
      <w:jc w:val="both"/>
    </w:pPr>
    <w:rPr>
      <w:rFonts w:ascii="Times" w:eastAsia="Times New Roman" w:hAnsi="Times"/>
      <w:sz w:val="22"/>
      <w:szCs w:val="20"/>
    </w:rPr>
  </w:style>
  <w:style w:type="paragraph" w:customStyle="1" w:styleId="List1">
    <w:name w:val="List1"/>
    <w:basedOn w:val="Normal"/>
    <w:rsid w:val="006C3395"/>
    <w:pPr>
      <w:spacing w:line="240" w:lineRule="exact"/>
      <w:ind w:left="360" w:hanging="360"/>
      <w:jc w:val="both"/>
    </w:pPr>
    <w:rPr>
      <w:rFonts w:ascii="Times" w:eastAsia="Times New Roman" w:hAnsi="Times"/>
      <w:sz w:val="22"/>
      <w:szCs w:val="20"/>
    </w:rPr>
  </w:style>
  <w:style w:type="paragraph" w:styleId="ListParagraph">
    <w:name w:val="List Paragraph"/>
    <w:basedOn w:val="Normal"/>
    <w:uiPriority w:val="34"/>
    <w:qFormat/>
    <w:rsid w:val="006D057D"/>
    <w:pPr>
      <w:ind w:left="720"/>
    </w:pPr>
  </w:style>
  <w:style w:type="paragraph" w:styleId="BalloonText">
    <w:name w:val="Balloon Text"/>
    <w:basedOn w:val="Normal"/>
    <w:link w:val="BalloonTextChar"/>
    <w:rsid w:val="009D5519"/>
    <w:rPr>
      <w:rFonts w:ascii="Tahoma" w:hAnsi="Tahoma" w:cs="Tahoma"/>
      <w:sz w:val="16"/>
      <w:szCs w:val="16"/>
    </w:rPr>
  </w:style>
  <w:style w:type="character" w:customStyle="1" w:styleId="BalloonTextChar">
    <w:name w:val="Balloon Text Char"/>
    <w:link w:val="BalloonText"/>
    <w:rsid w:val="009D5519"/>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Me En 541 – Numerical Heat Transfer and Fluid Flow</vt:lpstr>
    </vt:vector>
  </TitlesOfParts>
  <Company>Mechanical Engineering</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 En 541 – Numerical Heat Transfer and Fluid Flow</dc:title>
  <dc:subject/>
  <dc:creator>Scott L. Thomson</dc:creator>
  <cp:keywords/>
  <cp:lastModifiedBy>Steve Gorrell</cp:lastModifiedBy>
  <cp:revision>2</cp:revision>
  <cp:lastPrinted>2023-02-02T17:25:00Z</cp:lastPrinted>
  <dcterms:created xsi:type="dcterms:W3CDTF">2024-02-06T17:08:00Z</dcterms:created>
  <dcterms:modified xsi:type="dcterms:W3CDTF">2024-02-06T17:08:00Z</dcterms:modified>
</cp:coreProperties>
</file>