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keepNext/>
        <w:spacing w:before="0" w:after="120" w:line="276" w:lineRule="auto"/>
      </w:pPr>
      <w:r>
        <w:rPr>
          <w:rFonts w:ascii="Calibri" w:hAnsi="Calibri" w:eastAsia="Calibri"/>
          <w:b/>
          <w:i w:val="0"/>
          <w:color w:val="275983"/>
          <w:sz w:val="22"/>
        </w:rPr>
        <w:t>CSCI 340  /  DATABASE SYSTEMS AND DATA MANAGEMENT</w:t>
      </w:r>
    </w:p>
    <w:p>
      <w:pPr>
        <w:keepNext/>
        <w:spacing w:before="0" w:after="100" w:line="276" w:lineRule="auto"/>
      </w:pPr>
      <w:r>
        <w:rPr>
          <w:rFonts w:ascii="Calibri" w:hAnsi="Calibri" w:eastAsia="Calibri"/>
          <w:b/>
          <w:i w:val="0"/>
          <w:color w:val="0B2545"/>
          <w:sz w:val="52"/>
        </w:rPr>
        <w:t>Activity 2: Relations and Keys</w:t>
      </w:r>
    </w:p>
    <w:p>
      <w:pPr>
        <w:keepNext/>
        <w:spacing w:before="0" w:after="360" w:line="276" w:lineRule="auto"/>
      </w:pPr>
      <w:r>
        <w:rPr>
          <w:rFonts w:ascii="Calibri" w:hAnsi="Calibri" w:eastAsia="Calibri"/>
          <w:b w:val="0"/>
          <w:i/>
          <w:color w:val="5B6674"/>
          <w:sz w:val="26"/>
        </w:rPr>
        <w:t>Participation worksheet | Schemas, keys, references, and checking uniqueness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Name / Group members</w:t>
            </w:r>
          </w:p>
        </w:tc>
      </w:tr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760"/>
            </w:pPr>
            <w:r/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24"/>
              </w:rPr>
              <w:t xml:space="preserve">Purpose: </w:t>
            </w:r>
            <w:r>
              <w:rPr>
                <w:rFonts w:ascii="Calibri" w:hAnsi="Calibri" w:eastAsia="Calibri"/>
                <w:b w:val="0"/>
                <w:i w:val="0"/>
                <w:color w:val="0B2545"/>
                <w:sz w:val="24"/>
              </w:rPr>
              <w:t>Practice describing relations precisely, distinguishing superkeys from candidate keys, choosing primary keys, and linking relations with foreign keys. A current table instance can provide evidence about uniqueness, but it does not replace a rule about valid data.</w:t>
            </w:r>
          </w:p>
        </w:tc>
      </w:tr>
    </w:tbl>
    <w:p>
      <w:pPr>
        <w:spacing w:after="80"/>
      </w:pPr>
    </w:p>
    <w:p>
      <w:pPr>
        <w:keepNext/>
        <w:spacing w:before="320" w:after="160" w:line="276" w:lineRule="auto"/>
      </w:pPr>
      <w:r>
        <w:rPr>
          <w:rFonts w:ascii="Calibri" w:hAnsi="Calibri" w:eastAsia="Calibri"/>
          <w:b/>
          <w:i w:val="0"/>
          <w:color w:val="3178B9"/>
          <w:sz w:val="40"/>
        </w:rPr>
        <w:t>Part A: Identify keys in two relations</w:t>
      </w:r>
    </w:p>
    <w:p>
      <w:pPr>
        <w:keepNext w:val="0"/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For the first relation, assume a museum assigns each item a unique accession number and each physical inventory barcode is unique. Object type and collection may repeat. A barcode label can be replaced, while an accession number is intended to remain with the item.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2300"/>
        <w:gridCol w:w="2450"/>
        <w:gridCol w:w="2510"/>
      </w:tblGrid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accession_number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inventory_barcode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object_type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collection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M-202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BC-801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Photograph</w:t>
            </w:r>
          </w:p>
        </w:tc>
        <w:tc>
          <w:tcPr>
            <w:tcW w:type="dxa" w:w="251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Regional History</w:t>
            </w:r>
          </w:p>
        </w:tc>
      </w:tr>
      <w:tr>
        <w:tc>
          <w:tcPr>
            <w:tcW w:type="dxa" w:w="21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M-203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BC-802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Photograph</w:t>
            </w:r>
          </w:p>
        </w:tc>
        <w:tc>
          <w:tcPr>
            <w:tcW w:type="dxa" w:w="251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Regional History</w:t>
            </w:r>
          </w:p>
        </w:tc>
      </w:tr>
      <w:tr>
        <w:tc>
          <w:tcPr>
            <w:tcW w:type="dxa" w:w="21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M-204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BC-803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Ceramic bowl</w:t>
            </w:r>
          </w:p>
        </w:tc>
        <w:tc>
          <w:tcPr>
            <w:tcW w:type="dxa" w:w="251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Archaeology</w:t>
            </w:r>
          </w:p>
        </w:tc>
      </w:tr>
      <w:tr>
        <w:tc>
          <w:tcPr>
            <w:tcW w:type="dxa" w:w="21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M-205</w:t>
            </w:r>
          </w:p>
        </w:tc>
        <w:tc>
          <w:tcPr>
            <w:tcW w:type="dxa" w:w="2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BC-804</w:t>
            </w:r>
          </w:p>
        </w:tc>
        <w:tc>
          <w:tcPr>
            <w:tcW w:type="dxa" w:w="245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Map</w:t>
            </w:r>
          </w:p>
        </w:tc>
        <w:tc>
          <w:tcPr>
            <w:tcW w:type="dxa" w:w="251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Regional History</w:t>
            </w:r>
          </w:p>
        </w:tc>
      </w:tr>
    </w:tbl>
    <w:p>
      <w:pPr>
        <w:spacing w:after="60"/>
      </w:pP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A1. </w:t>
      </w:r>
      <w:r>
        <w:rPr>
          <w:rFonts w:ascii="Calibri" w:hAnsi="Calibri" w:eastAsia="Calibri"/>
          <w:b w:val="0"/>
          <w:i w:val="0"/>
          <w:color w:val="0B2545"/>
          <w:sz w:val="24"/>
        </w:rPr>
        <w:t>For each listed set of attributes, decide whether it is a superkey and whether it is a candidate key.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00"/>
        <w:gridCol w:w="2530"/>
        <w:gridCol w:w="2530"/>
      </w:tblGrid>
      <w:tr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Attribute set</w:t>
            </w:r>
          </w:p>
        </w:tc>
        <w:tc>
          <w:tcPr>
            <w:tcW w:type="dxa" w:w="253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Superkey?</w:t>
            </w:r>
          </w:p>
        </w:tc>
        <w:tc>
          <w:tcPr>
            <w:tcW w:type="dxa" w:w="253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Candidate key?</w:t>
            </w:r>
          </w:p>
        </w:tc>
      </w:tr>
      <w:tr>
        <w:tc>
          <w:tcPr>
            <w:tcW w:type="dxa" w:w="4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{accession_number}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</w:tr>
      <w:tr>
        <w:tc>
          <w:tcPr>
            <w:tcW w:type="dxa" w:w="4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{inventory_barcode}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</w:tr>
      <w:tr>
        <w:tc>
          <w:tcPr>
            <w:tcW w:type="dxa" w:w="4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{accession_number, object_type}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</w:tr>
      <w:tr>
        <w:tc>
          <w:tcPr>
            <w:tcW w:type="dxa" w:w="430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{object_type, collection}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  <w:tc>
          <w:tcPr>
            <w:tcW w:type="dxa" w:w="2530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5B6674"/>
                <w:sz w:val="20"/>
              </w:rPr>
              <w:t>Yes / No</w:t>
            </w:r>
          </w:p>
        </w:tc>
      </w:tr>
    </w:tbl>
    <w:p>
      <w:pPr>
        <w:spacing w:after="60"/>
      </w:pP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A2. </w:t>
      </w:r>
      <w:r>
        <w:rPr>
          <w:rFonts w:ascii="Calibri" w:hAnsi="Calibri" w:eastAsia="Calibri"/>
          <w:b w:val="0"/>
          <w:i w:val="0"/>
          <w:color w:val="0B2545"/>
          <w:sz w:val="24"/>
        </w:rPr>
        <w:t>Choose a primary key for this relation. Explain why it is a better principal identifier than the other candidate key.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100" w:line="276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For the second relation, assume a flight number is unique only within the airline that assigns it: different airlines may both have a flight 101. This relation describes recurring scheduled flights, not a particular flight on a particular date. The pair (airline_code, flight_number) identifies one scheduled flight; neither attribute works alone.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00"/>
        <w:gridCol w:w="2900"/>
        <w:gridCol w:w="2960"/>
      </w:tblGrid>
      <w:t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airline_code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flight_number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destination</w:t>
            </w:r>
          </w:p>
        </w:tc>
      </w:tr>
      <w:tr>
        <w:tc>
          <w:tcPr>
            <w:tcW w:type="dxa" w:w="35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ALP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101</w:t>
            </w:r>
          </w:p>
        </w:tc>
        <w:tc>
          <w:tcPr>
            <w:tcW w:type="dxa" w:w="29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Denver</w:t>
            </w:r>
          </w:p>
        </w:tc>
      </w:tr>
      <w:tr>
        <w:tc>
          <w:tcPr>
            <w:tcW w:type="dxa" w:w="35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ALP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204</w:t>
            </w:r>
          </w:p>
        </w:tc>
        <w:tc>
          <w:tcPr>
            <w:tcW w:type="dxa" w:w="29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Seattle</w:t>
            </w:r>
          </w:p>
        </w:tc>
      </w:tr>
      <w:tr>
        <w:tc>
          <w:tcPr>
            <w:tcW w:type="dxa" w:w="35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RID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101</w:t>
            </w:r>
          </w:p>
        </w:tc>
        <w:tc>
          <w:tcPr>
            <w:tcW w:type="dxa" w:w="29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Boise</w:t>
            </w:r>
          </w:p>
        </w:tc>
      </w:tr>
      <w:tr>
        <w:tc>
          <w:tcPr>
            <w:tcW w:type="dxa" w:w="35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RID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204</w:t>
            </w:r>
          </w:p>
        </w:tc>
        <w:tc>
          <w:tcPr>
            <w:tcW w:type="dxa" w:w="29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Portland</w:t>
            </w:r>
          </w:p>
        </w:tc>
      </w:tr>
    </w:tbl>
    <w:p>
      <w:pPr>
        <w:spacing w:after="60"/>
      </w:pP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A3. </w:t>
      </w:r>
      <w:r>
        <w:rPr>
          <w:rFonts w:ascii="Calibri" w:hAnsi="Calibri" w:eastAsia="Calibri"/>
          <w:b w:val="0"/>
          <w:i w:val="0"/>
          <w:color w:val="0B2545"/>
          <w:sz w:val="24"/>
        </w:rPr>
        <w:t>Identify one candidate key and one superkey that is not a candidate key. Why is the candidate key composite?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320" w:after="160" w:line="276" w:lineRule="auto"/>
      </w:pPr>
      <w:r>
        <w:rPr>
          <w:rFonts w:ascii="Calibri" w:hAnsi="Calibri" w:eastAsia="Calibri"/>
          <w:b/>
          <w:i w:val="0"/>
          <w:color w:val="3178B9"/>
          <w:sz w:val="40"/>
        </w:rPr>
        <w:t>Part B: Write schemas and locate foreign keys</w:t>
      </w:r>
    </w:p>
    <w:p>
      <w:pPr>
        <w:keepNext w:val="0"/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A recipe collection records recipes, ingredients, and the ingredients used in each recipe. Assume recipe_id and ingredient_id are primary keys, and the same ingredient appears at most once in a particular recipe.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recipe_id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recipe_name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servings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R101</w:t>
            </w:r>
          </w:p>
        </w:tc>
        <w:tc>
          <w:tcPr>
            <w:tcW w:type="dxa" w:w="38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Vegetable chili</w:t>
            </w:r>
          </w:p>
        </w:tc>
        <w:tc>
          <w:tcPr>
            <w:tcW w:type="dxa" w:w="33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6</w:t>
            </w:r>
          </w:p>
        </w:tc>
      </w:tr>
      <w:tr>
        <w:tc>
          <w:tcPr>
            <w:tcW w:type="dxa" w:w="22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R102</w:t>
            </w:r>
          </w:p>
        </w:tc>
        <w:tc>
          <w:tcPr>
            <w:tcW w:type="dxa" w:w="38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Cornbread</w:t>
            </w:r>
          </w:p>
        </w:tc>
        <w:tc>
          <w:tcPr>
            <w:tcW w:type="dxa" w:w="33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8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300"/>
        <w:gridCol w:w="41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ingredient_id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ingredient_name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default_unit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I10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Black beans</w:t>
            </w:r>
          </w:p>
        </w:tc>
        <w:tc>
          <w:tcPr>
            <w:tcW w:type="dxa" w:w="41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can</w:t>
            </w:r>
          </w:p>
        </w:tc>
      </w:tr>
      <w:tr>
        <w:tc>
          <w:tcPr>
            <w:tcW w:type="dxa" w:w="1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I11</w:t>
            </w:r>
          </w:p>
        </w:tc>
        <w:tc>
          <w:tcPr>
            <w:tcW w:type="dxa" w:w="33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Cornmeal</w:t>
            </w:r>
          </w:p>
        </w:tc>
        <w:tc>
          <w:tcPr>
            <w:tcW w:type="dxa" w:w="41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cup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00"/>
        <w:gridCol w:w="2900"/>
        <w:gridCol w:w="3560"/>
      </w:tblGrid>
      <w:t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recipe_id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ingredient_id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shd w:fill="275983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quantity</w:t>
            </w:r>
          </w:p>
        </w:tc>
      </w:tr>
      <w:tr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R101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I10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2</w:t>
            </w:r>
          </w:p>
        </w:tc>
      </w:tr>
      <w:tr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R101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I11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</w:t>
            </w:r>
          </w:p>
        </w:tc>
      </w:tr>
      <w:tr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R102</w:t>
            </w:r>
          </w:p>
        </w:tc>
        <w:tc>
          <w:tcPr>
            <w:tcW w:type="dxa" w:w="290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I11</w:t>
            </w:r>
          </w:p>
        </w:tc>
        <w:tc>
          <w:tcPr>
            <w:tcW w:type="dxa" w:w="3560"/>
            <w:vAlign w:val="center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9"/>
              </w:rPr>
              <w:t>1.5</w:t>
            </w:r>
          </w:p>
        </w:tc>
      </w:tr>
    </w:tbl>
    <w:p>
      <w:pPr>
        <w:spacing w:after="60"/>
      </w:pP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B1. </w:t>
      </w:r>
      <w:r>
        <w:rPr>
          <w:rFonts w:ascii="Calibri" w:hAnsi="Calibri" w:eastAsia="Calibri"/>
          <w:b w:val="0"/>
          <w:i w:val="0"/>
          <w:color w:val="0B2545"/>
          <w:sz w:val="24"/>
        </w:rPr>
        <w:t>Write a compact relation schema for each of the three relations. Include every displayed attribute.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B2. </w:t>
      </w:r>
      <w:r>
        <w:rPr>
          <w:rFonts w:ascii="Calibri" w:hAnsi="Calibri" w:eastAsia="Calibri"/>
          <w:b w:val="0"/>
          <w:i w:val="0"/>
          <w:color w:val="0B2545"/>
          <w:sz w:val="24"/>
        </w:rPr>
        <w:t>State the primary key of each relation. Which relation uses a composite primary key?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B3. </w:t>
      </w:r>
      <w:r>
        <w:rPr>
          <w:rFonts w:ascii="Calibri" w:hAnsi="Calibri" w:eastAsia="Calibri"/>
          <w:b w:val="0"/>
          <w:i w:val="0"/>
          <w:color w:val="0B2545"/>
          <w:sz w:val="24"/>
        </w:rPr>
        <w:t>Identify each foreign key in recipe_ingredient. For each one, name the referenced relation and referenced primary key.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320" w:after="160" w:line="276" w:lineRule="auto"/>
      </w:pPr>
      <w:r>
        <w:rPr>
          <w:rFonts w:ascii="Calibri" w:hAnsi="Calibri" w:eastAsia="Calibri"/>
          <w:b/>
          <w:i w:val="0"/>
          <w:color w:val="3178B9"/>
          <w:sz w:val="40"/>
        </w:rPr>
        <w:t>Part C: Check a superkey in one instance</w:t>
      </w:r>
    </w:p>
    <w:p>
      <w:pPr>
        <w:keepNext w:val="0"/>
        <w:spacing w:before="0" w:after="160" w:line="276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Let R be one current relation instance and let K be a collection of attributes. Write pseudocode for a function is_superkey(R, K) that returns true exactly when no two distinct tuples in R have the same values for every attribute in K. You may use nested loops or a set of seen value combinations.</w:t>
      </w: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C1. </w:t>
      </w:r>
      <w:r>
        <w:rPr>
          <w:rFonts w:ascii="Calibri" w:hAnsi="Calibri" w:eastAsia="Calibri"/>
          <w:b w:val="0"/>
          <w:i w:val="0"/>
          <w:color w:val="0B2545"/>
          <w:sz w:val="24"/>
        </w:rPr>
        <w:t>Write the pseudocode. Be explicit about the comparison that makes K fail.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C2. </w:t>
      </w:r>
      <w:r>
        <w:rPr>
          <w:rFonts w:ascii="Calibri" w:hAnsi="Calibri" w:eastAsia="Calibri"/>
          <w:b w:val="0"/>
          <w:i w:val="0"/>
          <w:color w:val="0B2545"/>
          <w:sz w:val="24"/>
        </w:rPr>
        <w:t>If your function returns true for the rows currently stored, what has it shown? What has it not established about all valid future instances?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p>
      <w:pPr>
        <w:keepNext/>
        <w:spacing w:before="140" w:after="0" w:line="276" w:lineRule="auto"/>
      </w:pPr>
      <w:r>
        <w:rPr>
          <w:rFonts w:ascii="Calibri" w:hAnsi="Calibri" w:eastAsia="Calibri"/>
          <w:b/>
          <w:i w:val="0"/>
          <w:color w:val="0B2545"/>
          <w:sz w:val="24"/>
        </w:rPr>
        <w:t xml:space="preserve">C3. </w:t>
      </w:r>
      <w:r>
        <w:rPr>
          <w:rFonts w:ascii="Calibri" w:hAnsi="Calibri" w:eastAsia="Calibri"/>
          <w:b w:val="0"/>
          <w:i w:val="0"/>
          <w:color w:val="0B2545"/>
          <w:sz w:val="24"/>
        </w:rPr>
        <w:t>After confirming that K is a superkey for this instance, how could you test whether K is minimal for this instance?</w:t>
      </w:r>
    </w:p>
    <w:p>
      <w:pPr>
        <w:keepNext w:val="0"/>
        <w:spacing w:before="0" w:after="220" w:line="240" w:lineRule="auto"/>
      </w:pPr>
      <w:r>
        <w:rPr>
          <w:rFonts w:ascii="Calibri" w:hAnsi="Calibri" w:eastAsia="Calibri"/>
          <w:b w:val="0"/>
          <w:i w:val="0"/>
          <w:color w:val="A8B0BA"/>
          <w:sz w:val="20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keepNext w:val="false"/>
      <w:spacing w:lineRule="auto" w:line="240" w:before="0" w:after="0"/>
      <w:jc w:val="center"/>
      <w:rPr>
        <w:rFonts w:ascii="Calibri" w:hAnsi="Calibri"/>
        <w:b w:val="false"/>
        <w:i w:val="false"/>
        <w:i w:val="false"/>
        <w:color w:val="5B6570"/>
        <w:sz w:val="18"/>
      </w:rPr>
    </w:pPr>
    <w:r>
      <w:rPr>
        <w:b w:val="false"/>
        <w:i w:val="false"/>
        <w:color w:val="5B6570"/>
        <w:sz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keepNext w:val="false"/>
      <w:spacing w:lineRule="auto" w:line="240" w:before="0" w:after="0"/>
      <w:jc w:val="center"/>
      <w:rPr>
        <w:rFonts w:ascii="Calibri" w:hAnsi="Calibri"/>
        <w:b w:val="false"/>
        <w:i w:val="false"/>
        <w:i w:val="false"/>
        <w:color w:val="5B6570"/>
        <w:sz w:val="18"/>
      </w:rPr>
    </w:pPr>
    <w:r>
      <w:rPr>
        <w:b w:val="false"/>
        <w:i w:val="false"/>
        <w:color w:val="5B6570"/>
        <w:sz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spacing w:lineRule="auto" w:line="240" w:before="0" w:after="0"/>
      <w:jc w:val="right"/>
      <w:rPr/>
    </w:pPr>
    <w:r>
      <w:rPr>
        <w:b w:val="false"/>
        <w:i w:val="false"/>
        <w:color w:val="5B6570"/>
        <w:sz w:val="18"/>
      </w:rPr>
      <w:t>CSCI 340  |  Week 2 participation activity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false"/>
      <w:spacing w:lineRule="auto" w:line="240" w:before="0" w:after="0"/>
      <w:jc w:val="right"/>
      <w:rPr/>
    </w:pPr>
    <w:r>
      <w:rPr>
        <w:b w:val="false"/>
        <w:i w:val="false"/>
        <w:color w:val="5B6570"/>
        <w:sz w:val="18"/>
      </w:rPr>
      <w:t>CSCI 340  |  Week 1 participation activity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20"/>
      <w:jc w:val="left"/>
    </w:pPr>
    <w:rPr>
      <w:rFonts w:ascii="Calibri" w:hAnsi="Calibri" w:eastAsia="ＭＳ 明朝" w:cs=""/>
      <w:color w:val="0B2545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LibreOffice/24.2.7.2$Linux_X86_64 LibreOffice_project/420$Build-2</Application>
  <AppVersion>15.0000</AppVersion>
  <Pages>3</Pages>
  <Words>470</Words>
  <Characters>2436</Characters>
  <CharactersWithSpaces>2849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2026-08-28T09:35:18Z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