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left"/>
      </w:pPr>
      <w:r>
        <w:rPr>
          <w:b/>
          <w:i w:val="0"/>
          <w:sz w:val="44"/>
        </w:rPr>
        <w:t>Activity 1 Answer Key</w:t>
      </w:r>
    </w:p>
    <w:p>
      <w:pPr>
        <w:spacing w:after="240"/>
      </w:pPr>
      <w:r>
        <w:rPr>
          <w:b w:val="0"/>
          <w:i w:val="0"/>
          <w:color w:val="5B6570"/>
          <w:sz w:val="22"/>
        </w:rPr>
        <w:t>What tool fits the job</w:t>
      </w:r>
    </w:p>
    <w:p>
      <w:pPr>
        <w:spacing w:after="180"/>
      </w:pPr>
      <w:r>
        <w:rPr>
          <w:b/>
          <w:i w:val="0"/>
          <w:color w:val="173B4D"/>
        </w:rPr>
        <w:t xml:space="preserve">How to use this key: </w:t>
      </w:r>
      <w:r>
        <w:rPr>
          <w:b w:val="0"/>
          <w:i w:val="0"/>
        </w:rPr>
        <w:t>These are representative answers. A different starting point or mixed design can be correct when its tradeoffs are explained clearly.</w:t>
      </w:r>
    </w:p>
    <w:p>
      <w:pPr>
        <w:pStyle w:val="Heading1"/>
        <w:keepNext/>
      </w:pPr>
      <w:r>
        <w:t>Representative choices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44"/>
            <w:vAlign w:val="center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Scenario</w:t>
            </w:r>
          </w:p>
        </w:tc>
        <w:tc>
          <w:tcPr>
            <w:tcW w:type="dxa" w:w="2232"/>
            <w:vAlign w:val="center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Best starting point</w:t>
            </w:r>
          </w:p>
        </w:tc>
        <w:tc>
          <w:tcPr>
            <w:tcW w:type="dxa" w:w="6624"/>
            <w:vAlign w:val="center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A. Department picnic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Spreadsheet</w:t>
            </w:r>
          </w:p>
        </w:tc>
        <w:tc>
          <w:tcPr>
            <w:tcW w:type="dxa" w:w="66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Short-lived plan for about 35 people who want a shared, visible view. A form feeding a spreadsheet is also reasonable.</w:t>
            </w:r>
          </w:p>
        </w:tc>
      </w:tr>
      <w:tr>
        <w:tc>
          <w:tcPr>
            <w:tcW w:type="dxa" w:w="1944"/>
            <w:vAlign w:val="center"/>
            <w:shd w:fill="EA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B. Equipment checkout</w:t>
            </w:r>
          </w:p>
        </w:tc>
        <w:tc>
          <w:tcPr>
            <w:tcW w:type="dxa" w:w="2232"/>
            <w:vAlign w:val="center"/>
            <w:shd w:fill="EA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Relational database</w:t>
            </w:r>
          </w:p>
        </w:tc>
        <w:tc>
          <w:tcPr>
            <w:tcW w:type="dxa" w:w="6624"/>
            <w:vAlign w:val="center"/>
            <w:shd w:fill="EA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Availability, reservations, checkout history, concurrent staff, and double-booking prevention are ongoing rules over related records.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C. Public dataset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Plain data file</w:t>
            </w:r>
          </w:p>
        </w:tc>
        <w:tc>
          <w:tcPr>
            <w:tcW w:type="dxa" w:w="66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 CSV plus a data dictionary is easy to distribute as an annual snapshot. The publisher may use a database internally.</w:t>
            </w:r>
          </w:p>
        </w:tc>
      </w:tr>
      <w:tr>
        <w:tc>
          <w:tcPr>
            <w:tcW w:type="dxa" w:w="1944"/>
            <w:vAlign w:val="center"/>
            <w:shd w:fill="EA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D. Travel-time research</w:t>
            </w:r>
          </w:p>
        </w:tc>
        <w:tc>
          <w:tcPr>
            <w:tcW w:type="dxa" w:w="2232"/>
            <w:vAlign w:val="center"/>
            <w:shd w:fill="EA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Program or computation environment</w:t>
            </w:r>
          </w:p>
        </w:tc>
        <w:tc>
          <w:tcPr>
            <w:tcW w:type="dxa" w:w="6624"/>
            <w:vAlign w:val="center"/>
            <w:shd w:fill="EA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The main task is model fitting, simulation, and evaluation. Files or a database can provide inputs, but computation is central.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E. Small bookstore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Relational database</w:t>
            </w:r>
          </w:p>
        </w:tc>
        <w:tc>
          <w:tcPr>
            <w:tcW w:type="dxa" w:w="66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Customers, books, suppliers, purchases, stock, returns, and concurrent updates need related records and consistency rules.</w:t>
            </w:r>
          </w:p>
        </w:tc>
      </w:tr>
      <w:tr>
        <w:tc>
          <w:tcPr>
            <w:tcW w:type="dxa" w:w="1944"/>
            <w:vAlign w:val="center"/>
            <w:shd w:fill="EA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F. Wildlife photos</w:t>
            </w:r>
          </w:p>
        </w:tc>
        <w:tc>
          <w:tcPr>
            <w:tcW w:type="dxa" w:w="2232"/>
            <w:vAlign w:val="center"/>
            <w:shd w:fill="EA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Mixed design</w:t>
            </w:r>
          </w:p>
        </w:tc>
        <w:tc>
          <w:tcPr>
            <w:tcW w:type="dxa" w:w="6624"/>
            <w:vAlign w:val="center"/>
            <w:shd w:fill="EA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Keep image files in file or object storage and searchable metadata, identifications, and correction history in a relational database.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General lesson</w:t>
      </w:r>
    </w:p>
    <w:p>
      <w:r>
        <w:t>The best tool depends on the work that must be easy, safe, or possible. Databases are strong when structured information, relationships, shared rules, and concurrent updates matter. They are not a replacement for computation, visualization, or large binary-file storage.</w:t>
      </w:r>
    </w:p>
    <w:sectPr w:rsidR="00FC693F" w:rsidRPr="0006063C" w:rsidSect="00034616">
      <w:head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i w:val="0"/>
        <w:color w:val="5B6570"/>
        <w:sz w:val="16"/>
      </w:rPr>
      <w:t>CSCI 340 / DATABASE SYSTEMS AND DATA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KeyCode">
    <w:name w:val="AnswerKeyCode"/>
    <w:pPr>
      <w:spacing w:before="60" w:after="100"/>
      <w:ind w:left="288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1 Answer Key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