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Seeing Myself in My Group: A Formal Architecture of Self-Anchoring via Similarity-Based Generalization</w:t>
      </w:r>
    </w:p>
    <w:p>
      <w:pPr>
        <w:pStyle w:val="Author"/>
      </w:pPr>
      <w:r>
        <w:t xml:space="preserve"> </w:t>
      </w:r>
    </w:p>
    <w:p>
      <w:pPr>
        <w:pStyle w:val="Author"/>
      </w:pPr>
      <w:r>
        <w:t xml:space="preserve">Jacob J. Elder</w:t>
      </w:r>
    </w:p>
    <w:p>
      <w:pPr>
        <w:pStyle w:val="Author"/>
      </w:pPr>
      <w:r>
        <w:t xml:space="preserve">Psychology, University of California, Riverside</w:t>
      </w:r>
    </w:p>
    <w:p>
      <w:pPr>
        <w:pStyle w:val="BodyText"/>
      </w:pPr>
      <w:r>
        <w:t xml:space="preserve"> </w:t>
      </w:r>
    </w:p>
    <w:p>
      <w:pPr>
        <w:pStyle w:val="BodyText"/>
      </w:pPr>
      <w:r>
        <w:t xml:space="preserve"> </w:t>
      </w:r>
    </w:p>
    <w:bookmarkEnd w:id="20"/>
    <w:bookmarkStart w:id="22" w:name="author-note"/>
    <w:p>
      <w:pPr>
        <w:pStyle w:val="Heading1"/>
      </w:pPr>
      <w:r>
        <w:t xml:space="preserve">Author Note</w:t>
      </w:r>
    </w:p>
    <w:p>
      <w:pPr>
        <w:pStyle w:val="FirstParagraph"/>
      </w:pPr>
      <w:r>
        <w:t xml:space="preserve">Correspondence concerning this article should be addressed to Jacob J. Elder, Psychology, University of California, Riverside, Email:</w:t>
      </w:r>
      <w:r>
        <w:t xml:space="preserve"> </w:t>
      </w:r>
      <w:hyperlink r:id="rId21">
        <w:r>
          <w:rPr>
            <w:rStyle w:val="Hyperlink"/>
          </w:rPr>
          <w:t xml:space="preserve">jelder@ucr.edu</w:t>
        </w:r>
      </w:hyperlink>
    </w:p>
    <w:p>
      <w:r>
        <w:br w:type="page"/>
      </w:r>
    </w:p>
    <w:bookmarkEnd w:id="22"/>
    <w:bookmarkStart w:id="23" w:name="abstract"/>
    <w:p>
      <w:pPr>
        <w:pStyle w:val="Heading1"/>
      </w:pPr>
      <w:r>
        <w:t xml:space="preserve">Abstract</w:t>
      </w:r>
    </w:p>
    <w:p>
      <w:pPr>
        <w:pStyle w:val="FirstParagraph"/>
      </w:pPr>
      <w:r>
        <w:rPr>
          <w:i/>
          <w:iCs/>
        </w:rPr>
        <w:t xml:space="preserve">Keywords</w:t>
      </w:r>
      <w:r>
        <w:t xml:space="preserve">: self-anchoring, social identity, category learning, semantic similarity, computational modeling</w:t>
      </w:r>
    </w:p>
    <w:p>
      <w:r>
        <w:br w:type="page"/>
      </w:r>
    </w:p>
    <w:bookmarkEnd w:id="23"/>
    <w:bookmarkStart w:id="48" w:name="firstheader"/>
    <w:p>
      <w:pPr>
        <w:pStyle w:val="Heading1"/>
      </w:pPr>
      <w:r>
        <w:t xml:space="preserve">Seeing Myself in My Group: A Formal Architecture of Self-Anchoring via Similarity-Based Generalization</w:t>
      </w:r>
    </w:p>
    <w:bookmarkStart w:id="27" w:name="introduction"/>
    <w:p>
      <w:pPr>
        <w:pStyle w:val="Heading2"/>
      </w:pPr>
      <w:r>
        <w:t xml:space="preserve">INTRODUCTION</w:t>
      </w:r>
    </w:p>
    <w:p>
      <w:pPr>
        <w:pStyle w:val="FirstParagraph"/>
      </w:pPr>
      <w:r>
        <w:t xml:space="preserve">People carry distinct sets of stable self-beliefs across various situations (Markus &amp; Wurf, 1987), yet they also manage to achieve a sense of belonging (Baumeister &amp; Leary, 1995) by assimilating into their various social groups (Brewer, 1991; Ellemers et al., 2001). In achieving this sense of similarity, individuals promote social identification—a sense of positive attachment to the group that is foundational to social life (Tajfel, 1978; Turner et al., 1987). Historically, social psychology has conceptualized group membership as a process of</w:t>
      </w:r>
      <w:r>
        <w:t xml:space="preserve"> </w:t>
      </w:r>
      <w:r>
        <w:t xml:space="preserve">“depersonalization,”</w:t>
      </w:r>
      <w:r>
        <w:t xml:space="preserve"> </w:t>
      </w:r>
      <w:r>
        <w:t xml:space="preserve">where the self is categorized as an interchangeable exemplar of a group prototype (Turner et al., 1987). While this dominant account—often termed</w:t>
      </w:r>
      <w:r>
        <w:t xml:space="preserve"> </w:t>
      </w:r>
      <w:r>
        <w:t xml:space="preserve">“self-stereotyping”</w:t>
      </w:r>
      <w:r>
        <w:t xml:space="preserve">—emphasizes the assimilation of group attributes into the self-concept, it does not sufficiently explain how people identify with novel groups or how they maintain self-beliefs that remain stable beyond specific group memberships (van Veelen et al., 2016).</w:t>
      </w:r>
    </w:p>
    <w:p>
      <w:pPr>
        <w:pStyle w:val="BodyText"/>
      </w:pPr>
      <w:r>
        <w:t xml:space="preserve">Rather than merely limitlessly assimilating group attributes, people also project their own attributes onto how they represent and perceive their ingroups (M. Cadinu &amp; Rothbart, 1996) as well as others in interpersonal contexts (Ames, 2004). This process, known as self-anchoring, serves as an informational base (Gramzow et al., 2001) from which people draw inferences about their social environment. Specifically, individuals engage in inductive reasoning, inferring unknown information about their group on the basis of their own self-knowledge (DiDonato et al., 2011; Krueger, 2007). Self-anchoring is most pronounced in situations where group knowledge is ambiguous or diagnostic information is absent (van Veelen et al., 2013a), making it a critical mechanism for the emergence of social identity.</w:t>
      </w:r>
    </w:p>
    <w:bookmarkStart w:id="24" w:name="Xe447c5a18d9652771fc703701777ad8cb1cd395"/>
    <w:p>
      <w:pPr>
        <w:pStyle w:val="Heading3"/>
      </w:pPr>
      <w:r>
        <w:t xml:space="preserve">Inferences About the Ingroup Based on the Self</w:t>
      </w:r>
    </w:p>
    <w:p>
      <w:pPr>
        <w:pStyle w:val="FirstParagraph"/>
      </w:pPr>
      <w:r>
        <w:t xml:space="preserve">Despite the apparent strength of evidence for self-anchoring, the majority of research in this domain has relied on correlated ratings of identical traits across the self and group (M. Cadinu &amp; Rothbart, 1996; Otten &amp; Wentura, 2001). While these tests provide evidence of rating stability, they do not necessarily demonstrate</w:t>
      </w:r>
      <w:r>
        <w:t xml:space="preserve"> </w:t>
      </w:r>
      <w:r>
        <w:rPr>
          <w:i/>
          <w:iCs/>
        </w:rPr>
        <w:t xml:space="preserve">generalization</w:t>
      </w:r>
      <w:r>
        <w:t xml:space="preserve"> </w:t>
      </w:r>
      <w:r>
        <w:t xml:space="preserve">per se. Furthermore, traditional measures are vulnerable to repetition effects; the mere repetition of information can cause it to be perceived as more characteristic (Unkelbach et al., 2019). A rigorous test of the generalization-based theory of self-anchoring requires establishing that self-evaluations generalize across semantically related but novel traits (Heit &amp; Rubinstein, 1994). For example, if an individual perceives themselves as</w:t>
      </w:r>
      <w:r>
        <w:t xml:space="preserve"> </w:t>
      </w:r>
      <w:r>
        <w:t xml:space="preserve">“outgoing,”</w:t>
      </w:r>
      <w:r>
        <w:t xml:space="preserve"> </w:t>
      </w:r>
      <w:r>
        <w:t xml:space="preserve">do they infer that their group is characteristic of semantically similar traits like</w:t>
      </w:r>
      <w:r>
        <w:t xml:space="preserve"> </w:t>
      </w:r>
      <w:r>
        <w:t xml:space="preserve">“sociable”</w:t>
      </w:r>
      <w:r>
        <w:t xml:space="preserve"> </w:t>
      </w:r>
      <w:r>
        <w:t xml:space="preserve">and</w:t>
      </w:r>
      <w:r>
        <w:t xml:space="preserve"> </w:t>
      </w:r>
      <w:r>
        <w:t xml:space="preserve">“fun,”</w:t>
      </w:r>
      <w:r>
        <w:t xml:space="preserve"> </w:t>
      </w:r>
      <w:r>
        <w:t xml:space="preserve">even if they have not explicitly evaluated themselves on those specific attributes?</w:t>
      </w:r>
    </w:p>
    <w:p>
      <w:pPr>
        <w:pStyle w:val="BodyText"/>
      </w:pPr>
      <w:r>
        <w:t xml:space="preserve">In the current research, we move social identity theory from a verbal, descriptive model to a formal architecture by integrating principles of category learning. We frame the self as a semantic prototype in a high-dimensional space, where group beliefs emerge through similarity-based generalization analogous to universal laws of cognition (Shepard, 1987). To formalize this process, we utilize a semantic dependency network of 147 positive traits, constructed using data from 178 Amazon Mechanical Turk participants with a 25% consensus threshold. From this network, we derive relational similarity measures (network-based Dice similarity; Equation 1) that allow us to quantify how self-representations propagate across an interconnected semantic web.</w:t>
      </w:r>
    </w:p>
    <w:p>
      <w:pPr>
        <w:pStyle w:val="BodyText"/>
      </w:pPr>
      <w:r>
        <w:t xml:space="preserve">This network approach enables the first formal implementation of the</w:t>
      </w:r>
      <w:r>
        <w:t xml:space="preserve"> </w:t>
      </w:r>
      <w:r>
        <w:t xml:space="preserve">“metacontrast principle,”</w:t>
      </w:r>
      <w:r>
        <w:t xml:space="preserve"> </w:t>
      </w:r>
      <w:r>
        <w:t xml:space="preserve">which posits that group categorization is defined by the ratio of an individual’s similarity to the ingroup relative to the individual’s similarity to the outgroup (Turner et al., 1987). While the metacontrast principle has been central to social identity research for decades, it has remained a verbal description (Davis &amp; Goldwater, 2021). By applying a category learning framework to social identity, we provide a formal test of whether intergroup contrast accentuates self-anchoring and how individuals balance the motivation for ingroup similarity against outgroup differentiation.</w:t>
      </w:r>
    </w:p>
    <w:bookmarkEnd w:id="24"/>
    <w:bookmarkStart w:id="25" w:name="X3501368e108107a3bf2b8c31db6ca231be49991"/>
    <w:p>
      <w:pPr>
        <w:pStyle w:val="Heading3"/>
      </w:pPr>
      <w:r>
        <w:t xml:space="preserve">Relational Similarity as the Basis for Self-Concept Generalization</w:t>
      </w:r>
    </w:p>
    <w:p>
      <w:pPr>
        <w:pStyle w:val="FirstParagraph"/>
      </w:pPr>
      <w:r>
        <w:t xml:space="preserve">Effective navigation of social environments requires generalizing from known experiences to new stimuli based on similarity (Shepard, 1987). In recent work, we developed a semantic network of trait dependencies (J. Elder et al., 2023) to extract relational similarity based on shared semantic neighbors. This network model allows us to identify how people represent themselves and their groups, moving beyond simple trait-for-trait matching. Inferred similarity is not only critical for classifying elements within a category but also facilitates the contrasting of distinctive features between categories (Tversky, 1977).</w:t>
      </w:r>
    </w:p>
    <w:p>
      <w:pPr>
        <w:pStyle w:val="BodyText"/>
      </w:pPr>
      <w:r>
        <w:t xml:space="preserve">Social identity research has borrowed heavily from cognitive science research on concept learning, yet it has rarely implemented the formalism leveraged by that field. The ability to make representational claims about the role of similarity-based inference in social categorization has previously been limited by the absence of model formalism (Guest &amp; Martin, 2021). Here, we bridge this gap by implementing formal category learning models—such as the Generalized Context Model (Nosofsky, 1986)—to test the principles of social categorization in a self-anchoring context.</w:t>
      </w:r>
    </w:p>
    <w:bookmarkEnd w:id="25"/>
    <w:bookmarkStart w:id="26" w:name="the-current-design"/>
    <w:p>
      <w:pPr>
        <w:pStyle w:val="Heading3"/>
      </w:pPr>
      <w:r>
        <w:t xml:space="preserve">The Current Design</w:t>
      </w:r>
    </w:p>
    <w:p>
      <w:pPr>
        <w:pStyle w:val="FirstParagraph"/>
      </w:pPr>
      <w:r>
        <w:t xml:space="preserve">We utilize a</w:t>
      </w:r>
      <w:r>
        <w:t xml:space="preserve"> </w:t>
      </w:r>
      <w:r>
        <w:t xml:space="preserve">“training-to-generalization”</w:t>
      </w:r>
      <w:r>
        <w:t xml:space="preserve"> </w:t>
      </w:r>
      <w:r>
        <w:t xml:space="preserve">paradigm common in concept learning research (Bowman et al., 2020). Participants first self-evaluate on a subset of traits (training phase), which serve as exemplars of the self-concept prototype. This is followed by a</w:t>
      </w:r>
      <w:r>
        <w:t xml:space="preserve"> </w:t>
      </w:r>
      <w:r>
        <w:t xml:space="preserve">“generalization phase”</w:t>
      </w:r>
      <w:r>
        <w:t xml:space="preserve"> </w:t>
      </w:r>
      <w:r>
        <w:t xml:space="preserve">where participants classify traits—including novel traits not seen during training—as more characteristic of either the ingroup or outgroup. Using the traits’ semantic similarities to the self-concept, we predict the likelihood of ingroup classification.</w:t>
      </w:r>
    </w:p>
    <w:p>
      <w:pPr>
        <w:pStyle w:val="BodyText"/>
      </w:pPr>
      <w:r>
        <w:t xml:space="preserve">Across three studies, we examine how various intergroup contexts amplify or attenuate these generalization weights. Study 1 utilizes minimal groups to provide a proof-of-concept for similarity-based generalization. Study 2 examines the role of relative social status using university groups, testing whether self-anchoring is driven by differentiation from low-status outgroups or assimilation toward high-status ones. Study 3 applies this framework to racial identities, examining how majority or minority outgroup contrasts exert differential effects on the tendency to self-anchor. This approach provides a formal backbone for the</w:t>
      </w:r>
      <w:r>
        <w:t xml:space="preserve"> </w:t>
      </w:r>
      <w:r>
        <w:t xml:space="preserve">“sense of sameness”</w:t>
      </w:r>
      <w:r>
        <w:t xml:space="preserve"> </w:t>
      </w:r>
      <w:r>
        <w:t xml:space="preserve">(James, 1890) that defines the integration of the individual into the social collective.</w:t>
      </w:r>
    </w:p>
    <w:bookmarkEnd w:id="26"/>
    <w:bookmarkEnd w:id="27"/>
    <w:bookmarkStart w:id="31" w:name="Xd10d8443a6ed9586dea37a322d9f3e1f96e3305"/>
    <w:p>
      <w:pPr>
        <w:pStyle w:val="Heading2"/>
      </w:pPr>
      <w:r>
        <w:t xml:space="preserve">STUDY 1: SELF-ANCHORING BASED ON MINIMAL CONDITIONS</w:t>
      </w:r>
    </w:p>
    <w:p>
      <w:pPr>
        <w:pStyle w:val="FirstParagraph"/>
      </w:pPr>
      <w:r>
        <w:t xml:space="preserve">Study 1 provided a first proof-of-concept for similarity-based generalization in a minimal group context where group knowledge is absent.</w:t>
      </w:r>
    </w:p>
    <w:bookmarkStart w:id="28" w:name="methods"/>
    <w:p>
      <w:pPr>
        <w:pStyle w:val="Heading3"/>
      </w:pPr>
      <w:r>
        <w:t xml:space="preserve">Methods</w:t>
      </w:r>
    </w:p>
    <w:p>
      <w:pPr>
        <w:pStyle w:val="FirstParagraph"/>
      </w:pPr>
      <w:r>
        <w:rPr>
          <w:b/>
          <w:bCs/>
        </w:rPr>
        <w:t xml:space="preserve">Participants</w:t>
      </w:r>
      <w:r>
        <w:t xml:space="preserve"> </w:t>
      </w:r>
      <w:r>
        <w:t xml:space="preserve">From an initial pool of 80 participants, 19 were excluded (final</w:t>
      </w:r>
      <w:r>
        <w:t xml:space="preserve"> </w:t>
      </w:r>
      <w:r>
        <w:rPr>
          <w:i/>
          <w:iCs/>
        </w:rPr>
        <w:t xml:space="preserve">N</w:t>
      </w:r>
      <w:r>
        <w:t xml:space="preserve"> </w:t>
      </w:r>
      <w:r>
        <w:t xml:space="preserve">= 61). Participants were native English-speaking university students (40.98% Cisgender Female, 59.02% Cisgender Male;</w:t>
      </w:r>
      <w:r>
        <w:t xml:space="preserve"> </w:t>
      </w:r>
      <w:r>
        <w:rPr>
          <w:i/>
          <w:iCs/>
        </w:rPr>
        <w:t xml:space="preserve">M</w:t>
      </w:r>
      <w:r>
        <w:t xml:space="preserve">Age</w:t>
      </w:r>
      <w:r>
        <w:t xml:space="preserve"> </w:t>
      </w:r>
      <w:r>
        <w:t xml:space="preserve">= 19.95,</w:t>
      </w:r>
      <w:r>
        <w:t xml:space="preserve"> </w:t>
      </w:r>
      <w:r>
        <w:rPr>
          <w:i/>
          <w:iCs/>
        </w:rPr>
        <w:t xml:space="preserve">SD</w:t>
      </w:r>
      <w:r>
        <w:t xml:space="preserve">Age</w:t>
      </w:r>
      <w:r>
        <w:t xml:space="preserve"> </w:t>
      </w:r>
      <w:r>
        <w:t xml:space="preserve">= 1.51, Range</w:t>
      </w:r>
      <w:r>
        <w:t xml:space="preserve">Age</w:t>
      </w:r>
      <w:r>
        <w:t xml:space="preserve"> </w:t>
      </w:r>
      <w:r>
        <w:t xml:space="preserve">= [18, 25]), with an ethnic composition of 9.84% White/Caucasian, 11.48% Mixed/Other, 32.79% Asian, 40.98% Hispanic/Latino, and 4.92% Native-American. A power analysis using</w:t>
      </w:r>
      <w:r>
        <w:t xml:space="preserve"> </w:t>
      </w:r>
      <w:r>
        <w:rPr>
          <w:i/>
          <w:iCs/>
        </w:rPr>
        <w:t xml:space="preserve">simr</w:t>
      </w:r>
      <w:r>
        <w:t xml:space="preserve"> </w:t>
      </w:r>
      <w:r>
        <w:t xml:space="preserve">indicated that</w:t>
      </w:r>
      <w:r>
        <w:t xml:space="preserve"> </w:t>
      </w:r>
      <w:r>
        <w:rPr>
          <w:i/>
          <w:iCs/>
        </w:rPr>
        <w:t xml:space="preserve">N</w:t>
      </w:r>
      <w:r>
        <w:t xml:space="preserve"> </w:t>
      </w:r>
      <w:r>
        <w:t xml:space="preserve">= 5 was sufficient to detect within-subjects effects at 95% power.</w:t>
      </w:r>
    </w:p>
    <w:p>
      <w:pPr>
        <w:pStyle w:val="BodyText"/>
      </w:pPr>
      <w:r>
        <w:rPr>
          <w:b/>
          <w:bCs/>
        </w:rPr>
        <w:t xml:space="preserve">Network Procedure</w:t>
      </w:r>
      <w:r>
        <w:t xml:space="preserve"> </w:t>
      </w:r>
      <w:r>
        <w:t xml:space="preserve">We utilized a semantic dependency network of 147 traits constructed using data from 178 Amazon Mechanical Turk participants (25% consensus threshold). From this network, we derived network-based Dice similarity (Equation 1), representing the proportion of shared neighbors between traits.</w:t>
      </w:r>
    </w:p>
    <w:p>
      <w:pPr>
        <w:pStyle w:val="BodyText"/>
      </w:pPr>
      <w:r>
        <w:rPr>
          <w:b/>
          <w:bCs/>
        </w:rPr>
        <w:t xml:space="preserve">Figure 1. Trait network.</w:t>
      </w:r>
      <w:r>
        <w:t xml:space="preserve"> </w:t>
      </w:r>
      <w:r>
        <w:rPr>
          <w:i/>
          <w:iCs/>
        </w:rPr>
        <w:t xml:space="preserve">Note.</w:t>
      </w:r>
      <w:r>
        <w:t xml:space="preserve"> </w:t>
      </w:r>
      <w:r>
        <w:t xml:space="preserve">Top figure depicts full semantic dependency network of traits. Bottom figure is subset of network containing the trait</w:t>
      </w:r>
      <w:r>
        <w:t xml:space="preserve"> </w:t>
      </w:r>
      <w:r>
        <w:t xml:space="preserve">‘Friendly’</w:t>
      </w:r>
      <w:r>
        <w:t xml:space="preserve"> </w:t>
      </w:r>
      <w:r>
        <w:t xml:space="preserve">and it’s immediate neighbors.</w:t>
      </w:r>
    </w:p>
    <w:p>
      <w:pPr>
        <w:pStyle w:val="BodyText"/>
      </w:pPr>
      <w:r>
        <w:rPr>
          <w:b/>
          <w:bCs/>
        </w:rPr>
        <w:t xml:space="preserve">Design</w:t>
      </w:r>
      <w:r>
        <w:t xml:space="preserve"> </w:t>
      </w:r>
      <w:r>
        <w:rPr>
          <w:i/>
          <w:iCs/>
        </w:rPr>
        <w:t xml:space="preserve">Training phase.</w:t>
      </w:r>
      <w:r>
        <w:t xml:space="preserve"> </w:t>
      </w:r>
      <w:r>
        <w:t xml:space="preserve">Participants self-evaluated approximately 60% of the network (90 traits) on a Likert scale from 1 (</w:t>
      </w:r>
      <w:r>
        <w:rPr>
          <w:i/>
          <w:iCs/>
        </w:rPr>
        <w:t xml:space="preserve">Not at all</w:t>
      </w:r>
      <w:r>
        <w:t xml:space="preserve">) to 7 (</w:t>
      </w:r>
      <w:r>
        <w:rPr>
          <w:i/>
          <w:iCs/>
        </w:rPr>
        <w:t xml:space="preserve">Extremely</w:t>
      </w:r>
      <w:r>
        <w:t xml:space="preserve">). Following a dot-estimation minimal group assignment task (NEST), participants were randomly assigned to be</w:t>
      </w:r>
      <w:r>
        <w:t xml:space="preserve"> </w:t>
      </w:r>
      <w:r>
        <w:t xml:space="preserve">“overestimators”</w:t>
      </w:r>
      <w:r>
        <w:t xml:space="preserve"> </w:t>
      </w:r>
      <w:r>
        <w:t xml:space="preserve">or</w:t>
      </w:r>
      <w:r>
        <w:t xml:space="preserve"> </w:t>
      </w:r>
      <w:r>
        <w:t xml:space="preserve">“underestimators.”</w:t>
      </w:r>
      <w:r>
        <w:t xml:space="preserve"> </w:t>
      </w:r>
      <w:r>
        <w:t xml:space="preserve">In the</w:t>
      </w:r>
      <w:r>
        <w:t xml:space="preserve"> </w:t>
      </w:r>
      <w:r>
        <w:rPr>
          <w:i/>
          <w:iCs/>
        </w:rPr>
        <w:t xml:space="preserve">generalization phase</w:t>
      </w:r>
      <w:r>
        <w:t xml:space="preserve">, participants classified all 148 traits in the network as characteristic of either the ingroup or outgroup (148 trials). This included 90 repeated traits and 58 novel traits.</w:t>
      </w:r>
    </w:p>
    <w:p>
      <w:pPr>
        <w:pStyle w:val="BodyText"/>
      </w:pPr>
      <w:r>
        <w:rPr>
          <w:b/>
          <w:bCs/>
        </w:rPr>
        <w:t xml:space="preserve">Figure 2. Schematic of task design</w:t>
      </w:r>
      <w:r>
        <w:t xml:space="preserve"> </w:t>
      </w:r>
      <w:r>
        <w:rPr>
          <w:i/>
          <w:iCs/>
        </w:rPr>
        <w:t xml:space="preserve">Note.</w:t>
      </w:r>
      <w:r>
        <w:t xml:space="preserve"> </w:t>
      </w:r>
      <w:r>
        <w:t xml:space="preserve">Depicting training phase on top and generalization phase on bottom. Participants self-evaluate on 90 out of 148 traits on a Likert scale from 1 to 7. During generalization phase, 90 traits are thus repeated while 58 traits are novel and never received a self-evaluation. Participants then proceed through all traits in the semantic trait network, and classify whether each trait is characteristic of the ingroup or the outgroup.</w:t>
      </w:r>
    </w:p>
    <w:p>
      <w:pPr>
        <w:pStyle w:val="BodyText"/>
      </w:pPr>
      <w:r>
        <w:rPr>
          <w:b/>
          <w:bCs/>
        </w:rPr>
        <w:t xml:space="preserve">Indices</w:t>
      </w:r>
      <w:r>
        <w:t xml:space="preserve"> </w:t>
      </w:r>
      <w:r>
        <w:t xml:space="preserve">We computed</w:t>
      </w:r>
      <w:r>
        <w:t xml:space="preserve"> </w:t>
      </w:r>
      <w:r>
        <w:rPr>
          <w:i/>
          <w:iCs/>
        </w:rPr>
        <w:t xml:space="preserve">Similarity-to-Self</w:t>
      </w:r>
      <w:r>
        <w:t xml:space="preserve"> </w:t>
      </w:r>
      <w:r>
        <w:t xml:space="preserve">(</w:t>
      </w:r>
      <m:oMath>
        <m:r>
          <m:t>S</m:t>
        </m:r>
        <m:sSub>
          <m:e>
            <m:r>
              <m:t>S</m:t>
            </m:r>
          </m:e>
          <m:sub>
            <m:r>
              <m:t>g</m:t>
            </m:r>
          </m:sub>
        </m:sSub>
      </m:oMath>
      <w:r>
        <w:t xml:space="preserve">) as a self-evaluation-weighted average of semantic similarity (Equation 2). We also formalize uncertainty using a standard entropy formulation (Equation 3) and operationalized the</w:t>
      </w:r>
      <w:r>
        <w:t xml:space="preserve"> </w:t>
      </w:r>
      <w:r>
        <w:rPr>
          <w:i/>
          <w:iCs/>
        </w:rPr>
        <w:t xml:space="preserve">Metacontrast Ratio</w:t>
      </w:r>
      <w:r>
        <w:t xml:space="preserve"> </w:t>
      </w:r>
      <w:r>
        <w:t xml:space="preserve">(MCR) using the ratio of summed similarities to ingroup versus outgroup classified traits (Equation 6).</w:t>
      </w:r>
    </w:p>
    <w:p>
      <w:pPr>
        <w:pStyle w:val="BodyText"/>
      </w:pPr>
      <w:r>
        <w:rPr>
          <w:b/>
          <w:bCs/>
        </w:rPr>
        <w:t xml:space="preserve">Computational Modeling</w:t>
      </w:r>
      <w:r>
        <w:t xml:space="preserve"> </w:t>
      </w:r>
      <w:r>
        <w:t xml:space="preserve">We compared five cognitive architectures based on category learning principles (Nosofsky, 2011) to test the representational structure of self-anchoring.</w:t>
      </w:r>
    </w:p>
    <w:p>
      <w:pPr>
        <w:pStyle w:val="BodyText"/>
      </w:pPr>
      <w:r>
        <w:rPr>
          <w:b/>
          <w:bCs/>
        </w:rPr>
        <w:t xml:space="preserve">Level 1: Bias Model (Motivational Baseline).</w:t>
      </w:r>
      <w:r>
        <w:t xml:space="preserve"> </w:t>
      </w:r>
      <w:r>
        <w:t xml:space="preserve">This model represents a general tendency to choose the ingroup regardless of trait content, serving as a baseline for ingroup favoritism:</w:t>
      </w:r>
    </w:p>
    <w:p>
      <w:pPr>
        <w:pStyle w:val="BodyText"/>
      </w:pPr>
      <m:oMathPara>
        <m:oMathParaPr>
          <m:jc m:val="center"/>
        </m:oMathParaPr>
        <m:oMath>
          <m:r>
            <m:t>P</m:t>
          </m:r>
          <m:d>
            <m:dPr>
              <m:begChr m:val="("/>
              <m:sepChr m:val=""/>
              <m:endChr m:val=")"/>
              <m:grow/>
            </m:dPr>
            <m:e>
              <m:r>
                <m:rPr>
                  <m:nor/>
                  <m:sty m:val="p"/>
                </m:rPr>
                <m:t>Ingroup</m:t>
              </m:r>
              <m:r>
                <m:rPr>
                  <m:sty m:val="p"/>
                </m:rPr>
                <m:t>|</m:t>
              </m:r>
              <m:r>
                <m:t>g</m:t>
              </m:r>
            </m:e>
          </m:d>
          <m:r>
            <m:rPr>
              <m:sty m:val="p"/>
            </m:rPr>
            <m:t>=</m:t>
          </m:r>
          <m:sSup>
            <m:e>
              <m:r>
                <m:rPr>
                  <m:nor/>
                  <m:sty m:val="p"/>
                </m:rPr>
                <m:t>logit</m:t>
              </m:r>
            </m:e>
            <m:sup>
              <m:r>
                <m:rPr>
                  <m:sty m:val="p"/>
                </m:rPr>
                <m:t>−</m:t>
              </m:r>
              <m:r>
                <m:t>1</m:t>
              </m:r>
            </m:sup>
          </m:sSup>
          <m:d>
            <m:dPr>
              <m:begChr m:val="("/>
              <m:sepChr m:val=""/>
              <m:endChr m:val=")"/>
              <m:grow/>
            </m:dPr>
            <m:e>
              <m:r>
                <m:rPr>
                  <m:nor/>
                  <m:sty m:val="p"/>
                </m:rPr>
                <m:t>logit</m:t>
              </m:r>
              <m:d>
                <m:dPr>
                  <m:begChr m:val="("/>
                  <m:sepChr m:val=""/>
                  <m:endChr m:val=")"/>
                  <m:grow/>
                </m:dPr>
                <m:e>
                  <m:r>
                    <m:t>γ</m:t>
                  </m:r>
                </m:e>
              </m:d>
            </m:e>
          </m:d>
        </m:oMath>
      </m:oMathPara>
    </w:p>
    <w:p>
      <w:pPr>
        <w:pStyle w:val="FirstParagraph"/>
      </w:pPr>
      <w:r>
        <w:t xml:space="preserve">where</w:t>
      </w:r>
      <w:r>
        <w:t xml:space="preserve"> </w:t>
      </w:r>
      <m:oMath>
        <m:r>
          <m:t>γ</m:t>
        </m:r>
      </m:oMath>
      <w:r>
        <w:t xml:space="preserve"> </w:t>
      </w:r>
      <w:r>
        <w:t xml:space="preserve">is the bias parameter.</w:t>
      </w:r>
    </w:p>
    <w:p>
      <w:pPr>
        <w:pStyle w:val="BodyText"/>
      </w:pPr>
      <w:r>
        <w:rPr>
          <w:b/>
          <w:bCs/>
        </w:rPr>
        <w:t xml:space="preserve">Level 2: Symmetric Model (Traditional Self-Anchoring).</w:t>
      </w:r>
      <w:r>
        <w:t xml:space="preserve"> </w:t>
      </w:r>
      <w:r>
        <w:t xml:space="preserve">This model utilizes a single projection rate (</w:t>
      </w:r>
      <m:oMath>
        <m:r>
          <m:t>α</m:t>
        </m:r>
      </m:oMath>
      <w:r>
        <w:t xml:space="preserve">) assuming that the rate of ingroup assimilation is mathematically identical to the rate of outgroup repulsion:</w:t>
      </w:r>
    </w:p>
    <w:p>
      <w:pPr>
        <w:pStyle w:val="BodyText"/>
      </w:pPr>
      <m:oMathPara>
        <m:oMathParaPr>
          <m:jc m:val="center"/>
        </m:oMathParaPr>
        <m:oMath>
          <m:r>
            <m:t>P</m:t>
          </m:r>
          <m:d>
            <m:dPr>
              <m:begChr m:val="("/>
              <m:sepChr m:val=""/>
              <m:endChr m:val=")"/>
              <m:grow/>
            </m:dPr>
            <m:e>
              <m:r>
                <m:rPr>
                  <m:nor/>
                  <m:sty m:val="p"/>
                </m:rPr>
                <m:t>Ingroup</m:t>
              </m:r>
              <m:r>
                <m:rPr>
                  <m:sty m:val="p"/>
                </m:rPr>
                <m:t>|</m:t>
              </m:r>
              <m:r>
                <m:t>g</m:t>
              </m:r>
            </m:e>
          </m:d>
          <m:r>
            <m:rPr>
              <m:sty m:val="p"/>
            </m:rPr>
            <m:t>=</m:t>
          </m:r>
          <m:f>
            <m:fPr>
              <m:type m:val="bar"/>
            </m:fPr>
            <m:num>
              <m:r>
                <m:t>γ</m:t>
              </m:r>
              <m:r>
                <m:rPr>
                  <m:sty m:val="p"/>
                </m:rPr>
                <m:t>⋅</m:t>
              </m:r>
              <m:sSup>
                <m:e>
                  <m:d>
                    <m:dPr>
                      <m:begChr m:val="("/>
                      <m:sepChr m:val=""/>
                      <m:endChr m:val=")"/>
                      <m:grow/>
                    </m:dPr>
                    <m:e>
                      <m:nary>
                        <m:naryPr>
                          <m:chr m:val="∑"/>
                          <m:limLoc m:val="undOvr"/>
                          <m:subHide m:val="off"/>
                          <m:supHide m:val="off"/>
                        </m:naryPr>
                        <m:sub>
                          <m:r>
                            <m:t>t</m:t>
                          </m:r>
                          <m:r>
                            <m:rPr>
                              <m:sty m:val="p"/>
                            </m:rPr>
                            <m:t>=</m:t>
                          </m:r>
                          <m:r>
                            <m:t>1</m:t>
                          </m:r>
                        </m:sub>
                        <m:sup>
                          <m:r>
                            <m:t>T</m:t>
                          </m:r>
                        </m:sup>
                        <m:e>
                          <m:sSub>
                            <m:e>
                              <m:r>
                                <m:t>S</m:t>
                              </m:r>
                            </m:e>
                            <m:sub>
                              <m:r>
                                <m:t>t</m:t>
                              </m:r>
                              <m:r>
                                <m:t>g</m:t>
                              </m:r>
                            </m:sub>
                          </m:sSub>
                        </m:e>
                      </m:nary>
                      <m:r>
                        <m:rPr>
                          <m:sty m:val="p"/>
                        </m:rPr>
                        <m:t>⋅</m:t>
                      </m:r>
                      <m:sSub>
                        <m:e>
                          <m:r>
                            <m:t>G</m:t>
                          </m:r>
                        </m:e>
                        <m:sub>
                          <m:r>
                            <m:t>t</m:t>
                          </m:r>
                        </m:sub>
                      </m:sSub>
                    </m:e>
                  </m:d>
                </m:e>
                <m:sup>
                  <m:r>
                    <m:t>β</m:t>
                  </m:r>
                </m:sup>
              </m:sSup>
            </m:num>
            <m:den>
              <m:r>
                <m:t>γ</m:t>
              </m:r>
              <m:r>
                <m:rPr>
                  <m:sty m:val="p"/>
                </m:rPr>
                <m:t>⋅</m:t>
              </m:r>
              <m:sSup>
                <m:e>
                  <m:d>
                    <m:dPr>
                      <m:begChr m:val="("/>
                      <m:sepChr m:val=""/>
                      <m:endChr m:val=")"/>
                      <m:grow/>
                    </m:dPr>
                    <m:e>
                      <m:nary>
                        <m:naryPr>
                          <m:chr m:val="∑"/>
                          <m:limLoc m:val="undOvr"/>
                          <m:subHide m:val="off"/>
                          <m:supHide m:val="off"/>
                        </m:naryPr>
                        <m:sub>
                          <m:r>
                            <m:t>t</m:t>
                          </m:r>
                          <m:r>
                            <m:rPr>
                              <m:sty m:val="p"/>
                            </m:rPr>
                            <m:t>=</m:t>
                          </m:r>
                          <m:r>
                            <m:t>1</m:t>
                          </m:r>
                        </m:sub>
                        <m:sup>
                          <m:r>
                            <m:t>T</m:t>
                          </m:r>
                        </m:sup>
                        <m:e>
                          <m:sSub>
                            <m:e>
                              <m:r>
                                <m:t>S</m:t>
                              </m:r>
                            </m:e>
                            <m:sub>
                              <m:r>
                                <m:t>t</m:t>
                              </m:r>
                              <m:r>
                                <m:t>g</m:t>
                              </m:r>
                            </m:sub>
                          </m:sSub>
                        </m:e>
                      </m:nary>
                      <m:r>
                        <m:rPr>
                          <m:sty m:val="p"/>
                        </m:rPr>
                        <m:t>⋅</m:t>
                      </m:r>
                      <m:sSub>
                        <m:e>
                          <m:r>
                            <m:t>G</m:t>
                          </m:r>
                        </m:e>
                        <m:sub>
                          <m:r>
                            <m:t>t</m:t>
                          </m:r>
                        </m:sub>
                      </m:sSub>
                    </m:e>
                  </m:d>
                </m:e>
                <m:sup>
                  <m:r>
                    <m:t>β</m:t>
                  </m:r>
                </m:sup>
              </m:sSup>
              <m:r>
                <m:rPr>
                  <m:sty m:val="p"/>
                </m:rPr>
                <m:t>+</m:t>
              </m:r>
              <m:d>
                <m:dPr>
                  <m:begChr m:val="("/>
                  <m:sepChr m:val=""/>
                  <m:endChr m:val=")"/>
                  <m:grow/>
                </m:dPr>
                <m:e>
                  <m:r>
                    <m:t>1</m:t>
                  </m:r>
                  <m:r>
                    <m:rPr>
                      <m:sty m:val="p"/>
                    </m:rPr>
                    <m:t>−</m:t>
                  </m:r>
                  <m:r>
                    <m:t>γ</m:t>
                  </m:r>
                </m:e>
              </m:d>
              <m:r>
                <m:rPr>
                  <m:sty m:val="p"/>
                </m:rPr>
                <m:t>⋅</m:t>
              </m:r>
              <m:sSup>
                <m:e>
                  <m:d>
                    <m:dPr>
                      <m:begChr m:val="("/>
                      <m:sepChr m:val=""/>
                      <m:endChr m:val=")"/>
                      <m:grow/>
                    </m:dPr>
                    <m:e>
                      <m:nary>
                        <m:naryPr>
                          <m:chr m:val="∑"/>
                          <m:limLoc m:val="undOvr"/>
                          <m:subHide m:val="off"/>
                          <m:supHide m:val="off"/>
                        </m:naryPr>
                        <m:sub>
                          <m:r>
                            <m:t>t</m:t>
                          </m:r>
                          <m:r>
                            <m:rPr>
                              <m:sty m:val="p"/>
                            </m:rPr>
                            <m:t>=</m:t>
                          </m:r>
                          <m:r>
                            <m:t>1</m:t>
                          </m:r>
                        </m:sub>
                        <m:sup>
                          <m:r>
                            <m:t>T</m:t>
                          </m:r>
                        </m:sup>
                        <m:e>
                          <m:sSub>
                            <m:e>
                              <m:r>
                                <m:t>S</m:t>
                              </m:r>
                            </m:e>
                            <m:sub>
                              <m:r>
                                <m:t>t</m:t>
                              </m:r>
                              <m:r>
                                <m:t>g</m:t>
                              </m:r>
                            </m:sub>
                          </m:sSub>
                        </m:e>
                      </m:nary>
                      <m:r>
                        <m:rPr>
                          <m:sty m:val="p"/>
                        </m:rPr>
                        <m:t>⋅</m:t>
                      </m:r>
                      <m:d>
                        <m:dPr>
                          <m:begChr m:val="("/>
                          <m:sepChr m:val=""/>
                          <m:endChr m:val=")"/>
                          <m:grow/>
                        </m:dPr>
                        <m:e>
                          <m:r>
                            <m:t>1</m:t>
                          </m:r>
                          <m:r>
                            <m:rPr>
                              <m:sty m:val="p"/>
                            </m:rPr>
                            <m:t>−</m:t>
                          </m:r>
                          <m:sSub>
                            <m:e>
                              <m:r>
                                <m:t>G</m:t>
                              </m:r>
                            </m:e>
                            <m:sub>
                              <m:r>
                                <m:t>t</m:t>
                              </m:r>
                            </m:sub>
                          </m:sSub>
                        </m:e>
                      </m:d>
                    </m:e>
                  </m:d>
                </m:e>
                <m:sup>
                  <m:r>
                    <m:t>β</m:t>
                  </m:r>
                </m:sup>
              </m:sSup>
            </m:den>
          </m:f>
        </m:oMath>
      </m:oMathPara>
    </w:p>
    <w:p>
      <w:pPr>
        <w:pStyle w:val="FirstParagraph"/>
      </w:pPr>
      <w:r>
        <w:t xml:space="preserve">where</w:t>
      </w:r>
      <w:r>
        <w:t xml:space="preserve"> </w:t>
      </w:r>
      <m:oMath>
        <m:sSub>
          <m:e>
            <m:r>
              <m:t>G</m:t>
            </m:r>
          </m:e>
          <m:sub>
            <m:r>
              <m:t>t</m:t>
            </m:r>
          </m:sub>
        </m:sSub>
        <m:r>
          <m:rPr>
            <m:sty m:val="p"/>
          </m:rPr>
          <m:t>=</m:t>
        </m:r>
        <m:f>
          <m:fPr>
            <m:type m:val="bar"/>
          </m:fPr>
          <m:num>
            <m:r>
              <m:t>1</m:t>
            </m:r>
          </m:num>
          <m:den>
            <m:r>
              <m:t>1</m:t>
            </m:r>
            <m:r>
              <m:rPr>
                <m:sty m:val="p"/>
              </m:rPr>
              <m:t>+</m:t>
            </m:r>
            <m:sSup>
              <m:e>
                <m:r>
                  <m:t>e</m:t>
                </m:r>
              </m:e>
              <m:sup>
                <m:r>
                  <m:rPr>
                    <m:sty m:val="p"/>
                  </m:rPr>
                  <m:t>−</m:t>
                </m:r>
                <m:r>
                  <m:t>α</m:t>
                </m:r>
                <m:d>
                  <m:dPr>
                    <m:begChr m:val="("/>
                    <m:sepChr m:val=""/>
                    <m:endChr m:val=")"/>
                    <m:grow/>
                  </m:dPr>
                  <m:e>
                    <m:sSub>
                      <m:e>
                        <m:r>
                          <m:t>E</m:t>
                        </m:r>
                      </m:e>
                      <m:sub>
                        <m:r>
                          <m:t>t</m:t>
                        </m:r>
                      </m:sub>
                    </m:sSub>
                    <m:r>
                      <m:rPr>
                        <m:sty m:val="p"/>
                      </m:rPr>
                      <m:t>−</m:t>
                    </m:r>
                    <m:r>
                      <m:t>4</m:t>
                    </m:r>
                  </m:e>
                </m:d>
              </m:sup>
            </m:sSup>
          </m:den>
        </m:f>
      </m:oMath>
      <w:r>
        <w:t xml:space="preserve"> </w:t>
      </w:r>
      <w:r>
        <w:t xml:space="preserve">represents the latent belief transformed from self-evaluations (</w:t>
      </w:r>
      <m:oMath>
        <m:sSub>
          <m:e>
            <m:r>
              <m:t>E</m:t>
            </m:r>
          </m:e>
          <m:sub>
            <m:r>
              <m:t>t</m:t>
            </m:r>
          </m:sub>
        </m:sSub>
      </m:oMath>
      <w:r>
        <w:t xml:space="preserve">).</w:t>
      </w:r>
    </w:p>
    <w:p>
      <w:pPr>
        <w:pStyle w:val="BodyText"/>
      </w:pPr>
      <w:r>
        <w:rPr>
          <w:b/>
          <w:bCs/>
        </w:rPr>
        <w:t xml:space="preserve">Level 3: Asymmetric Model (Opposing Forces).</w:t>
      </w:r>
      <w:r>
        <w:t xml:space="preserve"> </w:t>
      </w:r>
      <w:r>
        <w:t xml:space="preserve">This model decouples the assimilation and repulsion processes into distinct parameters,</w:t>
      </w:r>
      <w:r>
        <w:t xml:space="preserve"> </w:t>
      </w:r>
      <m:oMath>
        <m:sSub>
          <m:e>
            <m:r>
              <m:t>α</m:t>
            </m:r>
          </m:e>
          <m:sub>
            <m:r>
              <m:t>i</m:t>
            </m:r>
            <m:r>
              <m:t>n</m:t>
            </m:r>
          </m:sub>
        </m:sSub>
      </m:oMath>
      <w:r>
        <w:t xml:space="preserve"> </w:t>
      </w:r>
      <w:r>
        <w:t xml:space="preserve">and</w:t>
      </w:r>
      <w:r>
        <w:t xml:space="preserve"> </w:t>
      </w:r>
      <m:oMath>
        <m:sSub>
          <m:e>
            <m:r>
              <m:t>α</m:t>
            </m:r>
          </m:e>
          <m:sub>
            <m:r>
              <m:t>o</m:t>
            </m:r>
            <m:r>
              <m:t>u</m:t>
            </m:r>
            <m:r>
              <m:t>t</m:t>
            </m:r>
          </m:sub>
        </m:sSub>
      </m:oMath>
      <w:r>
        <w:t xml:space="preserve">, to test if social identity is driven by</w:t>
      </w:r>
      <w:r>
        <w:t xml:space="preserve"> </w:t>
      </w:r>
      <w:r>
        <w:t xml:space="preserve">“ingroup love”</w:t>
      </w:r>
      <w:r>
        <w:t xml:space="preserve"> </w:t>
      </w:r>
      <w:r>
        <w:t xml:space="preserve">or</w:t>
      </w:r>
      <w:r>
        <w:t xml:space="preserve"> </w:t>
      </w:r>
      <w:r>
        <w:t xml:space="preserve">“outgroup hate”</w:t>
      </w:r>
      <w:r>
        <w:t xml:space="preserve">:</w:t>
      </w:r>
    </w:p>
    <w:p>
      <w:pPr>
        <w:pStyle w:val="BodyText"/>
      </w:pPr>
      <m:oMathPara>
        <m:oMathParaPr>
          <m:jc m:val="center"/>
        </m:oMathParaPr>
        <m:oMath>
          <m:sSub>
            <m:e>
              <m:r>
                <m:t>G</m:t>
              </m:r>
            </m:e>
            <m:sub>
              <m:r>
                <m:t>i</m:t>
              </m:r>
              <m:r>
                <m:t>n</m:t>
              </m:r>
              <m:r>
                <m:rPr>
                  <m:sty m:val="p"/>
                </m:rPr>
                <m:t>,</m:t>
              </m:r>
              <m:r>
                <m:t>t</m:t>
              </m:r>
            </m:sub>
          </m:sSub>
          <m:r>
            <m:rPr>
              <m:sty m:val="p"/>
            </m:rPr>
            <m:t>=</m:t>
          </m:r>
          <m:f>
            <m:fPr>
              <m:type m:val="bar"/>
            </m:fPr>
            <m:num>
              <m:r>
                <m:t>1</m:t>
              </m:r>
            </m:num>
            <m:den>
              <m:r>
                <m:t>1</m:t>
              </m:r>
              <m:r>
                <m:rPr>
                  <m:sty m:val="p"/>
                </m:rPr>
                <m:t>+</m:t>
              </m:r>
              <m:sSup>
                <m:e>
                  <m:r>
                    <m:t>e</m:t>
                  </m:r>
                </m:e>
                <m:sup>
                  <m:r>
                    <m:rPr>
                      <m:sty m:val="p"/>
                    </m:rPr>
                    <m:t>−</m:t>
                  </m:r>
                  <m:sSub>
                    <m:e>
                      <m:r>
                        <m:t>α</m:t>
                      </m:r>
                    </m:e>
                    <m:sub>
                      <m:r>
                        <m:t>i</m:t>
                      </m:r>
                      <m:r>
                        <m:t>n</m:t>
                      </m:r>
                    </m:sub>
                  </m:sSub>
                  <m:d>
                    <m:dPr>
                      <m:begChr m:val="("/>
                      <m:sepChr m:val=""/>
                      <m:endChr m:val=")"/>
                      <m:grow/>
                    </m:dPr>
                    <m:e>
                      <m:sSub>
                        <m:e>
                          <m:r>
                            <m:t>E</m:t>
                          </m:r>
                        </m:e>
                        <m:sub>
                          <m:r>
                            <m:t>t</m:t>
                          </m:r>
                        </m:sub>
                      </m:sSub>
                      <m:r>
                        <m:rPr>
                          <m:sty m:val="p"/>
                        </m:rPr>
                        <m:t>−</m:t>
                      </m:r>
                      <m:r>
                        <m:t>4</m:t>
                      </m:r>
                    </m:e>
                  </m:d>
                </m:sup>
              </m:sSup>
            </m:den>
          </m:f>
          <m:r>
            <m:rPr>
              <m:sty m:val="p"/>
            </m:rPr>
            <m:t>;</m:t>
          </m:r>
          <m:r>
            <m:t> </m:t>
          </m:r>
          <m:sSub>
            <m:e>
              <m:r>
                <m:t>G</m:t>
              </m:r>
            </m:e>
            <m:sub>
              <m:r>
                <m:t>o</m:t>
              </m:r>
              <m:r>
                <m:t>u</m:t>
              </m:r>
              <m:r>
                <m:t>t</m:t>
              </m:r>
              <m:r>
                <m:rPr>
                  <m:sty m:val="p"/>
                </m:rPr>
                <m:t>,</m:t>
              </m:r>
              <m:r>
                <m:t>t</m:t>
              </m:r>
            </m:sub>
          </m:sSub>
          <m:r>
            <m:rPr>
              <m:sty m:val="p"/>
            </m:rPr>
            <m:t>=</m:t>
          </m:r>
          <m:f>
            <m:fPr>
              <m:type m:val="bar"/>
            </m:fPr>
            <m:num>
              <m:r>
                <m:t>1</m:t>
              </m:r>
            </m:num>
            <m:den>
              <m:r>
                <m:t>1</m:t>
              </m:r>
              <m:r>
                <m:rPr>
                  <m:sty m:val="p"/>
                </m:rPr>
                <m:t>+</m:t>
              </m:r>
              <m:sSup>
                <m:e>
                  <m:r>
                    <m:t>e</m:t>
                  </m:r>
                </m:e>
                <m:sup>
                  <m:sSub>
                    <m:e>
                      <m:r>
                        <m:t>α</m:t>
                      </m:r>
                    </m:e>
                    <m:sub>
                      <m:r>
                        <m:t>o</m:t>
                      </m:r>
                      <m:r>
                        <m:t>u</m:t>
                      </m:r>
                      <m:r>
                        <m:t>t</m:t>
                      </m:r>
                    </m:sub>
                  </m:sSub>
                  <m:d>
                    <m:dPr>
                      <m:begChr m:val="("/>
                      <m:sepChr m:val=""/>
                      <m:endChr m:val=")"/>
                      <m:grow/>
                    </m:dPr>
                    <m:e>
                      <m:sSub>
                        <m:e>
                          <m:r>
                            <m:t>E</m:t>
                          </m:r>
                        </m:e>
                        <m:sub>
                          <m:r>
                            <m:t>t</m:t>
                          </m:r>
                        </m:sub>
                      </m:sSub>
                      <m:r>
                        <m:rPr>
                          <m:sty m:val="p"/>
                        </m:rPr>
                        <m:t>−</m:t>
                      </m:r>
                      <m:r>
                        <m:t>4</m:t>
                      </m:r>
                    </m:e>
                  </m:d>
                </m:sup>
              </m:sSup>
            </m:den>
          </m:f>
        </m:oMath>
      </m:oMathPara>
    </w:p>
    <w:p>
      <w:pPr>
        <w:pStyle w:val="FirstParagraph"/>
      </w:pPr>
      <w:r>
        <w:t xml:space="preserve">Note that in a 2AFC task without a generalization gradient (</w:t>
      </w:r>
      <m:oMath>
        <m:r>
          <m:t>λ</m:t>
        </m:r>
      </m:oMath>
      <w:r>
        <w:t xml:space="preserve">), this model is primarily rhetorical;</w:t>
      </w:r>
      <w:r>
        <w:t xml:space="preserve"> </w:t>
      </w:r>
      <m:oMath>
        <m:sSub>
          <m:e>
            <m:r>
              <m:t>α</m:t>
            </m:r>
          </m:e>
          <m:sub>
            <m:r>
              <m:t>i</m:t>
            </m:r>
            <m:r>
              <m:t>n</m:t>
            </m:r>
          </m:sub>
        </m:sSub>
      </m:oMath>
      <w:r>
        <w:t xml:space="preserve"> </w:t>
      </w:r>
      <w:r>
        <w:t xml:space="preserve">and</w:t>
      </w:r>
      <w:r>
        <w:t xml:space="preserve"> </w:t>
      </w:r>
      <m:oMath>
        <m:sSub>
          <m:e>
            <m:r>
              <m:t>α</m:t>
            </m:r>
          </m:e>
          <m:sub>
            <m:r>
              <m:t>o</m:t>
            </m:r>
            <m:r>
              <m:t>u</m:t>
            </m:r>
            <m:r>
              <m:t>t</m:t>
            </m:r>
          </m:sub>
        </m:sSub>
      </m:oMath>
      <w:r>
        <w:t xml:space="preserve"> </w:t>
      </w:r>
      <w:r>
        <w:t xml:space="preserve">are perfectly collinear and redundant, as they essentially capture the same variance in choice probability. This model serves as a necessary baseline to demonstrate that the asymmetric forces of social identity cannot be empirically distinguished without the structural</w:t>
      </w:r>
      <w:r>
        <w:t xml:space="preserve"> </w:t>
      </w:r>
      <w:r>
        <w:t xml:space="preserve">“anchor”</w:t>
      </w:r>
      <w:r>
        <w:t xml:space="preserve"> </w:t>
      </w:r>
      <w:r>
        <w:t xml:space="preserve">provided by Shepard’s Law.</w:t>
      </w:r>
    </w:p>
    <w:p>
      <w:pPr>
        <w:pStyle w:val="BodyText"/>
      </w:pPr>
      <w:r>
        <w:rPr>
          <w:b/>
          <w:bCs/>
        </w:rPr>
        <w:t xml:space="preserve">Level 4: Asymmetric +</w:t>
      </w:r>
      <w:r>
        <w:rPr>
          <w:b/>
          <w:bCs/>
        </w:rPr>
        <w:t xml:space="preserve"> </w:t>
      </w:r>
      <m:oMath>
        <m:r>
          <m:t>λ</m:t>
        </m:r>
      </m:oMath>
      <w:r>
        <w:rPr>
          <w:b/>
          <w:bCs/>
        </w:rPr>
        <w:t xml:space="preserve"> </w:t>
      </w:r>
      <w:r>
        <w:rPr>
          <w:b/>
          <w:bCs/>
        </w:rPr>
        <w:t xml:space="preserve">Model (The Generalization Gradient).</w:t>
      </w:r>
      <w:r>
        <w:t xml:space="preserve"> </w:t>
      </w:r>
      <w:r>
        <w:t xml:space="preserve">This model integrates Shepard’s Law by adding a generalization sensitivity parameter (</w:t>
      </w:r>
      <m:oMath>
        <m:r>
          <m:t>λ</m:t>
        </m:r>
      </m:oMath>
      <w:r>
        <w:t xml:space="preserve">), representing the decay of inference across semantic similarity:</w:t>
      </w:r>
    </w:p>
    <w:p>
      <w:pPr>
        <w:pStyle w:val="BodyText"/>
      </w:pPr>
      <m:oMathPara>
        <m:oMathParaPr>
          <m:jc m:val="center"/>
        </m:oMathParaPr>
        <m:oMath>
          <m:sSub>
            <m:e>
              <m:r>
                <m:t>S</m:t>
              </m:r>
            </m:e>
            <m:sub>
              <m:r>
                <m:t>t</m:t>
              </m:r>
              <m:r>
                <m:t>g</m:t>
              </m:r>
            </m:sub>
          </m:sSub>
          <m:r>
            <m:rPr>
              <m:sty m:val="p"/>
            </m:rPr>
            <m:t>→</m:t>
          </m:r>
          <m:sSubSup>
            <m:e>
              <m:r>
                <m:t>S</m:t>
              </m:r>
            </m:e>
            <m:sub>
              <m:r>
                <m:t>t</m:t>
              </m:r>
              <m:r>
                <m:t>g</m:t>
              </m:r>
            </m:sub>
            <m:sup>
              <m:r>
                <m:t>λ</m:t>
              </m:r>
            </m:sup>
          </m:sSubSup>
        </m:oMath>
      </m:oMathPara>
    </w:p>
    <w:p>
      <w:pPr>
        <w:pStyle w:val="FirstParagraph"/>
      </w:pPr>
      <w:r>
        <w:t xml:space="preserve">This architecture treats</w:t>
      </w:r>
      <w:r>
        <w:t xml:space="preserve"> </w:t>
      </w:r>
      <m:oMath>
        <m:r>
          <m:t>λ</m:t>
        </m:r>
      </m:oMath>
      <w:r>
        <w:t xml:space="preserve"> </w:t>
      </w:r>
      <w:r>
        <w:t xml:space="preserve">as a universal cognitive law that defines the self-concept’s reach across semantic space, independent of the social target.</w:t>
      </w:r>
    </w:p>
    <w:p>
      <w:pPr>
        <w:pStyle w:val="BodyText"/>
      </w:pPr>
      <w:r>
        <w:rPr>
          <w:b/>
          <w:bCs/>
        </w:rPr>
        <w:t xml:space="preserve">Figure 5. How Shepard’s Law (</w:t>
      </w:r>
      <m:oMath>
        <m:r>
          <m:t>λ</m:t>
        </m:r>
      </m:oMath>
      <w:r>
        <w:rPr>
          <w:b/>
          <w:bCs/>
        </w:rPr>
        <w:t xml:space="preserve">) Unlocks Parameter Identifiability.</w:t>
      </w:r>
      <w:r>
        <w:t xml:space="preserve"> </w:t>
      </w:r>
      <w:r>
        <w:rPr>
          <w:i/>
          <w:iCs/>
        </w:rPr>
        <w:t xml:space="preserve">Note.</w:t>
      </w:r>
      <w:r>
        <w:t xml:space="preserve"> </w:t>
      </w:r>
      <w:r>
        <w:t xml:space="preserve">As</w:t>
      </w:r>
      <w:r>
        <w:t xml:space="preserve"> </w:t>
      </w:r>
      <m:oMath>
        <m:r>
          <m:t>λ</m:t>
        </m:r>
      </m:oMath>
      <w:r>
        <w:t xml:space="preserve"> </w:t>
      </w:r>
      <w:r>
        <w:t xml:space="preserve">increases, the generalization gradient becomes steeper, restricting the influence of self-evaluations to only local semantic neighbors. This</w:t>
      </w:r>
      <w:r>
        <w:t xml:space="preserve"> </w:t>
      </w:r>
      <w:r>
        <w:t xml:space="preserve">“flattening”</w:t>
      </w:r>
      <w:r>
        <w:t xml:space="preserve"> </w:t>
      </w:r>
      <w:r>
        <w:t xml:space="preserve">of influence for more distant novel traits provides the mathematical leverage necessary to distinguish the structural reach of the self-concept (</w:t>
      </w:r>
      <m:oMath>
        <m:r>
          <m:t>λ</m:t>
        </m:r>
      </m:oMath>
      <w:r>
        <w:t xml:space="preserve">) from the extremity of social projection (</w:t>
      </w:r>
      <m:oMath>
        <m:r>
          <m:t>α</m:t>
        </m:r>
      </m:oMath>
      <w:r>
        <w:t xml:space="preserve">).</w:t>
      </w:r>
    </w:p>
    <w:p>
      <w:pPr>
        <w:pStyle w:val="BodyText"/>
      </w:pPr>
      <w:r>
        <w:t xml:space="preserve">In a 2AFC task, estimating</w:t>
      </w:r>
      <w:r>
        <w:t xml:space="preserve"> </w:t>
      </w:r>
      <m:oMath>
        <m:sSub>
          <m:e>
            <m:r>
              <m:t>α</m:t>
            </m:r>
          </m:e>
          <m:sub>
            <m:r>
              <m:t>i</m:t>
            </m:r>
            <m:r>
              <m:t>n</m:t>
            </m:r>
          </m:sub>
        </m:sSub>
      </m:oMath>
      <w:r>
        <w:t xml:space="preserve"> </w:t>
      </w:r>
      <w:r>
        <w:t xml:space="preserve">and</w:t>
      </w:r>
      <w:r>
        <w:t xml:space="preserve"> </w:t>
      </w:r>
      <m:oMath>
        <m:sSub>
          <m:e>
            <m:r>
              <m:t>α</m:t>
            </m:r>
          </m:e>
          <m:sub>
            <m:r>
              <m:t>o</m:t>
            </m:r>
            <m:r>
              <m:t>u</m:t>
            </m:r>
            <m:r>
              <m:t>t</m:t>
            </m:r>
          </m:sub>
        </m:sSub>
      </m:oMath>
      <w:r>
        <w:t xml:space="preserve"> </w:t>
      </w:r>
      <w:r>
        <w:t xml:space="preserve">simultaneously is normally impossible due to collinearity; however, by using novel traits to establish a baseline</w:t>
      </w:r>
      <w:r>
        <w:t xml:space="preserve"> </w:t>
      </w:r>
      <w:r>
        <w:t xml:space="preserve">“semantic radius”</w:t>
      </w:r>
      <w:r>
        <w:t xml:space="preserve"> </w:t>
      </w:r>
      <w:r>
        <w:t xml:space="preserve">via Shepard’s Law, the model possesses the mathematical leverage to decouple the ingroup and outgroup slopes, unlocking the asymmetric forces central to social identity theory.</w:t>
      </w:r>
    </w:p>
    <w:p>
      <w:pPr>
        <w:pStyle w:val="BodyText"/>
      </w:pPr>
      <w:r>
        <w:t xml:space="preserve">To ensure identifiability of these parameters within a 2AFC task, we leveraged three computational strategies. First, we exploited the unique information provided by novel versus repeated traits; while repeated traits primarily inform projection extremity (</w:t>
      </w:r>
      <m:oMath>
        <m:r>
          <m:t>α</m:t>
        </m:r>
      </m:oMath>
      <w:r>
        <w:t xml:space="preserve">), novel traits isolate the signal for generalization sensitivity (</w:t>
      </w:r>
      <m:oMath>
        <m:r>
          <m:t>λ</m:t>
        </m:r>
      </m:oMath>
      <w:r>
        <w:t xml:space="preserve">) by forcing the model to rely entirely on the semantic similarity matrix (</w:t>
      </w:r>
      <m:oMath>
        <m:r>
          <m:t>S</m:t>
        </m:r>
      </m:oMath>
      <w:r>
        <w:t xml:space="preserve">). Second, we implemented the dual latent belief structure described above, allowing the model to distinguish choices driven by ingroup similarity from those driven by outgroup dissimilarity. Finally, we utilized non-centered parameterization and hierarchical Bayesian regularization to stabilize individual estimates, enabling robust sampling of the complex posterior surface. Models were fitted using Stan (four MCMC chains; 2,000 samples post-warmup). Convergence was confirmed via</w:t>
      </w:r>
      <w:r>
        <w:t xml:space="preserve"> </w:t>
      </w:r>
      <m:oMath>
        <m:acc>
          <m:accPr>
            <m:chr m:val="̂"/>
          </m:accPr>
          <m:e>
            <m:r>
              <m:t>R</m:t>
            </m:r>
          </m:e>
        </m:acc>
        <m:r>
          <m:rPr>
            <m:sty m:val="p"/>
          </m:rPr>
          <m:t>&lt;</m:t>
        </m:r>
        <m:r>
          <m:t>1.05</m:t>
        </m:r>
      </m:oMath>
      <w:r>
        <w:t xml:space="preserve">.</w:t>
      </w:r>
    </w:p>
    <w:p>
      <w:pPr>
        <w:pStyle w:val="BodyText"/>
      </w:pPr>
      <w:r>
        <w:rPr>
          <w:b/>
          <w:bCs/>
        </w:rPr>
        <w:t xml:space="preserve">Figure 4. Depiction of projection rate and group classifications of semantically similar traits.</w:t>
      </w:r>
      <w:r>
        <w:t xml:space="preserve"> </w:t>
      </w:r>
      <w:r>
        <w:rPr>
          <w:i/>
          <w:iCs/>
        </w:rPr>
        <w:t xml:space="preserve">Note.</w:t>
      </w:r>
      <w:r>
        <w:t xml:space="preserve"> </w:t>
      </w:r>
      <w:r>
        <w:t xml:space="preserve">(A) Visualization of how projection/rejection rate from self-to-group varies across different values of α (Small = .75, Large = 3.0). (B) The network similarity relations among 12 traits, depicted using multidimensional scaling (MDS). K-means clustering is performed to classify traits into clusters.</w:t>
      </w:r>
    </w:p>
    <w:bookmarkEnd w:id="28"/>
    <w:bookmarkStart w:id="29" w:name="results"/>
    <w:p>
      <w:pPr>
        <w:pStyle w:val="Heading3"/>
      </w:pPr>
      <w:r>
        <w:t xml:space="preserve">Results</w:t>
      </w:r>
    </w:p>
    <w:p>
      <w:pPr>
        <w:pStyle w:val="FirstParagraph"/>
      </w:pPr>
      <w:r>
        <w:t xml:space="preserve">Analyses used Bayesian mixed-effects models (CLMM and GLMM) with crossed random factors for subjects and traits to control for stimulus-level variation (Type I error rate reference = 23.90%). We report the probability of significance (</w:t>
      </w:r>
      <w:r>
        <w:rPr>
          <w:i/>
          <w:iCs/>
        </w:rPr>
        <w:t xml:space="preserve">ps</w:t>
      </w:r>
      <w:r>
        <w:t xml:space="preserve">;</w:t>
      </w:r>
      <w:r>
        <w:t xml:space="preserve"> </w:t>
      </w:r>
      <m:oMath>
        <m:r>
          <m:t>β</m:t>
        </m:r>
        <m:r>
          <m:rPr>
            <m:sty m:val="p"/>
          </m:rPr>
          <m:t>&gt;</m:t>
        </m:r>
        <m:d>
          <m:dPr>
            <m:begChr m:val="|"/>
            <m:sepChr m:val=""/>
            <m:endChr m:val="|"/>
            <m:grow/>
          </m:dPr>
          <m:e>
            <m:r>
              <m:t>0.05</m:t>
            </m:r>
          </m:e>
        </m:d>
      </m:oMath>
      <w:r>
        <w:t xml:space="preserve">) and the probability of a large effect (</w:t>
      </w:r>
      <w:r>
        <w:rPr>
          <w:i/>
          <w:iCs/>
        </w:rPr>
        <w:t xml:space="preserve">pl</w:t>
      </w:r>
      <w:r>
        <w:t xml:space="preserve">;</w:t>
      </w:r>
      <w:r>
        <w:t xml:space="preserve"> </w:t>
      </w:r>
      <m:oMath>
        <m:r>
          <m:t>β</m:t>
        </m:r>
        <m:r>
          <m:rPr>
            <m:sty m:val="p"/>
          </m:rPr>
          <m:t>&gt;</m:t>
        </m:r>
        <m:d>
          <m:dPr>
            <m:begChr m:val="|"/>
            <m:sepChr m:val=""/>
            <m:endChr m:val="|"/>
            <m:grow/>
          </m:dPr>
          <m:e>
            <m:r>
              <m:t>0.30</m:t>
            </m:r>
          </m:e>
        </m:d>
      </m:oMath>
      <w:r>
        <w:t xml:space="preserve">). Desirability reliability was good, ICC(C, 16) = .682 [.601, .753].</w:t>
      </w:r>
    </w:p>
    <w:p>
      <w:pPr>
        <w:pStyle w:val="BodyText"/>
      </w:pPr>
      <w:r>
        <w:rPr>
          <w:b/>
          <w:bCs/>
        </w:rPr>
        <w:t xml:space="preserve">Predictors of Ingroup Classification</w:t>
      </w:r>
      <w:r>
        <w:t xml:space="preserve"> </w:t>
      </w:r>
      <w:r>
        <w:t xml:space="preserve">Participants tended to classify desirable traits as characteristic of the ingroup (β = .074, OR = 1.08, CI</w:t>
      </w:r>
      <w:r>
        <w:t xml:space="preserve">95%</w:t>
      </w:r>
      <w:r>
        <w:t xml:space="preserve"> </w:t>
      </w:r>
      <w:r>
        <w:t xml:space="preserve">= [-.01, .157],</w:t>
      </w:r>
      <w:r>
        <w:t xml:space="preserve"> </w:t>
      </w:r>
      <w:r>
        <w:rPr>
          <w:i/>
          <w:iCs/>
        </w:rPr>
        <w:t xml:space="preserve">pd</w:t>
      </w:r>
      <w:r>
        <w:t xml:space="preserve"> </w:t>
      </w:r>
      <w:r>
        <w:t xml:space="preserve">= 95.5%,</w:t>
      </w:r>
      <w:r>
        <w:t xml:space="preserve"> </w:t>
      </w:r>
      <w:r>
        <w:rPr>
          <w:i/>
          <w:iCs/>
        </w:rPr>
        <w:t xml:space="preserve">p</w:t>
      </w:r>
      <w:r>
        <w:t xml:space="preserve"> </w:t>
      </w:r>
      <w:r>
        <w:t xml:space="preserve">= .09,</w:t>
      </w:r>
      <w:r>
        <w:t xml:space="preserve"> </w:t>
      </w:r>
      <w:r>
        <w:rPr>
          <w:i/>
          <w:iCs/>
        </w:rPr>
        <w:t xml:space="preserve">ps</w:t>
      </w:r>
      <w:r>
        <w:t xml:space="preserve"> </w:t>
      </w:r>
      <w:r>
        <w:t xml:space="preserve">= 34.9%,</w:t>
      </w:r>
      <w:r>
        <w:t xml:space="preserve"> </w:t>
      </w:r>
      <w:r>
        <w:rPr>
          <w:i/>
          <w:iCs/>
        </w:rPr>
        <w:t xml:space="preserve">pl</w:t>
      </w:r>
      <w:r>
        <w:t xml:space="preserve"> </w:t>
      </w:r>
      <w:r>
        <w:t xml:space="preserve">= 0%). Traditional self-anchoring was observed, with self-descriptive traits more likely to be classified as ingroup characteristic (β = .339, OR = 1.404, CI</w:t>
      </w:r>
      <w:r>
        <w:t xml:space="preserve">95%</w:t>
      </w:r>
      <w:r>
        <w:t xml:space="preserve"> </w:t>
      </w:r>
      <w:r>
        <w:t xml:space="preserve">= [.211, .466],</w:t>
      </w:r>
      <w:r>
        <w:t xml:space="preserve"> </w:t>
      </w:r>
      <w:r>
        <w:rPr>
          <w:i/>
          <w:iCs/>
        </w:rPr>
        <w:t xml:space="preserve">pd</w:t>
      </w:r>
      <w:r>
        <w:t xml:space="preserve"> </w:t>
      </w:r>
      <w:r>
        <w:t xml:space="preserve">= 100%,</w:t>
      </w:r>
      <w:r>
        <w:t xml:space="preserve"> </w:t>
      </w:r>
      <w:r>
        <w:rPr>
          <w:i/>
          <w:iCs/>
        </w:rPr>
        <w:t xml:space="preserve">p</w:t>
      </w:r>
      <w:r>
        <w:t xml:space="preserve"> </w:t>
      </w:r>
      <w:r>
        <w:t xml:space="preserve">= .0,</w:t>
      </w:r>
      <w:r>
        <w:t xml:space="preserve"> </w:t>
      </w:r>
      <w:r>
        <w:rPr>
          <w:i/>
          <w:iCs/>
        </w:rPr>
        <w:t xml:space="preserve">ps</w:t>
      </w:r>
      <w:r>
        <w:t xml:space="preserve"> </w:t>
      </w:r>
      <w:r>
        <w:t xml:space="preserve">= 100%,</w:t>
      </w:r>
      <w:r>
        <w:t xml:space="preserve"> </w:t>
      </w:r>
      <w:r>
        <w:rPr>
          <w:i/>
          <w:iCs/>
        </w:rPr>
        <w:t xml:space="preserve">pl</w:t>
      </w:r>
      <w:r>
        <w:t xml:space="preserve"> </w:t>
      </w:r>
      <w:r>
        <w:t xml:space="preserve">= 0.05%). Crucially,</w:t>
      </w:r>
      <w:r>
        <w:t xml:space="preserve"> </w:t>
      </w:r>
      <w:r>
        <w:rPr>
          <w:i/>
          <w:iCs/>
        </w:rPr>
        <w:t xml:space="preserve">Similarity-to-Self</w:t>
      </w:r>
      <w:r>
        <w:t xml:space="preserve"> </w:t>
      </w:r>
      <w:r>
        <w:t xml:space="preserve">strongly predicted ingroup classification (β = 1.394, OR = 4.033, CI</w:t>
      </w:r>
      <w:r>
        <w:t xml:space="preserve">95%</w:t>
      </w:r>
      <w:r>
        <w:t xml:space="preserve"> </w:t>
      </w:r>
      <w:r>
        <w:t xml:space="preserve">= [.591, 2.260],</w:t>
      </w:r>
      <w:r>
        <w:t xml:space="preserve"> </w:t>
      </w:r>
      <w:r>
        <w:rPr>
          <w:i/>
          <w:iCs/>
        </w:rPr>
        <w:t xml:space="preserve">pd</w:t>
      </w:r>
      <w:r>
        <w:t xml:space="preserve"> </w:t>
      </w:r>
      <w:r>
        <w:t xml:space="preserve">= 99.93%,</w:t>
      </w:r>
      <w:r>
        <w:t xml:space="preserve"> </w:t>
      </w:r>
      <w:r>
        <w:rPr>
          <w:i/>
          <w:iCs/>
        </w:rPr>
        <w:t xml:space="preserve">p</w:t>
      </w:r>
      <w:r>
        <w:t xml:space="preserve"> </w:t>
      </w:r>
      <w:r>
        <w:t xml:space="preserve">= .0015,</w:t>
      </w:r>
      <w:r>
        <w:t xml:space="preserve"> </w:t>
      </w:r>
      <w:r>
        <w:rPr>
          <w:i/>
          <w:iCs/>
        </w:rPr>
        <w:t xml:space="preserve">ps</w:t>
      </w:r>
      <w:r>
        <w:t xml:space="preserve"> </w:t>
      </w:r>
      <w:r>
        <w:t xml:space="preserve">= 99.85%,</w:t>
      </w:r>
      <w:r>
        <w:t xml:space="preserve"> </w:t>
      </w:r>
      <w:r>
        <w:rPr>
          <w:i/>
          <w:iCs/>
        </w:rPr>
        <w:t xml:space="preserve">pl</w:t>
      </w:r>
      <w:r>
        <w:t xml:space="preserve"> </w:t>
      </w:r>
      <w:r>
        <w:t xml:space="preserve">= 98.35%). This effect was substantially larger than one-to-one matching and remained consistent across novel and repeated traits (Inside ROPE = 100%, CI</w:t>
      </w:r>
      <w:r>
        <w:t xml:space="preserve">95%</w:t>
      </w:r>
      <w:r>
        <w:t xml:space="preserve"> </w:t>
      </w:r>
      <w:r>
        <w:t xml:space="preserve">= [-.09, .11]), confirming that self-anchoring is not a result of repetition effects. Generalization did not depend on outdegree centrality (β = .034,</w:t>
      </w:r>
      <w:r>
        <w:t xml:space="preserve"> </w:t>
      </w:r>
      <w:r>
        <w:rPr>
          <w:i/>
          <w:iCs/>
        </w:rPr>
        <w:t xml:space="preserve">p</w:t>
      </w:r>
      <w:r>
        <w:t xml:space="preserve"> </w:t>
      </w:r>
      <w:r>
        <w:t xml:space="preserve">= .332) or indegree centrality (β = .046,</w:t>
      </w:r>
      <w:r>
        <w:t xml:space="preserve"> </w:t>
      </w:r>
      <w:r>
        <w:rPr>
          <w:i/>
          <w:iCs/>
        </w:rPr>
        <w:t xml:space="preserve">p</w:t>
      </w:r>
      <w:r>
        <w:t xml:space="preserve"> </w:t>
      </w:r>
      <w:r>
        <w:t xml:space="preserve">= .080). Higher self-evaluation uncertainty predicted lower ingroup classification (β = -.739, OR = .478, CI</w:t>
      </w:r>
      <w:r>
        <w:t xml:space="preserve">95%</w:t>
      </w:r>
      <w:r>
        <w:t xml:space="preserve"> </w:t>
      </w:r>
      <w:r>
        <w:t xml:space="preserve">= [-1.389, -.010],</w:t>
      </w:r>
      <w:r>
        <w:t xml:space="preserve"> </w:t>
      </w:r>
      <w:r>
        <w:rPr>
          <w:i/>
          <w:iCs/>
        </w:rPr>
        <w:t xml:space="preserve">pd</w:t>
      </w:r>
      <w:r>
        <w:t xml:space="preserve"> </w:t>
      </w:r>
      <w:r>
        <w:t xml:space="preserve">= 98.73%,</w:t>
      </w:r>
      <w:r>
        <w:t xml:space="preserve"> </w:t>
      </w:r>
      <w:r>
        <w:rPr>
          <w:i/>
          <w:iCs/>
        </w:rPr>
        <w:t xml:space="preserve">p</w:t>
      </w:r>
      <w:r>
        <w:t xml:space="preserve"> </w:t>
      </w:r>
      <w:r>
        <w:t xml:space="preserve">= .0255,</w:t>
      </w:r>
      <w:r>
        <w:t xml:space="preserve"> </w:t>
      </w:r>
      <w:r>
        <w:rPr>
          <w:i/>
          <w:iCs/>
        </w:rPr>
        <w:t xml:space="preserve">ps</w:t>
      </w:r>
      <w:r>
        <w:t xml:space="preserve"> </w:t>
      </w:r>
      <w:r>
        <w:t xml:space="preserve">= 97.53%,</w:t>
      </w:r>
      <w:r>
        <w:t xml:space="preserve"> </w:t>
      </w:r>
      <w:r>
        <w:rPr>
          <w:i/>
          <w:iCs/>
        </w:rPr>
        <w:t xml:space="preserve">pl</w:t>
      </w:r>
      <w:r>
        <w:t xml:space="preserve"> </w:t>
      </w:r>
      <w:r>
        <w:t xml:space="preserve">= 72.80%).</w:t>
      </w:r>
    </w:p>
    <w:p>
      <w:pPr>
        <w:pStyle w:val="BodyText"/>
      </w:pPr>
      <w:r>
        <w:rPr>
          <w:b/>
          <w:bCs/>
        </w:rPr>
        <w:t xml:space="preserve">Figure 6. Depiction of probability of significance and equivalence test in Study 1.</w:t>
      </w:r>
      <w:r>
        <w:t xml:space="preserve"> </w:t>
      </w:r>
      <w:r>
        <w:rPr>
          <w:i/>
          <w:iCs/>
        </w:rPr>
        <w:t xml:space="preserve">Note.</w:t>
      </w:r>
      <w:r>
        <w:t xml:space="preserve"> </w:t>
      </w:r>
      <w:r>
        <w:t xml:space="preserve">The solid vertical line denotes the threshold for</w:t>
      </w:r>
      <w:r>
        <w:t xml:space="preserve"> </w:t>
      </w:r>
      <w:r>
        <w:t xml:space="preserve">“significance”</w:t>
      </w:r>
      <w:r>
        <w:t xml:space="preserve"> </w:t>
      </w:r>
      <w:r>
        <w:t xml:space="preserve">(i.e., β &gt; |.18|) of the estimate. Red denotes the proportion of the distribution that is roughly equivalent to 0 due to being within the Region of Practical Equivalence (ROPE), while blue denotes the proportion of the distribution that is significant.</w:t>
      </w:r>
    </w:p>
    <w:p>
      <w:pPr>
        <w:pStyle w:val="BodyText"/>
      </w:pPr>
      <w:r>
        <w:rPr>
          <w:b/>
          <w:bCs/>
        </w:rPr>
        <w:t xml:space="preserve">Figure 7. Predictors of ingroup classification: Desirability, self-evaluations, and similarity-to-self.</w:t>
      </w:r>
      <w:r>
        <w:t xml:space="preserve"> </w:t>
      </w:r>
      <w:r>
        <w:rPr>
          <w:i/>
          <w:iCs/>
        </w:rPr>
        <w:t xml:space="preserve">Note.</w:t>
      </w:r>
      <w:r>
        <w:t xml:space="preserve"> </w:t>
      </w:r>
      <w:r>
        <w:t xml:space="preserve">Plotted using marginal effects with 1.96 +/- SEs. Top row is Study 1. Middle row is Study 2. Bottom row is Study 3. Desirability as predictor is left column, self-evaluations is middle column, similarity-to-self is right column. The x-axis is the Z-scored predictor, the y-axis is the probability of the outcome, ingroup classification. The colors denote different conditions for each study.</w:t>
      </w:r>
    </w:p>
    <w:p>
      <w:pPr>
        <w:pStyle w:val="BodyText"/>
      </w:pPr>
      <w:r>
        <w:rPr>
          <w:b/>
          <w:bCs/>
        </w:rPr>
        <w:t xml:space="preserve">Metacontrast and Projection</w:t>
      </w:r>
      <w:r>
        <w:t xml:space="preserve"> </w:t>
      </w:r>
      <w:r>
        <w:t xml:space="preserve">Self-descriptiveness was strongly associated with the MCR (β = .682, OR = 1.978, CI</w:t>
      </w:r>
      <w:r>
        <w:t xml:space="preserve">95%</w:t>
      </w:r>
      <w:r>
        <w:t xml:space="preserve"> </w:t>
      </w:r>
      <w:r>
        <w:t xml:space="preserve">= [.394, .892],</w:t>
      </w:r>
      <w:r>
        <w:t xml:space="preserve"> </w:t>
      </w:r>
      <w:r>
        <w:rPr>
          <w:i/>
          <w:iCs/>
        </w:rPr>
        <w:t xml:space="preserve">pd</w:t>
      </w:r>
      <w:r>
        <w:t xml:space="preserve"> </w:t>
      </w:r>
      <w:r>
        <w:t xml:space="preserve">= 100%,</w:t>
      </w:r>
      <w:r>
        <w:t xml:space="preserve"> </w:t>
      </w:r>
      <w:r>
        <w:rPr>
          <w:i/>
          <w:iCs/>
        </w:rPr>
        <w:t xml:space="preserve">p</w:t>
      </w:r>
      <w:r>
        <w:t xml:space="preserve"> </w:t>
      </w:r>
      <w:r>
        <w:t xml:space="preserve">= .000,</w:t>
      </w:r>
      <w:r>
        <w:t xml:space="preserve"> </w:t>
      </w:r>
      <w:r>
        <w:rPr>
          <w:i/>
          <w:iCs/>
        </w:rPr>
        <w:t xml:space="preserve">ps</w:t>
      </w:r>
      <w:r>
        <w:t xml:space="preserve"> </w:t>
      </w:r>
      <w:r>
        <w:t xml:space="preserve">= 100%,</w:t>
      </w:r>
      <w:r>
        <w:t xml:space="preserve"> </w:t>
      </w:r>
      <w:r>
        <w:rPr>
          <w:i/>
          <w:iCs/>
        </w:rPr>
        <w:t xml:space="preserve">pl</w:t>
      </w:r>
      <w:r>
        <w:t xml:space="preserve"> </w:t>
      </w:r>
      <w:r>
        <w:t xml:space="preserve">= 99.38%). This was driven primarily by ingroup similarity (β = .591, OR = 1.806, CI</w:t>
      </w:r>
      <w:r>
        <w:t xml:space="preserve">95%</w:t>
      </w:r>
      <w:r>
        <w:t xml:space="preserve"> </w:t>
      </w:r>
      <w:r>
        <w:t xml:space="preserve">= [.384, .812],</w:t>
      </w:r>
      <w:r>
        <w:t xml:space="preserve"> </w:t>
      </w:r>
      <w:r>
        <w:rPr>
          <w:i/>
          <w:iCs/>
        </w:rPr>
        <w:t xml:space="preserve">pd</w:t>
      </w:r>
      <w:r>
        <w:t xml:space="preserve"> </w:t>
      </w:r>
      <w:r>
        <w:t xml:space="preserve">= 100%,</w:t>
      </w:r>
      <w:r>
        <w:t xml:space="preserve"> </w:t>
      </w:r>
      <w:r>
        <w:rPr>
          <w:i/>
          <w:iCs/>
        </w:rPr>
        <w:t xml:space="preserve">p</w:t>
      </w:r>
      <w:r>
        <w:t xml:space="preserve"> </w:t>
      </w:r>
      <w:r>
        <w:t xml:space="preserve">= .000) rather than outgroup repulsion (β = -.162, OR = .850, CI</w:t>
      </w:r>
      <w:r>
        <w:t xml:space="preserve">95%</w:t>
      </w:r>
      <w:r>
        <w:t xml:space="preserve"> </w:t>
      </w:r>
      <w:r>
        <w:t xml:space="preserve">= [-.341, .012],</w:t>
      </w:r>
      <w:r>
        <w:t xml:space="preserve"> </w:t>
      </w:r>
      <w:r>
        <w:rPr>
          <w:i/>
          <w:iCs/>
        </w:rPr>
        <w:t xml:space="preserve">pd</w:t>
      </w:r>
      <w:r>
        <w:t xml:space="preserve"> </w:t>
      </w:r>
      <w:r>
        <w:t xml:space="preserve">= 95.55%,</w:t>
      </w:r>
      <w:r>
        <w:t xml:space="preserve"> </w:t>
      </w:r>
      <w:r>
        <w:rPr>
          <w:i/>
          <w:iCs/>
        </w:rPr>
        <w:t xml:space="preserve">p</w:t>
      </w:r>
      <w:r>
        <w:t xml:space="preserve"> </w:t>
      </w:r>
      <w:r>
        <w:t xml:space="preserve">= .069).</w:t>
      </w:r>
    </w:p>
    <w:p>
      <w:pPr>
        <w:pStyle w:val="BodyText"/>
      </w:pPr>
      <w:r>
        <w:rPr>
          <w:b/>
          <w:bCs/>
        </w:rPr>
        <w:t xml:space="preserve">Model Performance and Parameters</w:t>
      </w:r>
      <w:r>
        <w:t xml:space="preserve"> </w:t>
      </w:r>
      <w:r>
        <w:t xml:space="preserve">We compared four cognitive architectures of social inference: Bias, Symmetric, Asymmetric, and Asymmetric+</w:t>
      </w:r>
      <m:oMath>
        <m:r>
          <m:t>λ</m:t>
        </m:r>
      </m:oMath>
      <w:r>
        <w:t xml:space="preserve">. In Study 1, model selection via LOO indicated that while the Symmetric model provided a parsimonious fit, the Asymmetric+</w:t>
      </w:r>
      <m:oMath>
        <m:r>
          <m:t>λ</m:t>
        </m:r>
      </m:oMath>
      <w:r>
        <w:t xml:space="preserve"> </w:t>
      </w:r>
      <w:r>
        <w:t xml:space="preserve">model achieved convergence and revealed a more nuanced architectural structure (</w:t>
      </w:r>
      <m:oMath>
        <m:r>
          <m:t>Δ</m:t>
        </m:r>
      </m:oMath>
      <w:r>
        <w:t xml:space="preserve">ELPD = -46.8). Group-level parameter medians for the Asymmetric+</w:t>
      </w:r>
      <m:oMath>
        <m:r>
          <m:t>λ</m:t>
        </m:r>
      </m:oMath>
      <w:r>
        <w:t xml:space="preserve"> </w:t>
      </w:r>
      <w:r>
        <w:t xml:space="preserve">model indicated a relatively low rate of ingroup projection (</w:t>
      </w:r>
      <m:oMath>
        <m:sSub>
          <m:e>
            <m:r>
              <m:t>α</m:t>
            </m:r>
          </m:e>
          <m:sub>
            <m:r>
              <m:t>i</m:t>
            </m:r>
            <m:r>
              <m:t>n</m:t>
            </m:r>
          </m:sub>
        </m:sSub>
        <m:r>
          <m:rPr>
            <m:sty m:val="p"/>
          </m:rPr>
          <m:t>=</m:t>
        </m:r>
        <m:r>
          <m:t>0.076</m:t>
        </m:r>
      </m:oMath>
      <w:r>
        <w:t xml:space="preserve">) and a higher rate of outgroup repulsion (</w:t>
      </w:r>
      <m:oMath>
        <m:sSub>
          <m:e>
            <m:r>
              <m:t>α</m:t>
            </m:r>
          </m:e>
          <m:sub>
            <m:r>
              <m:t>o</m:t>
            </m:r>
            <m:r>
              <m:t>u</m:t>
            </m:r>
            <m:r>
              <m:t>t</m:t>
            </m:r>
          </m:sub>
        </m:sSub>
        <m:r>
          <m:rPr>
            <m:sty m:val="p"/>
          </m:rPr>
          <m:t>=</m:t>
        </m:r>
        <m:r>
          <m:t>0.640</m:t>
        </m:r>
      </m:oMath>
      <w:r>
        <w:t xml:space="preserve">) in minimal groups, with a generalization sensitivity of</w:t>
      </w:r>
      <w:r>
        <w:t xml:space="preserve"> </w:t>
      </w:r>
      <m:oMath>
        <m:r>
          <m:t>λ</m:t>
        </m:r>
        <m:r>
          <m:rPr>
            <m:sty m:val="p"/>
          </m:rPr>
          <m:t>=</m:t>
        </m:r>
        <m:r>
          <m:t>2.64</m:t>
        </m:r>
      </m:oMath>
      <w:r>
        <w:t xml:space="preserve">. This architectural configuration reveals that in minimal contexts, the mental representation of the outgroup is more strongly differentiated from the self than the ingroup is assimilated toward it.</w:t>
      </w:r>
    </w:p>
    <w:p>
      <w:pPr>
        <w:pStyle w:val="BodyText"/>
      </w:pPr>
      <w:r>
        <w:rPr>
          <w:b/>
          <w:bCs/>
        </w:rPr>
        <w:t xml:space="preserve">Figure 9. The Social Generalization Gradient (Study 1).</w:t>
      </w:r>
      <w:r>
        <w:t xml:space="preserve"> </w:t>
      </w:r>
      <w:r>
        <w:rPr>
          <w:i/>
          <w:iCs/>
        </w:rPr>
        <w:t xml:space="preserve">Note.</w:t>
      </w:r>
      <w:r>
        <w:t xml:space="preserve"> </w:t>
      </w:r>
      <w:r>
        <w:t xml:space="preserve">Exponential decay of self-to-group generalization strength across semantic similarity space. In minimal groups, the repulsion force (red) is more extreme at high similarity but decays at the same rate (</w:t>
      </w:r>
      <m:oMath>
        <m:r>
          <m:t>λ</m:t>
        </m:r>
        <m:r>
          <m:rPr>
            <m:sty m:val="p"/>
          </m:rPr>
          <m:t>=</m:t>
        </m:r>
        <m:r>
          <m:t>2.64</m:t>
        </m:r>
      </m:oMath>
      <w:r>
        <w:t xml:space="preserve">) as the assimilation force (blue).</w:t>
      </w:r>
    </w:p>
    <w:p>
      <w:pPr>
        <w:pStyle w:val="BodyText"/>
      </w:pPr>
      <w:r>
        <w:t xml:space="preserve">Ingroup projection (</w:t>
      </w:r>
      <m:oMath>
        <m:sSub>
          <m:e>
            <m:r>
              <m:t>α</m:t>
            </m:r>
          </m:e>
          <m:sub>
            <m:r>
              <m:t>i</m:t>
            </m:r>
            <m:r>
              <m:t>n</m:t>
            </m:r>
          </m:sub>
        </m:sSub>
      </m:oMath>
      <w:r>
        <w:t xml:space="preserve">) showed a positive association with social identification (</w:t>
      </w:r>
      <m:oMath>
        <m:r>
          <m:t>r</m:t>
        </m:r>
        <m:r>
          <m:rPr>
            <m:sty m:val="p"/>
          </m:rPr>
          <m:t>=</m:t>
        </m:r>
        <m:r>
          <m:t>.17</m:t>
        </m:r>
      </m:oMath>
      <w:r>
        <w:t xml:space="preserve">), while generalization sensitivity (</w:t>
      </w:r>
      <m:oMath>
        <m:r>
          <m:t>λ</m:t>
        </m:r>
      </m:oMath>
      <w:r>
        <w:t xml:space="preserve">) was negatively associated with identification (</w:t>
      </w:r>
      <m:oMath>
        <m:r>
          <m:t>r</m:t>
        </m:r>
        <m:r>
          <m:rPr>
            <m:sty m:val="p"/>
          </m:rPr>
          <m:t>=</m:t>
        </m:r>
        <m:r>
          <m:rPr>
            <m:sty m:val="p"/>
          </m:rPr>
          <m:t>−</m:t>
        </m:r>
        <m:r>
          <m:t>.15</m:t>
        </m:r>
      </m:oMath>
      <w:r>
        <w:t xml:space="preserve">). This negative relationship suggests that strong group attachment leads to broader, more inclusive social inference, consistent with depersonalization accounts where high identification expands the semantic</w:t>
      </w:r>
      <w:r>
        <w:t xml:space="preserve"> </w:t>
      </w:r>
      <w:r>
        <w:t xml:space="preserve">“radius”</w:t>
      </w:r>
      <w:r>
        <w:t xml:space="preserve"> </w:t>
      </w:r>
      <w:r>
        <w:t xml:space="preserve">of self-to-group generalization.</w:t>
      </w:r>
    </w:p>
    <w:p>
      <w:pPr>
        <w:pStyle w:val="BodyText"/>
      </w:pPr>
      <w:r>
        <w:rPr>
          <w:b/>
          <w:bCs/>
        </w:rPr>
        <w:t xml:space="preserve">Figure 8. Correlations among fitted parameters.</w:t>
      </w:r>
      <w:r>
        <w:t xml:space="preserve"> </w:t>
      </w:r>
      <w:r>
        <w:rPr>
          <w:i/>
          <w:iCs/>
        </w:rPr>
        <w:t xml:space="preserve">Note.</w:t>
      </w:r>
      <w:r>
        <w:t xml:space="preserve"> </w:t>
      </w:r>
      <w:r>
        <w:t xml:space="preserve">(A) Study 1 minimal group, (B) Study 2 higher status outgroup condition, (C) Study 2 lower status outgroup condition, (D) Study 2 negation outgroup, (E) Study 3 majority outgroup condition, (F) Study 3 majority outgroup condition.</w:t>
      </w:r>
    </w:p>
    <w:bookmarkEnd w:id="29"/>
    <w:bookmarkStart w:id="30" w:name="discussion"/>
    <w:p>
      <w:pPr>
        <w:pStyle w:val="Heading3"/>
      </w:pPr>
      <w:r>
        <w:t xml:space="preserve">Discussion</w:t>
      </w:r>
    </w:p>
    <w:p>
      <w:pPr>
        <w:pStyle w:val="FirstParagraph"/>
      </w:pPr>
      <w:r>
        <w:t xml:space="preserve">We find robust support for similarity-based mechanisms of self-concept generalization to the ingroup under minimal conditions. Crucially, the effect of similarity-to-self was significantly stronger than mere one-to-one trait matching, suggesting that self-anchoring is a structured inferential process rather than simple attribute replication. This generalization was robust across both novel and repeated traits, precluding the interpretation that self-anchoring is an artifact of repetition or familiarity. Our formalization of the metacontrast principle provides evidence that self-evaluations are primarily associated with ingroup similarity rather than outgroup dissimilarity. This suggests that in minimal contexts, individuals are motivated more by achieving similarity with the ingroup (</w:t>
      </w:r>
      <w:r>
        <w:t xml:space="preserve">“ingroup love”</w:t>
      </w:r>
      <w:r>
        <w:t xml:space="preserve">) than by achieving differentiation from the outgroup (</w:t>
      </w:r>
      <w:r>
        <w:t xml:space="preserve">“outgroup hate”</w:t>
      </w:r>
      <w:r>
        <w:t xml:space="preserve">). Finally, our computational Self-Projection Model significantly outperformed a simple bias-only baseline, with projection rates reflecting meaningful individual differences in group attachment. By utilizing a semantic dependency network, we move social identity theory from a verbal model to a formal architecture where the self functions as a prototypical category member, allowing us to quantify how beliefs propagate according to universal principles of category learning.</w:t>
      </w:r>
    </w:p>
    <w:bookmarkEnd w:id="30"/>
    <w:bookmarkEnd w:id="31"/>
    <w:bookmarkStart w:id="35" w:name="X2fe45c149a813f17480293e5a89d4411108739f"/>
    <w:p>
      <w:pPr>
        <w:pStyle w:val="Heading2"/>
      </w:pPr>
      <w:r>
        <w:t xml:space="preserve">STUDY 2: SELF-ANCHORING BASED ON RELATIVE STATUS OF UNIVERSITY GROUPS</w:t>
      </w:r>
    </w:p>
    <w:p>
      <w:pPr>
        <w:pStyle w:val="FirstParagraph"/>
      </w:pPr>
      <w:r>
        <w:t xml:space="preserve">Study 2 examined how diagnostic features of an intergroup contrast, specifically social status, modulate self-anchoring in real-world social categories.</w:t>
      </w:r>
    </w:p>
    <w:bookmarkStart w:id="32" w:name="methods-1"/>
    <w:p>
      <w:pPr>
        <w:pStyle w:val="Heading3"/>
      </w:pPr>
      <w:r>
        <w:t xml:space="preserve">Methods</w:t>
      </w:r>
    </w:p>
    <w:p>
      <w:pPr>
        <w:pStyle w:val="FirstParagraph"/>
      </w:pPr>
      <w:r>
        <w:t xml:space="preserve">The final sample consisted of 283 native English-speaking university students (54 excluded; 65.56% Cisgender Female, 33.33% Cisgender Male, 1.11% Nonbinary;</w:t>
      </w:r>
      <w:r>
        <w:t xml:space="preserve"> </w:t>
      </w:r>
      <w:r>
        <w:rPr>
          <w:i/>
          <w:iCs/>
        </w:rPr>
        <w:t xml:space="preserve">M</w:t>
      </w:r>
      <w:r>
        <w:t xml:space="preserve">Age</w:t>
      </w:r>
      <w:r>
        <w:t xml:space="preserve"> </w:t>
      </w:r>
      <w:r>
        <w:t xml:space="preserve">= 19.52,</w:t>
      </w:r>
      <w:r>
        <w:t xml:space="preserve"> </w:t>
      </w:r>
      <w:r>
        <w:rPr>
          <w:i/>
          <w:iCs/>
        </w:rPr>
        <w:t xml:space="preserve">SD</w:t>
      </w:r>
      <w:r>
        <w:t xml:space="preserve">Age</w:t>
      </w:r>
      <w:r>
        <w:t xml:space="preserve"> </w:t>
      </w:r>
      <w:r>
        <w:t xml:space="preserve">= 1.63, Range</w:t>
      </w:r>
      <w:r>
        <w:t xml:space="preserve">Age</w:t>
      </w:r>
      <w:r>
        <w:t xml:space="preserve"> </w:t>
      </w:r>
      <w:r>
        <w:t xml:space="preserve">= [18, 30]). Ethnic composition included 12.72% White, 10.95% Mixed, 40.28% Asian, 33.92% Hispanic, 1.77% Native-American, and 0.35% Black. Participants were randomly assigned to one of three outgroup contrast conditions: Negation (</w:t>
      </w:r>
      <w:r>
        <w:t xml:space="preserve">“Not Ingroup University”</w:t>
      </w:r>
      <w:r>
        <w:t xml:space="preserve">), Higher Status University, or Lower Status University.</w:t>
      </w:r>
    </w:p>
    <w:bookmarkEnd w:id="32"/>
    <w:bookmarkStart w:id="33" w:name="results-1"/>
    <w:p>
      <w:pPr>
        <w:pStyle w:val="Heading3"/>
      </w:pPr>
      <w:r>
        <w:t xml:space="preserve">Results</w:t>
      </w:r>
    </w:p>
    <w:p>
      <w:pPr>
        <w:pStyle w:val="FirstParagraph"/>
      </w:pPr>
      <w:r>
        <w:rPr>
          <w:b/>
          <w:bCs/>
        </w:rPr>
        <w:t xml:space="preserve">Manipulation Checks</w:t>
      </w:r>
      <w:r>
        <w:t xml:space="preserve"> </w:t>
      </w:r>
      <w:r>
        <w:t xml:space="preserve">Manipulation checks confirmed perceived status differences. Compared to the ingroup university (</w:t>
      </w:r>
      <w:r>
        <w:rPr>
          <w:i/>
          <w:iCs/>
        </w:rPr>
        <w:t xml:space="preserve">M</w:t>
      </w:r>
      <w:r>
        <w:t xml:space="preserve"> </w:t>
      </w:r>
      <w:r>
        <w:t xml:space="preserve">= 6.22,</w:t>
      </w:r>
      <w:r>
        <w:t xml:space="preserve"> </w:t>
      </w:r>
      <w:r>
        <w:rPr>
          <w:i/>
          <w:iCs/>
        </w:rPr>
        <w:t xml:space="preserve">SD</w:t>
      </w:r>
      <w:r>
        <w:t xml:space="preserve"> </w:t>
      </w:r>
      <w:r>
        <w:t xml:space="preserve">= 1.43), the high-status university was rated higher (β = 3.718, OR = 41.212, CI</w:t>
      </w:r>
      <w:r>
        <w:t xml:space="preserve">95%</w:t>
      </w:r>
      <w:r>
        <w:t xml:space="preserve"> </w:t>
      </w:r>
      <w:r>
        <w:t xml:space="preserve">= [3.275, 4.178],</w:t>
      </w:r>
      <w:r>
        <w:t xml:space="preserve"> </w:t>
      </w:r>
      <w:r>
        <w:rPr>
          <w:i/>
          <w:iCs/>
        </w:rPr>
        <w:t xml:space="preserve">pd</w:t>
      </w:r>
      <w:r>
        <w:t xml:space="preserve"> </w:t>
      </w:r>
      <w:r>
        <w:t xml:space="preserve">= 100%,</w:t>
      </w:r>
      <w:r>
        <w:t xml:space="preserve"> </w:t>
      </w:r>
      <w:r>
        <w:rPr>
          <w:i/>
          <w:iCs/>
        </w:rPr>
        <w:t xml:space="preserve">p</w:t>
      </w:r>
      <w:r>
        <w:t xml:space="preserve"> </w:t>
      </w:r>
      <w:r>
        <w:t xml:space="preserve">= .0,</w:t>
      </w:r>
      <w:r>
        <w:t xml:space="preserve"> </w:t>
      </w:r>
      <w:r>
        <w:rPr>
          <w:i/>
          <w:iCs/>
        </w:rPr>
        <w:t xml:space="preserve">ps</w:t>
      </w:r>
      <w:r>
        <w:t xml:space="preserve"> </w:t>
      </w:r>
      <w:r>
        <w:t xml:space="preserve">= 100%,</w:t>
      </w:r>
      <w:r>
        <w:t xml:space="preserve"> </w:t>
      </w:r>
      <w:r>
        <w:rPr>
          <w:i/>
          <w:iCs/>
        </w:rPr>
        <w:t xml:space="preserve">pl</w:t>
      </w:r>
      <w:r>
        <w:t xml:space="preserve"> </w:t>
      </w:r>
      <w:r>
        <w:t xml:space="preserve">= 100%;</w:t>
      </w:r>
      <w:r>
        <w:t xml:space="preserve"> </w:t>
      </w:r>
      <w:r>
        <w:rPr>
          <w:i/>
          <w:iCs/>
        </w:rPr>
        <w:t xml:space="preserve">M</w:t>
      </w:r>
      <w:r>
        <w:t xml:space="preserve"> </w:t>
      </w:r>
      <w:r>
        <w:t xml:space="preserve">= 8.58,</w:t>
      </w:r>
      <w:r>
        <w:t xml:space="preserve"> </w:t>
      </w:r>
      <w:r>
        <w:rPr>
          <w:i/>
          <w:iCs/>
        </w:rPr>
        <w:t xml:space="preserve">SD</w:t>
      </w:r>
      <w:r>
        <w:t xml:space="preserve"> </w:t>
      </w:r>
      <w:r>
        <w:t xml:space="preserve">= 1.55) and the low-status university lower (β = -1.835, OR = .160, CI</w:t>
      </w:r>
      <w:r>
        <w:t xml:space="preserve">95%</w:t>
      </w:r>
      <w:r>
        <w:t xml:space="preserve"> </w:t>
      </w:r>
      <w:r>
        <w:t xml:space="preserve">= [-2.184, -1.522],</w:t>
      </w:r>
      <w:r>
        <w:t xml:space="preserve"> </w:t>
      </w:r>
      <w:r>
        <w:rPr>
          <w:i/>
          <w:iCs/>
        </w:rPr>
        <w:t xml:space="preserve">pd</w:t>
      </w:r>
      <w:r>
        <w:t xml:space="preserve"> </w:t>
      </w:r>
      <w:r>
        <w:t xml:space="preserve">= 100%,</w:t>
      </w:r>
      <w:r>
        <w:t xml:space="preserve"> </w:t>
      </w:r>
      <w:r>
        <w:rPr>
          <w:i/>
          <w:iCs/>
        </w:rPr>
        <w:t xml:space="preserve">p</w:t>
      </w:r>
      <w:r>
        <w:t xml:space="preserve"> </w:t>
      </w:r>
      <w:r>
        <w:t xml:space="preserve">= .0,</w:t>
      </w:r>
      <w:r>
        <w:t xml:space="preserve"> </w:t>
      </w:r>
      <w:r>
        <w:rPr>
          <w:i/>
          <w:iCs/>
        </w:rPr>
        <w:t xml:space="preserve">ps</w:t>
      </w:r>
      <w:r>
        <w:t xml:space="preserve"> </w:t>
      </w:r>
      <w:r>
        <w:t xml:space="preserve">= 100%,</w:t>
      </w:r>
      <w:r>
        <w:t xml:space="preserve"> </w:t>
      </w:r>
      <w:r>
        <w:rPr>
          <w:i/>
          <w:iCs/>
        </w:rPr>
        <w:t xml:space="preserve">pl</w:t>
      </w:r>
      <w:r>
        <w:t xml:space="preserve"> </w:t>
      </w:r>
      <w:r>
        <w:t xml:space="preserve">= 100%;</w:t>
      </w:r>
      <w:r>
        <w:t xml:space="preserve"> </w:t>
      </w:r>
      <w:r>
        <w:rPr>
          <w:i/>
          <w:iCs/>
        </w:rPr>
        <w:t xml:space="preserve">M</w:t>
      </w:r>
      <w:r>
        <w:t xml:space="preserve"> </w:t>
      </w:r>
      <w:r>
        <w:t xml:space="preserve">= 4.74,</w:t>
      </w:r>
      <w:r>
        <w:t xml:space="preserve"> </w:t>
      </w:r>
      <w:r>
        <w:rPr>
          <w:i/>
          <w:iCs/>
        </w:rPr>
        <w:t xml:space="preserve">SD</w:t>
      </w:r>
      <w:r>
        <w:t xml:space="preserve"> </w:t>
      </w:r>
      <w:r>
        <w:t xml:space="preserve">= 1.51). Participants perceived the ingroup university most warmly (</w:t>
      </w:r>
      <w:r>
        <w:rPr>
          <w:i/>
          <w:iCs/>
        </w:rPr>
        <w:t xml:space="preserve">M</w:t>
      </w:r>
      <w:r>
        <w:t xml:space="preserve"> </w:t>
      </w:r>
      <w:r>
        <w:t xml:space="preserve">= .76,</w:t>
      </w:r>
      <w:r>
        <w:t xml:space="preserve"> </w:t>
      </w:r>
      <w:r>
        <w:rPr>
          <w:i/>
          <w:iCs/>
        </w:rPr>
        <w:t xml:space="preserve">SD</w:t>
      </w:r>
      <w:r>
        <w:t xml:space="preserve"> </w:t>
      </w:r>
      <w:r>
        <w:t xml:space="preserve">= .18), followed by the high-status university (β = -.297, CI</w:t>
      </w:r>
      <w:r>
        <w:t xml:space="preserve">95%</w:t>
      </w:r>
      <w:r>
        <w:t xml:space="preserve"> </w:t>
      </w:r>
      <w:r>
        <w:t xml:space="preserve">= [-.440, -.155],</w:t>
      </w:r>
      <w:r>
        <w:t xml:space="preserve"> </w:t>
      </w:r>
      <w:r>
        <w:rPr>
          <w:i/>
          <w:iCs/>
        </w:rPr>
        <w:t xml:space="preserve">pd</w:t>
      </w:r>
      <w:r>
        <w:t xml:space="preserve"> </w:t>
      </w:r>
      <w:r>
        <w:t xml:space="preserve">= 100%,</w:t>
      </w:r>
      <w:r>
        <w:t xml:space="preserve"> </w:t>
      </w:r>
      <w:r>
        <w:rPr>
          <w:i/>
          <w:iCs/>
        </w:rPr>
        <w:t xml:space="preserve">p</w:t>
      </w:r>
      <w:r>
        <w:t xml:space="preserve"> </w:t>
      </w:r>
      <w:r>
        <w:t xml:space="preserve">= .0,</w:t>
      </w:r>
      <w:r>
        <w:t xml:space="preserve"> </w:t>
      </w:r>
      <w:r>
        <w:rPr>
          <w:i/>
          <w:iCs/>
        </w:rPr>
        <w:t xml:space="preserve">ps</w:t>
      </w:r>
      <w:r>
        <w:t xml:space="preserve"> </w:t>
      </w:r>
      <w:r>
        <w:t xml:space="preserve">= 99.95%,</w:t>
      </w:r>
      <w:r>
        <w:t xml:space="preserve"> </w:t>
      </w:r>
      <w:r>
        <w:rPr>
          <w:i/>
          <w:iCs/>
        </w:rPr>
        <w:t xml:space="preserve">pl</w:t>
      </w:r>
      <w:r>
        <w:t xml:space="preserve"> </w:t>
      </w:r>
      <w:r>
        <w:t xml:space="preserve">= 47.98%;</w:t>
      </w:r>
      <w:r>
        <w:t xml:space="preserve"> </w:t>
      </w:r>
      <w:r>
        <w:rPr>
          <w:i/>
          <w:iCs/>
        </w:rPr>
        <w:t xml:space="preserve">M</w:t>
      </w:r>
      <w:r>
        <w:t xml:space="preserve"> </w:t>
      </w:r>
      <w:r>
        <w:t xml:space="preserve">= .68,</w:t>
      </w:r>
      <w:r>
        <w:t xml:space="preserve"> </w:t>
      </w:r>
      <w:r>
        <w:rPr>
          <w:i/>
          <w:iCs/>
        </w:rPr>
        <w:t xml:space="preserve">SD</w:t>
      </w:r>
      <w:r>
        <w:t xml:space="preserve"> </w:t>
      </w:r>
      <w:r>
        <w:t xml:space="preserve">= .22) and the low-status university (β = -1.121, CI</w:t>
      </w:r>
      <w:r>
        <w:t xml:space="preserve">95%</w:t>
      </w:r>
      <w:r>
        <w:t xml:space="preserve"> </w:t>
      </w:r>
      <w:r>
        <w:t xml:space="preserve">= [-1.269, -.973],</w:t>
      </w:r>
      <w:r>
        <w:t xml:space="preserve"> </w:t>
      </w:r>
      <w:r>
        <w:rPr>
          <w:i/>
          <w:iCs/>
        </w:rPr>
        <w:t xml:space="preserve">pd</w:t>
      </w:r>
      <w:r>
        <w:t xml:space="preserve"> </w:t>
      </w:r>
      <w:r>
        <w:t xml:space="preserve">= 100%,</w:t>
      </w:r>
      <w:r>
        <w:t xml:space="preserve"> </w:t>
      </w:r>
      <w:r>
        <w:rPr>
          <w:i/>
          <w:iCs/>
        </w:rPr>
        <w:t xml:space="preserve">p</w:t>
      </w:r>
      <w:r>
        <w:t xml:space="preserve"> </w:t>
      </w:r>
      <w:r>
        <w:t xml:space="preserve">= .0,</w:t>
      </w:r>
      <w:r>
        <w:t xml:space="preserve"> </w:t>
      </w:r>
      <w:r>
        <w:rPr>
          <w:i/>
          <w:iCs/>
        </w:rPr>
        <w:t xml:space="preserve">ps</w:t>
      </w:r>
      <w:r>
        <w:t xml:space="preserve"> </w:t>
      </w:r>
      <w:r>
        <w:t xml:space="preserve">= 99.95%,</w:t>
      </w:r>
      <w:r>
        <w:t xml:space="preserve"> </w:t>
      </w:r>
      <w:r>
        <w:rPr>
          <w:i/>
          <w:iCs/>
        </w:rPr>
        <w:t xml:space="preserve">pl</w:t>
      </w:r>
      <w:r>
        <w:t xml:space="preserve"> </w:t>
      </w:r>
      <w:r>
        <w:t xml:space="preserve">= 100%;</w:t>
      </w:r>
      <w:r>
        <w:t xml:space="preserve"> </w:t>
      </w:r>
      <w:r>
        <w:rPr>
          <w:i/>
          <w:iCs/>
        </w:rPr>
        <w:t xml:space="preserve">M</w:t>
      </w:r>
      <w:r>
        <w:t xml:space="preserve"> </w:t>
      </w:r>
      <w:r>
        <w:t xml:space="preserve">= .45,</w:t>
      </w:r>
      <w:r>
        <w:t xml:space="preserve"> </w:t>
      </w:r>
      <w:r>
        <w:rPr>
          <w:i/>
          <w:iCs/>
        </w:rPr>
        <w:t xml:space="preserve">SD</w:t>
      </w:r>
      <w:r>
        <w:t xml:space="preserve"> </w:t>
      </w:r>
      <w:r>
        <w:t xml:space="preserve">= .23).</w:t>
      </w:r>
    </w:p>
    <w:p>
      <w:pPr>
        <w:pStyle w:val="BodyText"/>
      </w:pPr>
      <w:r>
        <w:rPr>
          <w:b/>
          <w:bCs/>
        </w:rPr>
        <w:t xml:space="preserve">Predictors of Ingroup Classification</w:t>
      </w:r>
      <w:r>
        <w:t xml:space="preserve"> </w:t>
      </w:r>
      <w:r>
        <w:t xml:space="preserve">Participants projected desirability onto the ingroup (β = .261, OR = 1.299, CI</w:t>
      </w:r>
      <w:r>
        <w:t xml:space="preserve">95%</w:t>
      </w:r>
      <w:r>
        <w:t xml:space="preserve"> </w:t>
      </w:r>
      <w:r>
        <w:t xml:space="preserve">= [.190, .330],</w:t>
      </w:r>
      <w:r>
        <w:t xml:space="preserve"> </w:t>
      </w:r>
      <w:r>
        <w:rPr>
          <w:i/>
          <w:iCs/>
        </w:rPr>
        <w:t xml:space="preserve">pd</w:t>
      </w:r>
      <w:r>
        <w:t xml:space="preserve"> </w:t>
      </w:r>
      <w:r>
        <w:t xml:space="preserve">= 100%,</w:t>
      </w:r>
      <w:r>
        <w:t xml:space="preserve"> </w:t>
      </w:r>
      <w:r>
        <w:rPr>
          <w:i/>
          <w:iCs/>
        </w:rPr>
        <w:t xml:space="preserve">p</w:t>
      </w:r>
      <w:r>
        <w:t xml:space="preserve"> </w:t>
      </w:r>
      <w:r>
        <w:t xml:space="preserve">= .0,</w:t>
      </w:r>
      <w:r>
        <w:t xml:space="preserve"> </w:t>
      </w:r>
      <w:r>
        <w:rPr>
          <w:i/>
          <w:iCs/>
        </w:rPr>
        <w:t xml:space="preserve">ps</w:t>
      </w:r>
      <w:r>
        <w:t xml:space="preserve"> </w:t>
      </w:r>
      <w:r>
        <w:t xml:space="preserve">= 100%,</w:t>
      </w:r>
      <w:r>
        <w:t xml:space="preserve"> </w:t>
      </w:r>
      <w:r>
        <w:rPr>
          <w:i/>
          <w:iCs/>
        </w:rPr>
        <w:t xml:space="preserve">pl</w:t>
      </w:r>
      <w:r>
        <w:t xml:space="preserve"> </w:t>
      </w:r>
      <w:r>
        <w:t xml:space="preserve">= 0%). This effect was significantly weaker in the low-status contrast condition (β = -.228, OR = .922, CI</w:t>
      </w:r>
      <w:r>
        <w:t xml:space="preserve">95%</w:t>
      </w:r>
      <w:r>
        <w:t xml:space="preserve"> </w:t>
      </w:r>
      <w:r>
        <w:t xml:space="preserve">= [-.364, -.090],</w:t>
      </w:r>
      <w:r>
        <w:t xml:space="preserve"> </w:t>
      </w:r>
      <w:r>
        <w:rPr>
          <w:i/>
          <w:iCs/>
        </w:rPr>
        <w:t xml:space="preserve">pd</w:t>
      </w:r>
      <w:r>
        <w:t xml:space="preserve"> </w:t>
      </w:r>
      <w:r>
        <w:t xml:space="preserve">= 99.99%,</w:t>
      </w:r>
      <w:r>
        <w:t xml:space="preserve"> </w:t>
      </w:r>
      <w:r>
        <w:rPr>
          <w:i/>
          <w:iCs/>
        </w:rPr>
        <w:t xml:space="preserve">p</w:t>
      </w:r>
      <w:r>
        <w:t xml:space="preserve"> </w:t>
      </w:r>
      <w:r>
        <w:t xml:space="preserve">= .0015). Replicating traditional self-anchoring, self-descriptive traits were more likely to be classified as ingroup characteristic (β = .270, OR = 1.310, CI</w:t>
      </w:r>
      <w:r>
        <w:t xml:space="preserve">95%</w:t>
      </w:r>
      <w:r>
        <w:t xml:space="preserve"> </w:t>
      </w:r>
      <w:r>
        <w:t xml:space="preserve">= [.217, .330],</w:t>
      </w:r>
      <w:r>
        <w:t xml:space="preserve"> </w:t>
      </w:r>
      <w:r>
        <w:rPr>
          <w:i/>
          <w:iCs/>
        </w:rPr>
        <w:t xml:space="preserve">pd</w:t>
      </w:r>
      <w:r>
        <w:t xml:space="preserve"> </w:t>
      </w:r>
      <w:r>
        <w:t xml:space="preserve">= 100%,</w:t>
      </w:r>
      <w:r>
        <w:t xml:space="preserve"> </w:t>
      </w:r>
      <w:r>
        <w:rPr>
          <w:i/>
          <w:iCs/>
        </w:rPr>
        <w:t xml:space="preserve">p</w:t>
      </w:r>
      <w:r>
        <w:t xml:space="preserve"> </w:t>
      </w:r>
      <w:r>
        <w:t xml:space="preserve">= .0). This one-to-one effect was weaker in both the low-status (β = -.136,</w:t>
      </w:r>
      <w:r>
        <w:t xml:space="preserve"> </w:t>
      </w:r>
      <w:r>
        <w:rPr>
          <w:i/>
          <w:iCs/>
        </w:rPr>
        <w:t xml:space="preserve">p</w:t>
      </w:r>
      <w:r>
        <w:t xml:space="preserve"> </w:t>
      </w:r>
      <w:r>
        <w:t xml:space="preserve">= .0565) and high-status (β = -.167,</w:t>
      </w:r>
      <w:r>
        <w:t xml:space="preserve"> </w:t>
      </w:r>
      <w:r>
        <w:rPr>
          <w:i/>
          <w:iCs/>
        </w:rPr>
        <w:t xml:space="preserve">p</w:t>
      </w:r>
      <w:r>
        <w:t xml:space="preserve"> </w:t>
      </w:r>
      <w:r>
        <w:t xml:space="preserve">= .0160) conditions relative to negation.</w:t>
      </w:r>
    </w:p>
    <w:p>
      <w:pPr>
        <w:pStyle w:val="BodyText"/>
      </w:pPr>
      <w:r>
        <w:t xml:space="preserve">Crucially,</w:t>
      </w:r>
      <w:r>
        <w:t xml:space="preserve"> </w:t>
      </w:r>
      <w:r>
        <w:rPr>
          <w:i/>
          <w:iCs/>
        </w:rPr>
        <w:t xml:space="preserve">Similarity-to-Self</w:t>
      </w:r>
      <w:r>
        <w:t xml:space="preserve"> </w:t>
      </w:r>
      <w:r>
        <w:t xml:space="preserve">strongly predicted ingroup classification (β = .517, OR = 1.677, CI</w:t>
      </w:r>
      <w:r>
        <w:t xml:space="preserve">95%</w:t>
      </w:r>
      <w:r>
        <w:t xml:space="preserve"> </w:t>
      </w:r>
      <w:r>
        <w:t xml:space="preserve">= [.287, .750],</w:t>
      </w:r>
      <w:r>
        <w:t xml:space="preserve"> </w:t>
      </w:r>
      <w:r>
        <w:rPr>
          <w:i/>
          <w:iCs/>
        </w:rPr>
        <w:t xml:space="preserve">pd</w:t>
      </w:r>
      <w:r>
        <w:t xml:space="preserve"> </w:t>
      </w:r>
      <w:r>
        <w:t xml:space="preserve">= 99.95%,</w:t>
      </w:r>
      <w:r>
        <w:t xml:space="preserve"> </w:t>
      </w:r>
      <w:r>
        <w:rPr>
          <w:i/>
          <w:iCs/>
        </w:rPr>
        <w:t xml:space="preserve">p</w:t>
      </w:r>
      <w:r>
        <w:t xml:space="preserve"> </w:t>
      </w:r>
      <w:r>
        <w:t xml:space="preserve">= .001,</w:t>
      </w:r>
      <w:r>
        <w:t xml:space="preserve"> </w:t>
      </w:r>
      <w:r>
        <w:rPr>
          <w:i/>
          <w:iCs/>
        </w:rPr>
        <w:t xml:space="preserve">ps</w:t>
      </w:r>
      <w:r>
        <w:t xml:space="preserve"> </w:t>
      </w:r>
      <w:r>
        <w:t xml:space="preserve">= 99.93%,</w:t>
      </w:r>
      <w:r>
        <w:t xml:space="preserve"> </w:t>
      </w:r>
      <w:r>
        <w:rPr>
          <w:i/>
          <w:iCs/>
        </w:rPr>
        <w:t xml:space="preserve">pl</w:t>
      </w:r>
      <w:r>
        <w:t xml:space="preserve"> </w:t>
      </w:r>
      <w:r>
        <w:t xml:space="preserve">= 40.28%). This effect was equivalent for novel and repeated traits (Inside ROPE = 100%) and did not differ by condition (βs &lt; .042,</w:t>
      </w:r>
      <w:r>
        <w:t xml:space="preserve"> </w:t>
      </w:r>
      <w:r>
        <w:rPr>
          <w:i/>
          <w:iCs/>
        </w:rPr>
        <w:t xml:space="preserve">p</w:t>
      </w:r>
      <w:r>
        <w:t xml:space="preserve">s &gt; .86). Generalization was slightly stronger for higher outdegree traits (β = .075,</w:t>
      </w:r>
      <w:r>
        <w:t xml:space="preserve"> </w:t>
      </w:r>
      <w:r>
        <w:rPr>
          <w:i/>
          <w:iCs/>
        </w:rPr>
        <w:t xml:space="preserve">p</w:t>
      </w:r>
      <w:r>
        <w:t xml:space="preserve"> </w:t>
      </w:r>
      <w:r>
        <w:t xml:space="preserve">= .0). Self-evaluation uncertainty was weakly associated with lower ingroup classification (β = -.182,</w:t>
      </w:r>
      <w:r>
        <w:t xml:space="preserve"> </w:t>
      </w:r>
      <w:r>
        <w:rPr>
          <w:i/>
          <w:iCs/>
        </w:rPr>
        <w:t xml:space="preserve">p</w:t>
      </w:r>
      <w:r>
        <w:t xml:space="preserve"> </w:t>
      </w:r>
      <w:r>
        <w:t xml:space="preserve">= .1225).</w:t>
      </w:r>
    </w:p>
    <w:p>
      <w:pPr>
        <w:pStyle w:val="BodyText"/>
      </w:pPr>
      <w:r>
        <w:rPr>
          <w:b/>
          <w:bCs/>
        </w:rPr>
        <w:t xml:space="preserve">Metacontrast and Projection</w:t>
      </w:r>
      <w:r>
        <w:t xml:space="preserve"> </w:t>
      </w:r>
      <w:r>
        <w:t xml:space="preserve">Self-descriptiveness was strongly associated with the MCR (β = .399, OR = 1.490, CI</w:t>
      </w:r>
      <w:r>
        <w:t xml:space="preserve">95%</w:t>
      </w:r>
      <w:r>
        <w:t xml:space="preserve"> </w:t>
      </w:r>
      <w:r>
        <w:t xml:space="preserve">= [.242, .552],</w:t>
      </w:r>
      <w:r>
        <w:t xml:space="preserve"> </w:t>
      </w:r>
      <w:r>
        <w:rPr>
          <w:i/>
          <w:iCs/>
        </w:rPr>
        <w:t xml:space="preserve">pd</w:t>
      </w:r>
      <w:r>
        <w:t xml:space="preserve"> </w:t>
      </w:r>
      <w:r>
        <w:t xml:space="preserve">= 100%,</w:t>
      </w:r>
      <w:r>
        <w:t xml:space="preserve"> </w:t>
      </w:r>
      <w:r>
        <w:rPr>
          <w:i/>
          <w:iCs/>
        </w:rPr>
        <w:t xml:space="preserve">p</w:t>
      </w:r>
      <w:r>
        <w:t xml:space="preserve"> </w:t>
      </w:r>
      <w:r>
        <w:t xml:space="preserve">= .0). This was driven by ingroup similarity (β = .493, OR = 1.638,</w:t>
      </w:r>
      <w:r>
        <w:t xml:space="preserve"> </w:t>
      </w:r>
      <w:r>
        <w:rPr>
          <w:i/>
          <w:iCs/>
        </w:rPr>
        <w:t xml:space="preserve">pd</w:t>
      </w:r>
      <w:r>
        <w:t xml:space="preserve"> </w:t>
      </w:r>
      <w:r>
        <w:t xml:space="preserve">= 100%,</w:t>
      </w:r>
      <w:r>
        <w:t xml:space="preserve"> </w:t>
      </w:r>
      <w:r>
        <w:rPr>
          <w:i/>
          <w:iCs/>
        </w:rPr>
        <w:t xml:space="preserve">p</w:t>
      </w:r>
      <w:r>
        <w:t xml:space="preserve"> </w:t>
      </w:r>
      <w:r>
        <w:t xml:space="preserve">= .0) rather than outgroup similarity (β = .062,</w:t>
      </w:r>
      <w:r>
        <w:t xml:space="preserve"> </w:t>
      </w:r>
      <w:r>
        <w:rPr>
          <w:i/>
          <w:iCs/>
        </w:rPr>
        <w:t xml:space="preserve">p</w:t>
      </w:r>
      <w:r>
        <w:t xml:space="preserve"> </w:t>
      </w:r>
      <w:r>
        <w:t xml:space="preserve">= .3805), regardless of condition. Trait segregation difference showed that high-status contrast participants segregated traits more (</w:t>
      </w:r>
      <w:r>
        <w:rPr>
          <w:i/>
          <w:iCs/>
        </w:rPr>
        <w:t xml:space="preserve">M</w:t>
      </w:r>
      <w:r>
        <w:t xml:space="preserve"> </w:t>
      </w:r>
      <w:r>
        <w:t xml:space="preserve">= .11,</w:t>
      </w:r>
      <w:r>
        <w:t xml:space="preserve"> </w:t>
      </w:r>
      <w:r>
        <w:rPr>
          <w:i/>
          <w:iCs/>
        </w:rPr>
        <w:t xml:space="preserve">SD</w:t>
      </w:r>
      <w:r>
        <w:t xml:space="preserve"> </w:t>
      </w:r>
      <w:r>
        <w:t xml:space="preserve">= .08) than low-status (β = -.754,</w:t>
      </w:r>
      <w:r>
        <w:t xml:space="preserve"> </w:t>
      </w:r>
      <w:r>
        <w:rPr>
          <w:i/>
          <w:iCs/>
        </w:rPr>
        <w:t xml:space="preserve">M</w:t>
      </w:r>
      <w:r>
        <w:t xml:space="preserve"> </w:t>
      </w:r>
      <w:r>
        <w:t xml:space="preserve">= .05) or negation (β = -.912,</w:t>
      </w:r>
      <w:r>
        <w:t xml:space="preserve"> </w:t>
      </w:r>
      <w:r>
        <w:rPr>
          <w:i/>
          <w:iCs/>
        </w:rPr>
        <w:t xml:space="preserve">M</w:t>
      </w:r>
      <w:r>
        <w:t xml:space="preserve"> </w:t>
      </w:r>
      <w:r>
        <w:t xml:space="preserve">= .04) participants.</w:t>
      </w:r>
    </w:p>
    <w:p>
      <w:pPr>
        <w:pStyle w:val="BodyText"/>
      </w:pPr>
      <w:r>
        <w:rPr>
          <w:b/>
          <w:bCs/>
        </w:rPr>
        <w:t xml:space="preserve">Generalization Model</w:t>
      </w:r>
      <w:r>
        <w:t xml:space="preserve"> </w:t>
      </w:r>
      <w:r>
        <w:t xml:space="preserve">The self-projection model outperformed the bias model across conditions. Projection rates were significantly lower in the high-status condition (</w:t>
      </w:r>
      <w:r>
        <w:rPr>
          <w:i/>
          <w:iCs/>
        </w:rPr>
        <w:t xml:space="preserve">M</w:t>
      </w:r>
      <w:r>
        <w:t xml:space="preserve"> </w:t>
      </w:r>
      <w:r>
        <w:t xml:space="preserve">= .68,</w:t>
      </w:r>
      <w:r>
        <w:t xml:space="preserve"> </w:t>
      </w:r>
      <w:r>
        <w:rPr>
          <w:i/>
          <w:iCs/>
        </w:rPr>
        <w:t xml:space="preserve">SD</w:t>
      </w:r>
      <w:r>
        <w:t xml:space="preserve"> </w:t>
      </w:r>
      <w:r>
        <w:t xml:space="preserve">= .48) compared to negation (β = 2.053, CI</w:t>
      </w:r>
      <w:r>
        <w:t xml:space="preserve">95%</w:t>
      </w:r>
      <w:r>
        <w:t xml:space="preserve"> </w:t>
      </w:r>
      <w:r>
        <w:t xml:space="preserve">= [1.957, 2.149],</w:t>
      </w:r>
      <w:r>
        <w:t xml:space="preserve"> </w:t>
      </w:r>
      <w:r>
        <w:rPr>
          <w:i/>
          <w:iCs/>
        </w:rPr>
        <w:t xml:space="preserve">pd</w:t>
      </w:r>
      <w:r>
        <w:t xml:space="preserve"> </w:t>
      </w:r>
      <w:r>
        <w:t xml:space="preserve">= 100%,</w:t>
      </w:r>
      <w:r>
        <w:t xml:space="preserve"> </w:t>
      </w:r>
      <w:r>
        <w:rPr>
          <w:i/>
          <w:iCs/>
        </w:rPr>
        <w:t xml:space="preserve">M</w:t>
      </w:r>
      <w:r>
        <w:t xml:space="preserve"> </w:t>
      </w:r>
      <w:r>
        <w:t xml:space="preserve">= 5.13) and low-status (β = 1.887, CI</w:t>
      </w:r>
      <w:r>
        <w:t xml:space="preserve">95%</w:t>
      </w:r>
      <w:r>
        <w:t xml:space="preserve"> </w:t>
      </w:r>
      <w:r>
        <w:t xml:space="preserve">= [1.789, 1.987],</w:t>
      </w:r>
      <w:r>
        <w:t xml:space="preserve"> </w:t>
      </w:r>
      <w:r>
        <w:rPr>
          <w:i/>
          <w:iCs/>
        </w:rPr>
        <w:t xml:space="preserve">pd</w:t>
      </w:r>
      <w:r>
        <w:t xml:space="preserve"> </w:t>
      </w:r>
      <w:r>
        <w:t xml:space="preserve">= 100%,</w:t>
      </w:r>
      <w:r>
        <w:t xml:space="preserve"> </w:t>
      </w:r>
      <w:r>
        <w:rPr>
          <w:i/>
          <w:iCs/>
        </w:rPr>
        <w:t xml:space="preserve">M</w:t>
      </w:r>
      <w:r>
        <w:t xml:space="preserve"> </w:t>
      </w:r>
      <w:r>
        <w:t xml:space="preserve">= 4.77). Across conditions, projection rates correlated with social identification (</w:t>
      </w:r>
      <w:r>
        <w:rPr>
          <w:i/>
          <w:iCs/>
        </w:rPr>
        <w:t xml:space="preserve">r</w:t>
      </w:r>
      <w:r>
        <w:t xml:space="preserve"> </w:t>
      </w:r>
      <w:r>
        <w:t xml:space="preserve">= .20, CI</w:t>
      </w:r>
      <w:r>
        <w:t xml:space="preserve">95%</w:t>
      </w:r>
      <w:r>
        <w:t xml:space="preserve"> </w:t>
      </w:r>
      <w:r>
        <w:t xml:space="preserve">= [0.09, 0.31]), intergroup bias (</w:t>
      </w:r>
      <w:r>
        <w:rPr>
          <w:i/>
          <w:iCs/>
        </w:rPr>
        <w:t xml:space="preserve">r</w:t>
      </w:r>
      <w:r>
        <w:t xml:space="preserve"> </w:t>
      </w:r>
      <w:r>
        <w:t xml:space="preserve">= .18), and private collective self-esteem (</w:t>
      </w:r>
      <w:r>
        <w:rPr>
          <w:i/>
          <w:iCs/>
        </w:rPr>
        <w:t xml:space="preserve">r</w:t>
      </w:r>
      <w:r>
        <w:t xml:space="preserve"> </w:t>
      </w:r>
      <w:r>
        <w:t xml:space="preserve">= .17). In the high-status condition, lower projection was linked to greater self-outgroup overlap (</w:t>
      </w:r>
      <w:r>
        <w:rPr>
          <w:i/>
          <w:iCs/>
        </w:rPr>
        <w:t xml:space="preserve">r</w:t>
      </w:r>
      <w:r>
        <w:t xml:space="preserve"> </w:t>
      </w:r>
      <w:r>
        <w:t xml:space="preserve">= -18, CI = [-.36, .01]) and ingroup-outgroup overlap (</w:t>
      </w:r>
      <w:r>
        <w:rPr>
          <w:i/>
          <w:iCs/>
        </w:rPr>
        <w:t xml:space="preserve">r</w:t>
      </w:r>
      <w:r>
        <w:t xml:space="preserve"> </w:t>
      </w:r>
      <w:r>
        <w:t xml:space="preserve">= -.16, CI = [-.34, .03]).</w:t>
      </w:r>
    </w:p>
    <w:p>
      <w:pPr>
        <w:pStyle w:val="BodyText"/>
      </w:pPr>
      <w:r>
        <w:rPr>
          <w:b/>
          <w:bCs/>
        </w:rPr>
        <w:t xml:space="preserve">Figure 13. The Social Generalization Gradient (Study 2).</w:t>
      </w:r>
      <w:r>
        <w:t xml:space="preserve"> </w:t>
      </w:r>
      <w:r>
        <w:rPr>
          <w:i/>
          <w:iCs/>
        </w:rPr>
        <w:t xml:space="preserve">Note.</w:t>
      </w:r>
      <w:r>
        <w:t xml:space="preserve"> </w:t>
      </w:r>
      <w:r>
        <w:t xml:space="preserve">Placeholder for exponential decay of assimilation and repulsion across university status conditions.</w:t>
      </w:r>
    </w:p>
    <w:bookmarkEnd w:id="33"/>
    <w:bookmarkStart w:id="34" w:name="discussion-1"/>
    <w:p>
      <w:pPr>
        <w:pStyle w:val="Heading3"/>
      </w:pPr>
      <w:r>
        <w:t xml:space="preserve">Discussion</w:t>
      </w:r>
    </w:p>
    <w:p>
      <w:pPr>
        <w:pStyle w:val="FirstParagraph"/>
      </w:pPr>
      <w:r>
        <w:t xml:space="preserve">Study 2 replicates similarity-based generalization in real-world social categories while revealing critical contextual modulations based on social status. The primary finding is the attenuation of projection rates when contrasting the ingroup against a higher status, prestigious outgroup university. This suggests that when the outgroup is positively regarded, the self no longer functions as a strictly exclusive prototype for the ingroup. Individuals may feel less motivation to project their attributes exclusively onto their group and instead may be motivated to see aspects of themselves in the desirable outgroup. These results identify a boundary condition for self-anchoring: projection is strongest when the outgroup is clearly differentiated or less desirable. The strong correlation between projection rates and social identification confirms that these formal parameters capture the strength of an individual’s psychological attachment to their group. By framing social categorization as a dynamic process of classification, we provide a formal backbone for understanding how status hierarchies modulate the integration of the self into the collective.</w:t>
      </w:r>
    </w:p>
    <w:bookmarkEnd w:id="34"/>
    <w:bookmarkEnd w:id="35"/>
    <w:bookmarkStart w:id="39" w:name="Xcef3893e4ea536402941797d0166aa5e8acfb58"/>
    <w:p>
      <w:pPr>
        <w:pStyle w:val="Heading2"/>
      </w:pPr>
      <w:r>
        <w:t xml:space="preserve">STUDY 3: SELF-ANCHORING BASED ON RELATIVE SIZE OF RACIAL GROUPS</w:t>
      </w:r>
    </w:p>
    <w:p>
      <w:pPr>
        <w:pStyle w:val="FirstParagraph"/>
      </w:pPr>
      <w:r>
        <w:t xml:space="preserve">Study 3 applied the self-anchoring framework to racial identities (Asian and Latino participants), examining how majority or minority outgroup contrasts exert differential effects on generalization.</w:t>
      </w:r>
    </w:p>
    <w:bookmarkStart w:id="36" w:name="methods-2"/>
    <w:p>
      <w:pPr>
        <w:pStyle w:val="Heading3"/>
      </w:pPr>
      <w:r>
        <w:t xml:space="preserve">Methods</w:t>
      </w:r>
    </w:p>
    <w:p>
      <w:pPr>
        <w:pStyle w:val="FirstParagraph"/>
      </w:pPr>
      <w:r>
        <w:t xml:space="preserve">The final sample consisted of 265 native English-speaking university students (48 excluded; 59.14% Cisgender Female, 40.86% Cisgender Male;</w:t>
      </w:r>
      <w:r>
        <w:t xml:space="preserve"> </w:t>
      </w:r>
      <w:r>
        <w:rPr>
          <w:i/>
          <w:iCs/>
        </w:rPr>
        <w:t xml:space="preserve">M</w:t>
      </w:r>
      <w:r>
        <w:t xml:space="preserve">Age</w:t>
      </w:r>
      <w:r>
        <w:t xml:space="preserve"> </w:t>
      </w:r>
      <w:r>
        <w:t xml:space="preserve">= 19.01,</w:t>
      </w:r>
      <w:r>
        <w:t xml:space="preserve"> </w:t>
      </w:r>
      <w:r>
        <w:rPr>
          <w:i/>
          <w:iCs/>
        </w:rPr>
        <w:t xml:space="preserve">SD</w:t>
      </w:r>
      <w:r>
        <w:t xml:space="preserve">Age</w:t>
      </w:r>
      <w:r>
        <w:t xml:space="preserve"> </w:t>
      </w:r>
      <w:r>
        <w:t xml:space="preserve">= 1.71, Range</w:t>
      </w:r>
      <w:r>
        <w:t xml:space="preserve">Age</w:t>
      </w:r>
      <w:r>
        <w:t xml:space="preserve"> </w:t>
      </w:r>
      <w:r>
        <w:t xml:space="preserve">= [17, 33]). Ethnic composition included 50.97% Hispanic/Latino and 49.03% Asian. Participants were assigned to either a Minority (Asian vs. Latino) or Majority (Ingroup vs. White) comparison condition.</w:t>
      </w:r>
    </w:p>
    <w:bookmarkEnd w:id="36"/>
    <w:bookmarkStart w:id="37" w:name="results-2"/>
    <w:p>
      <w:pPr>
        <w:pStyle w:val="Heading3"/>
      </w:pPr>
      <w:r>
        <w:t xml:space="preserve">Results</w:t>
      </w:r>
    </w:p>
    <w:p>
      <w:pPr>
        <w:pStyle w:val="FirstParagraph"/>
      </w:pPr>
      <w:r>
        <w:rPr>
          <w:b/>
          <w:bCs/>
        </w:rPr>
        <w:t xml:space="preserve">Manipulation Checks</w:t>
      </w:r>
      <w:r>
        <w:t xml:space="preserve"> </w:t>
      </w:r>
      <w:r>
        <w:t xml:space="preserve">White outgroups were perceived as significantly higher status (</w:t>
      </w:r>
      <w:r>
        <w:rPr>
          <w:i/>
          <w:iCs/>
        </w:rPr>
        <w:t xml:space="preserve">M</w:t>
      </w:r>
      <w:r>
        <w:t xml:space="preserve"> </w:t>
      </w:r>
      <w:r>
        <w:t xml:space="preserve">= 8.42,</w:t>
      </w:r>
      <w:r>
        <w:t xml:space="preserve"> </w:t>
      </w:r>
      <w:r>
        <w:rPr>
          <w:i/>
          <w:iCs/>
        </w:rPr>
        <w:t xml:space="preserve">SD</w:t>
      </w:r>
      <w:r>
        <w:t xml:space="preserve"> </w:t>
      </w:r>
      <w:r>
        <w:t xml:space="preserve">= 1.63) than Latino (β = -4.322, OR = .013, CI</w:t>
      </w:r>
      <w:r>
        <w:t xml:space="preserve">95%</w:t>
      </w:r>
      <w:r>
        <w:t xml:space="preserve"> </w:t>
      </w:r>
      <w:r>
        <w:t xml:space="preserve">= [-4.760, -3.872],</w:t>
      </w:r>
      <w:r>
        <w:t xml:space="preserve"> </w:t>
      </w:r>
      <w:r>
        <w:rPr>
          <w:i/>
          <w:iCs/>
        </w:rPr>
        <w:t xml:space="preserve">pd</w:t>
      </w:r>
      <w:r>
        <w:t xml:space="preserve"> </w:t>
      </w:r>
      <w:r>
        <w:t xml:space="preserve">= 100%,</w:t>
      </w:r>
      <w:r>
        <w:t xml:space="preserve"> </w:t>
      </w:r>
      <w:r>
        <w:rPr>
          <w:i/>
          <w:iCs/>
        </w:rPr>
        <w:t xml:space="preserve">p</w:t>
      </w:r>
      <w:r>
        <w:t xml:space="preserve"> </w:t>
      </w:r>
      <w:r>
        <w:t xml:space="preserve">= .0,</w:t>
      </w:r>
      <w:r>
        <w:t xml:space="preserve"> </w:t>
      </w:r>
      <w:r>
        <w:rPr>
          <w:i/>
          <w:iCs/>
        </w:rPr>
        <w:t xml:space="preserve">ps</w:t>
      </w:r>
      <w:r>
        <w:t xml:space="preserve"> </w:t>
      </w:r>
      <w:r>
        <w:t xml:space="preserve">= 100%,</w:t>
      </w:r>
      <w:r>
        <w:t xml:space="preserve"> </w:t>
      </w:r>
      <w:r>
        <w:rPr>
          <w:i/>
          <w:iCs/>
        </w:rPr>
        <w:t xml:space="preserve">pl</w:t>
      </w:r>
      <w:r>
        <w:t xml:space="preserve"> </w:t>
      </w:r>
      <w:r>
        <w:t xml:space="preserve">= 100%;</w:t>
      </w:r>
      <w:r>
        <w:t xml:space="preserve"> </w:t>
      </w:r>
      <w:r>
        <w:rPr>
          <w:i/>
          <w:iCs/>
        </w:rPr>
        <w:t xml:space="preserve">M</w:t>
      </w:r>
      <w:r>
        <w:t xml:space="preserve"> </w:t>
      </w:r>
      <w:r>
        <w:t xml:space="preserve">= 5.02,</w:t>
      </w:r>
      <w:r>
        <w:t xml:space="preserve"> </w:t>
      </w:r>
      <w:r>
        <w:rPr>
          <w:i/>
          <w:iCs/>
        </w:rPr>
        <w:t xml:space="preserve">SD</w:t>
      </w:r>
      <w:r>
        <w:t xml:space="preserve"> </w:t>
      </w:r>
      <w:r>
        <w:t xml:space="preserve">= 1.59) or Asian (β = -2.194, OR = .111, CI</w:t>
      </w:r>
      <w:r>
        <w:t xml:space="preserve">95%</w:t>
      </w:r>
      <w:r>
        <w:t xml:space="preserve"> </w:t>
      </w:r>
      <w:r>
        <w:t xml:space="preserve">= [-2.553, -1.830],</w:t>
      </w:r>
      <w:r>
        <w:t xml:space="preserve"> </w:t>
      </w:r>
      <w:r>
        <w:rPr>
          <w:i/>
          <w:iCs/>
        </w:rPr>
        <w:t xml:space="preserve">pd</w:t>
      </w:r>
      <w:r>
        <w:t xml:space="preserve"> </w:t>
      </w:r>
      <w:r>
        <w:t xml:space="preserve">= 100%,</w:t>
      </w:r>
      <w:r>
        <w:t xml:space="preserve"> </w:t>
      </w:r>
      <w:r>
        <w:rPr>
          <w:i/>
          <w:iCs/>
        </w:rPr>
        <w:t xml:space="preserve">p</w:t>
      </w:r>
      <w:r>
        <w:t xml:space="preserve"> </w:t>
      </w:r>
      <w:r>
        <w:t xml:space="preserve">= .0,</w:t>
      </w:r>
      <w:r>
        <w:t xml:space="preserve"> </w:t>
      </w:r>
      <w:r>
        <w:rPr>
          <w:i/>
          <w:iCs/>
        </w:rPr>
        <w:t xml:space="preserve">ps</w:t>
      </w:r>
      <w:r>
        <w:t xml:space="preserve"> </w:t>
      </w:r>
      <w:r>
        <w:t xml:space="preserve">= 100%,</w:t>
      </w:r>
      <w:r>
        <w:t xml:space="preserve"> </w:t>
      </w:r>
      <w:r>
        <w:rPr>
          <w:i/>
          <w:iCs/>
        </w:rPr>
        <w:t xml:space="preserve">pl</w:t>
      </w:r>
      <w:r>
        <w:t xml:space="preserve"> </w:t>
      </w:r>
      <w:r>
        <w:t xml:space="preserve">= 100%;</w:t>
      </w:r>
      <w:r>
        <w:t xml:space="preserve"> </w:t>
      </w:r>
      <w:r>
        <w:rPr>
          <w:i/>
          <w:iCs/>
        </w:rPr>
        <w:t xml:space="preserve">M</w:t>
      </w:r>
      <w:r>
        <w:t xml:space="preserve"> </w:t>
      </w:r>
      <w:r>
        <w:t xml:space="preserve">= 6.73,</w:t>
      </w:r>
      <w:r>
        <w:t xml:space="preserve"> </w:t>
      </w:r>
      <w:r>
        <w:rPr>
          <w:i/>
          <w:iCs/>
        </w:rPr>
        <w:t xml:space="preserve">SD</w:t>
      </w:r>
      <w:r>
        <w:t xml:space="preserve"> </w:t>
      </w:r>
      <w:r>
        <w:t xml:space="preserve">= 1.51) groups. Conversely, warmth ratings were higher for Latino (β = .974, CI</w:t>
      </w:r>
      <w:r>
        <w:t xml:space="preserve">95%</w:t>
      </w:r>
      <w:r>
        <w:t xml:space="preserve"> </w:t>
      </w:r>
      <w:r>
        <w:t xml:space="preserve">= [.823, 1.128],</w:t>
      </w:r>
      <w:r>
        <w:t xml:space="preserve"> </w:t>
      </w:r>
      <w:r>
        <w:rPr>
          <w:i/>
          <w:iCs/>
        </w:rPr>
        <w:t xml:space="preserve">pd</w:t>
      </w:r>
      <w:r>
        <w:t xml:space="preserve"> </w:t>
      </w:r>
      <w:r>
        <w:t xml:space="preserve">= 100%,</w:t>
      </w:r>
      <w:r>
        <w:t xml:space="preserve"> </w:t>
      </w:r>
      <w:r>
        <w:rPr>
          <w:i/>
          <w:iCs/>
        </w:rPr>
        <w:t xml:space="preserve">p</w:t>
      </w:r>
      <w:r>
        <w:t xml:space="preserve"> </w:t>
      </w:r>
      <w:r>
        <w:t xml:space="preserve">= .0,</w:t>
      </w:r>
      <w:r>
        <w:t xml:space="preserve"> </w:t>
      </w:r>
      <w:r>
        <w:rPr>
          <w:i/>
          <w:iCs/>
        </w:rPr>
        <w:t xml:space="preserve">ps</w:t>
      </w:r>
      <w:r>
        <w:t xml:space="preserve"> </w:t>
      </w:r>
      <w:r>
        <w:t xml:space="preserve">= 100%,</w:t>
      </w:r>
      <w:r>
        <w:t xml:space="preserve"> </w:t>
      </w:r>
      <w:r>
        <w:rPr>
          <w:i/>
          <w:iCs/>
        </w:rPr>
        <w:t xml:space="preserve">pl</w:t>
      </w:r>
      <w:r>
        <w:t xml:space="preserve"> </w:t>
      </w:r>
      <w:r>
        <w:t xml:space="preserve">= 100%;</w:t>
      </w:r>
      <w:r>
        <w:t xml:space="preserve"> </w:t>
      </w:r>
      <w:r>
        <w:rPr>
          <w:i/>
          <w:iCs/>
        </w:rPr>
        <w:t xml:space="preserve">M</w:t>
      </w:r>
      <w:r>
        <w:t xml:space="preserve"> </w:t>
      </w:r>
      <w:r>
        <w:t xml:space="preserve">= .79,</w:t>
      </w:r>
      <w:r>
        <w:t xml:space="preserve"> </w:t>
      </w:r>
      <w:r>
        <w:rPr>
          <w:i/>
          <w:iCs/>
        </w:rPr>
        <w:t xml:space="preserve">SD</w:t>
      </w:r>
      <w:r>
        <w:t xml:space="preserve"> </w:t>
      </w:r>
      <w:r>
        <w:t xml:space="preserve">= .19) and Asian (β = .860, CI</w:t>
      </w:r>
      <w:r>
        <w:t xml:space="preserve">95%</w:t>
      </w:r>
      <w:r>
        <w:t xml:space="preserve"> </w:t>
      </w:r>
      <w:r>
        <w:t xml:space="preserve">= [.707, 1.011],</w:t>
      </w:r>
      <w:r>
        <w:t xml:space="preserve"> </w:t>
      </w:r>
      <w:r>
        <w:rPr>
          <w:i/>
          <w:iCs/>
        </w:rPr>
        <w:t xml:space="preserve">pd</w:t>
      </w:r>
      <w:r>
        <w:t xml:space="preserve"> </w:t>
      </w:r>
      <w:r>
        <w:t xml:space="preserve">= 100%,</w:t>
      </w:r>
      <w:r>
        <w:t xml:space="preserve"> </w:t>
      </w:r>
      <w:r>
        <w:rPr>
          <w:i/>
          <w:iCs/>
        </w:rPr>
        <w:t xml:space="preserve">p</w:t>
      </w:r>
      <w:r>
        <w:t xml:space="preserve"> </w:t>
      </w:r>
      <w:r>
        <w:t xml:space="preserve">= .0,</w:t>
      </w:r>
      <w:r>
        <w:t xml:space="preserve"> </w:t>
      </w:r>
      <w:r>
        <w:rPr>
          <w:i/>
          <w:iCs/>
        </w:rPr>
        <w:t xml:space="preserve">ps</w:t>
      </w:r>
      <w:r>
        <w:t xml:space="preserve"> </w:t>
      </w:r>
      <w:r>
        <w:t xml:space="preserve">= 100%,</w:t>
      </w:r>
      <w:r>
        <w:t xml:space="preserve"> </w:t>
      </w:r>
      <w:r>
        <w:rPr>
          <w:i/>
          <w:iCs/>
        </w:rPr>
        <w:t xml:space="preserve">pl</w:t>
      </w:r>
      <w:r>
        <w:t xml:space="preserve"> </w:t>
      </w:r>
      <w:r>
        <w:t xml:space="preserve">= 100%;</w:t>
      </w:r>
      <w:r>
        <w:t xml:space="preserve"> </w:t>
      </w:r>
      <w:r>
        <w:rPr>
          <w:i/>
          <w:iCs/>
        </w:rPr>
        <w:t xml:space="preserve">M</w:t>
      </w:r>
      <w:r>
        <w:t xml:space="preserve"> </w:t>
      </w:r>
      <w:r>
        <w:t xml:space="preserve">= .77,</w:t>
      </w:r>
      <w:r>
        <w:t xml:space="preserve"> </w:t>
      </w:r>
      <w:r>
        <w:rPr>
          <w:i/>
          <w:iCs/>
        </w:rPr>
        <w:t xml:space="preserve">SD</w:t>
      </w:r>
      <w:r>
        <w:t xml:space="preserve"> </w:t>
      </w:r>
      <w:r>
        <w:t xml:space="preserve">= .19) groups compared to White (</w:t>
      </w:r>
      <w:r>
        <w:rPr>
          <w:i/>
          <w:iCs/>
        </w:rPr>
        <w:t xml:space="preserve">M</w:t>
      </w:r>
      <w:r>
        <w:t xml:space="preserve"> </w:t>
      </w:r>
      <w:r>
        <w:t xml:space="preserve">= .54,</w:t>
      </w:r>
      <w:r>
        <w:t xml:space="preserve"> </w:t>
      </w:r>
      <w:r>
        <w:rPr>
          <w:i/>
          <w:iCs/>
        </w:rPr>
        <w:t xml:space="preserve">SD</w:t>
      </w:r>
      <w:r>
        <w:t xml:space="preserve"> </w:t>
      </w:r>
      <w:r>
        <w:t xml:space="preserve">= .23; all</w:t>
      </w:r>
      <w:r>
        <w:t xml:space="preserve"> </w:t>
      </w:r>
      <w:r>
        <w:rPr>
          <w:i/>
          <w:iCs/>
        </w:rPr>
        <w:t xml:space="preserve">p</w:t>
      </w:r>
      <w:r>
        <w:t xml:space="preserve">s = .0).</w:t>
      </w:r>
    </w:p>
    <w:p>
      <w:pPr>
        <w:pStyle w:val="BodyText"/>
      </w:pPr>
      <w:r>
        <w:rPr>
          <w:b/>
          <w:bCs/>
        </w:rPr>
        <w:t xml:space="preserve">Figure 10. Raincloud plot depicting differences in status and positivity.</w:t>
      </w:r>
      <w:r>
        <w:t xml:space="preserve"> </w:t>
      </w:r>
      <w:r>
        <w:rPr>
          <w:i/>
          <w:iCs/>
        </w:rPr>
        <w:t xml:space="preserve">Note.</w:t>
      </w:r>
      <w:r>
        <w:t xml:space="preserve"> </w:t>
      </w:r>
      <w:r>
        <w:t xml:space="preserve">University groups (top row) and racial groups (bottom row).</w:t>
      </w:r>
    </w:p>
    <w:p>
      <w:pPr>
        <w:pStyle w:val="BodyText"/>
      </w:pPr>
      <w:r>
        <w:rPr>
          <w:b/>
          <w:bCs/>
        </w:rPr>
        <w:t xml:space="preserve">Predictors of Ingroup Classification</w:t>
      </w:r>
      <w:r>
        <w:t xml:space="preserve"> </w:t>
      </w:r>
      <w:r>
        <w:t xml:space="preserve">Participants projected desirability onto the ingroup (β = .163, OR = 1.178, CI</w:t>
      </w:r>
      <w:r>
        <w:t xml:space="preserve">95%</w:t>
      </w:r>
      <w:r>
        <w:t xml:space="preserve"> </w:t>
      </w:r>
      <w:r>
        <w:t xml:space="preserve">= [.086, .239],</w:t>
      </w:r>
      <w:r>
        <w:t xml:space="preserve"> </w:t>
      </w:r>
      <w:r>
        <w:rPr>
          <w:i/>
          <w:iCs/>
        </w:rPr>
        <w:t xml:space="preserve">pd</w:t>
      </w:r>
      <w:r>
        <w:t xml:space="preserve"> </w:t>
      </w:r>
      <w:r>
        <w:t xml:space="preserve">= 100%,</w:t>
      </w:r>
      <w:r>
        <w:t xml:space="preserve"> </w:t>
      </w:r>
      <w:r>
        <w:rPr>
          <w:i/>
          <w:iCs/>
        </w:rPr>
        <w:t xml:space="preserve">p</w:t>
      </w:r>
      <w:r>
        <w:t xml:space="preserve"> </w:t>
      </w:r>
      <w:r>
        <w:t xml:space="preserve">= .0,</w:t>
      </w:r>
      <w:r>
        <w:t xml:space="preserve"> </w:t>
      </w:r>
      <w:r>
        <w:rPr>
          <w:i/>
          <w:iCs/>
        </w:rPr>
        <w:t xml:space="preserve">ps</w:t>
      </w:r>
      <w:r>
        <w:t xml:space="preserve"> </w:t>
      </w:r>
      <w:r>
        <w:t xml:space="preserve">= 96.93%,</w:t>
      </w:r>
      <w:r>
        <w:t xml:space="preserve"> </w:t>
      </w:r>
      <w:r>
        <w:rPr>
          <w:i/>
          <w:iCs/>
        </w:rPr>
        <w:t xml:space="preserve">pl</w:t>
      </w:r>
      <w:r>
        <w:t xml:space="preserve"> </w:t>
      </w:r>
      <w:r>
        <w:t xml:space="preserve">= 0%). This was stronger in the majority contrast condition (β = -.106, OR = .899, CI</w:t>
      </w:r>
      <w:r>
        <w:t xml:space="preserve">95%</w:t>
      </w:r>
      <w:r>
        <w:t xml:space="preserve"> </w:t>
      </w:r>
      <w:r>
        <w:t xml:space="preserve">= [-.227, .106],</w:t>
      </w:r>
      <w:r>
        <w:t xml:space="preserve"> </w:t>
      </w:r>
      <w:r>
        <w:rPr>
          <w:i/>
          <w:iCs/>
        </w:rPr>
        <w:t xml:space="preserve">pd</w:t>
      </w:r>
      <w:r>
        <w:t xml:space="preserve"> </w:t>
      </w:r>
      <w:r>
        <w:t xml:space="preserve">= 95.50%,</w:t>
      </w:r>
      <w:r>
        <w:t xml:space="preserve"> </w:t>
      </w:r>
      <w:r>
        <w:rPr>
          <w:i/>
          <w:iCs/>
        </w:rPr>
        <w:t xml:space="preserve">p</w:t>
      </w:r>
      <w:r>
        <w:t xml:space="preserve"> </w:t>
      </w:r>
      <w:r>
        <w:t xml:space="preserve">= .0). Traditional self-anchoring was replicated (β = .208, OR = 1.232, CI</w:t>
      </w:r>
      <w:r>
        <w:t xml:space="preserve">95%</w:t>
      </w:r>
      <w:r>
        <w:t xml:space="preserve"> </w:t>
      </w:r>
      <w:r>
        <w:t xml:space="preserve">= [.153, .265],</w:t>
      </w:r>
      <w:r>
        <w:t xml:space="preserve"> </w:t>
      </w:r>
      <w:r>
        <w:rPr>
          <w:i/>
          <w:iCs/>
        </w:rPr>
        <w:t xml:space="preserve">pd</w:t>
      </w:r>
      <w:r>
        <w:t xml:space="preserve"> </w:t>
      </w:r>
      <w:r>
        <w:t xml:space="preserve">= 100%,</w:t>
      </w:r>
      <w:r>
        <w:t xml:space="preserve"> </w:t>
      </w:r>
      <w:r>
        <w:rPr>
          <w:i/>
          <w:iCs/>
        </w:rPr>
        <w:t xml:space="preserve">p</w:t>
      </w:r>
      <w:r>
        <w:t xml:space="preserve"> </w:t>
      </w:r>
      <w:r>
        <w:t xml:space="preserve">= .0), and was slightly stronger in the majority condition (β = -.010, OR = .905,</w:t>
      </w:r>
      <w:r>
        <w:t xml:space="preserve"> </w:t>
      </w:r>
      <w:r>
        <w:rPr>
          <w:i/>
          <w:iCs/>
        </w:rPr>
        <w:t xml:space="preserve">pd</w:t>
      </w:r>
      <w:r>
        <w:t xml:space="preserve"> </w:t>
      </w:r>
      <w:r>
        <w:t xml:space="preserve">= 95.25%,</w:t>
      </w:r>
      <w:r>
        <w:t xml:space="preserve"> </w:t>
      </w:r>
      <w:r>
        <w:rPr>
          <w:i/>
          <w:iCs/>
        </w:rPr>
        <w:t xml:space="preserve">p</w:t>
      </w:r>
      <w:r>
        <w:t xml:space="preserve"> </w:t>
      </w:r>
      <w:r>
        <w:t xml:space="preserve">= .095).</w:t>
      </w:r>
    </w:p>
    <w:p>
      <w:pPr>
        <w:pStyle w:val="BodyText"/>
      </w:pPr>
      <w:r>
        <w:t xml:space="preserve">Crucially,</w:t>
      </w:r>
      <w:r>
        <w:t xml:space="preserve"> </w:t>
      </w:r>
      <w:r>
        <w:rPr>
          <w:i/>
          <w:iCs/>
        </w:rPr>
        <w:t xml:space="preserve">Similarity-to-Self</w:t>
      </w:r>
      <w:r>
        <w:t xml:space="preserve"> </w:t>
      </w:r>
      <w:r>
        <w:t xml:space="preserve">strongly predicted ingroup classification (β = .692, OR = 1.997, CI</w:t>
      </w:r>
      <w:r>
        <w:t xml:space="preserve">95%</w:t>
      </w:r>
      <w:r>
        <w:t xml:space="preserve"> </w:t>
      </w:r>
      <w:r>
        <w:t xml:space="preserve">= [.415, .969],</w:t>
      </w:r>
      <w:r>
        <w:t xml:space="preserve"> </w:t>
      </w:r>
      <w:r>
        <w:rPr>
          <w:i/>
          <w:iCs/>
        </w:rPr>
        <w:t xml:space="preserve">pd</w:t>
      </w:r>
      <w:r>
        <w:t xml:space="preserve"> </w:t>
      </w:r>
      <w:r>
        <w:t xml:space="preserve">= 100%,</w:t>
      </w:r>
      <w:r>
        <w:t xml:space="preserve"> </w:t>
      </w:r>
      <w:r>
        <w:rPr>
          <w:i/>
          <w:iCs/>
        </w:rPr>
        <w:t xml:space="preserve">p</w:t>
      </w:r>
      <w:r>
        <w:t xml:space="preserve"> </w:t>
      </w:r>
      <w:r>
        <w:t xml:space="preserve">= .0,</w:t>
      </w:r>
      <w:r>
        <w:t xml:space="preserve"> </w:t>
      </w:r>
      <w:r>
        <w:rPr>
          <w:i/>
          <w:iCs/>
        </w:rPr>
        <w:t xml:space="preserve">ps</w:t>
      </w:r>
      <w:r>
        <w:t xml:space="preserve"> </w:t>
      </w:r>
      <w:r>
        <w:t xml:space="preserve">= 100%,</w:t>
      </w:r>
      <w:r>
        <w:t xml:space="preserve"> </w:t>
      </w:r>
      <w:r>
        <w:rPr>
          <w:i/>
          <w:iCs/>
        </w:rPr>
        <w:t xml:space="preserve">pl</w:t>
      </w:r>
      <w:r>
        <w:t xml:space="preserve"> </w:t>
      </w:r>
      <w:r>
        <w:t xml:space="preserve">= 99.63%). This effect was equivalent for novel and repeated traits (Inside ROPE = 100%) and did not depend on condition (β = .331, OR = 1.997,</w:t>
      </w:r>
      <w:r>
        <w:t xml:space="preserve"> </w:t>
      </w:r>
      <w:r>
        <w:rPr>
          <w:i/>
          <w:iCs/>
        </w:rPr>
        <w:t xml:space="preserve">pd</w:t>
      </w:r>
      <w:r>
        <w:t xml:space="preserve"> </w:t>
      </w:r>
      <w:r>
        <w:t xml:space="preserve">= 80.85%,</w:t>
      </w:r>
      <w:r>
        <w:t xml:space="preserve"> </w:t>
      </w:r>
      <w:r>
        <w:rPr>
          <w:i/>
          <w:iCs/>
        </w:rPr>
        <w:t xml:space="preserve">p</w:t>
      </w:r>
      <w:r>
        <w:t xml:space="preserve"> </w:t>
      </w:r>
      <w:r>
        <w:t xml:space="preserve">= .383). Generalization was weakly stronger for higher indegree traits (β = -.019,</w:t>
      </w:r>
      <w:r>
        <w:t xml:space="preserve"> </w:t>
      </w:r>
      <w:r>
        <w:rPr>
          <w:i/>
          <w:iCs/>
        </w:rPr>
        <w:t xml:space="preserve">p</w:t>
      </w:r>
      <w:r>
        <w:t xml:space="preserve"> </w:t>
      </w:r>
      <w:r>
        <w:t xml:space="preserve">= .104). Self-evaluation uncertainty was directionally associated with lower ingroup classification (β = -.187,</w:t>
      </w:r>
      <w:r>
        <w:t xml:space="preserve"> </w:t>
      </w:r>
      <w:r>
        <w:rPr>
          <w:i/>
          <w:iCs/>
        </w:rPr>
        <w:t xml:space="preserve">p</w:t>
      </w:r>
      <w:r>
        <w:t xml:space="preserve"> </w:t>
      </w:r>
      <w:r>
        <w:t xml:space="preserve">= .242).</w:t>
      </w:r>
    </w:p>
    <w:p>
      <w:pPr>
        <w:pStyle w:val="BodyText"/>
      </w:pPr>
      <w:r>
        <w:rPr>
          <w:b/>
          <w:bCs/>
        </w:rPr>
        <w:t xml:space="preserve">Metacontrast and Projection</w:t>
      </w:r>
      <w:r>
        <w:t xml:space="preserve"> </w:t>
      </w:r>
      <w:r>
        <w:t xml:space="preserve">Higher MCR was associated with more self-descriptive evaluations (β = .194, OR = 1.215, CI</w:t>
      </w:r>
      <w:r>
        <w:t xml:space="preserve">95%</w:t>
      </w:r>
      <w:r>
        <w:t xml:space="preserve"> </w:t>
      </w:r>
      <w:r>
        <w:t xml:space="preserve">= [.083, .306],</w:t>
      </w:r>
      <w:r>
        <w:t xml:space="preserve"> </w:t>
      </w:r>
      <w:r>
        <w:rPr>
          <w:i/>
          <w:iCs/>
        </w:rPr>
        <w:t xml:space="preserve">pd</w:t>
      </w:r>
      <w:r>
        <w:t xml:space="preserve"> </w:t>
      </w:r>
      <w:r>
        <w:t xml:space="preserve">= 99.95%,</w:t>
      </w:r>
      <w:r>
        <w:t xml:space="preserve"> </w:t>
      </w:r>
      <w:r>
        <w:rPr>
          <w:i/>
          <w:iCs/>
        </w:rPr>
        <w:t xml:space="preserve">p</w:t>
      </w:r>
      <w:r>
        <w:t xml:space="preserve"> </w:t>
      </w:r>
      <w:r>
        <w:t xml:space="preserve">= .001). This was stronger when the majority was the comparison (β = -.203, OR = .816, CI</w:t>
      </w:r>
      <w:r>
        <w:t xml:space="preserve">95%</w:t>
      </w:r>
      <w:r>
        <w:t xml:space="preserve"> </w:t>
      </w:r>
      <w:r>
        <w:t xml:space="preserve">= [-.430, .019],</w:t>
      </w:r>
      <w:r>
        <w:t xml:space="preserve"> </w:t>
      </w:r>
      <w:r>
        <w:rPr>
          <w:i/>
          <w:iCs/>
        </w:rPr>
        <w:t xml:space="preserve">pd</w:t>
      </w:r>
      <w:r>
        <w:t xml:space="preserve"> </w:t>
      </w:r>
      <w:r>
        <w:t xml:space="preserve">= 96.33%,</w:t>
      </w:r>
      <w:r>
        <w:t xml:space="preserve"> </w:t>
      </w:r>
      <w:r>
        <w:rPr>
          <w:i/>
          <w:iCs/>
        </w:rPr>
        <w:t xml:space="preserve">p</w:t>
      </w:r>
      <w:r>
        <w:t xml:space="preserve"> </w:t>
      </w:r>
      <w:r>
        <w:t xml:space="preserve">= .0735). Decomposing this revealed it was driven by ingroup similarity (β = 1.361, OR = .816,</w:t>
      </w:r>
      <w:r>
        <w:t xml:space="preserve"> </w:t>
      </w:r>
      <w:r>
        <w:rPr>
          <w:i/>
          <w:iCs/>
        </w:rPr>
        <w:t xml:space="preserve">pd</w:t>
      </w:r>
      <w:r>
        <w:t xml:space="preserve"> </w:t>
      </w:r>
      <w:r>
        <w:t xml:space="preserve">= 100%,</w:t>
      </w:r>
      <w:r>
        <w:t xml:space="preserve"> </w:t>
      </w:r>
      <w:r>
        <w:rPr>
          <w:i/>
          <w:iCs/>
        </w:rPr>
        <w:t xml:space="preserve">p</w:t>
      </w:r>
      <w:r>
        <w:t xml:space="preserve"> </w:t>
      </w:r>
      <w:r>
        <w:t xml:space="preserve">= .0735). Notably, outgroup similarity was significantly more negative when the majority was the outgroup (β = .142,</w:t>
      </w:r>
      <w:r>
        <w:t xml:space="preserve"> </w:t>
      </w:r>
      <w:r>
        <w:rPr>
          <w:i/>
          <w:iCs/>
        </w:rPr>
        <w:t xml:space="preserve">pd</w:t>
      </w:r>
      <w:r>
        <w:t xml:space="preserve"> </w:t>
      </w:r>
      <w:r>
        <w:t xml:space="preserve">= 95.28%,</w:t>
      </w:r>
      <w:r>
        <w:t xml:space="preserve"> </w:t>
      </w:r>
      <w:r>
        <w:rPr>
          <w:i/>
          <w:iCs/>
        </w:rPr>
        <w:t xml:space="preserve">p</w:t>
      </w:r>
      <w:r>
        <w:t xml:space="preserve"> </w:t>
      </w:r>
      <w:r>
        <w:t xml:space="preserve">= .0945). Minority contrast participants segregated traits more (</w:t>
      </w:r>
      <w:r>
        <w:rPr>
          <w:i/>
          <w:iCs/>
        </w:rPr>
        <w:t xml:space="preserve">M</w:t>
      </w:r>
      <w:r>
        <w:t xml:space="preserve"> </w:t>
      </w:r>
      <w:r>
        <w:t xml:space="preserve">= .12,</w:t>
      </w:r>
      <w:r>
        <w:t xml:space="preserve"> </w:t>
      </w:r>
      <w:r>
        <w:rPr>
          <w:i/>
          <w:iCs/>
        </w:rPr>
        <w:t xml:space="preserve">SD</w:t>
      </w:r>
      <w:r>
        <w:t xml:space="preserve"> </w:t>
      </w:r>
      <w:r>
        <w:t xml:space="preserve">= .08) than majority contrast participants (β = .522, CI</w:t>
      </w:r>
      <w:r>
        <w:t xml:space="preserve">95%</w:t>
      </w:r>
      <w:r>
        <w:t xml:space="preserve"> </w:t>
      </w:r>
      <w:r>
        <w:t xml:space="preserve">= [.293, .764],</w:t>
      </w:r>
      <w:r>
        <w:t xml:space="preserve"> </w:t>
      </w:r>
      <w:r>
        <w:rPr>
          <w:i/>
          <w:iCs/>
        </w:rPr>
        <w:t xml:space="preserve">pd</w:t>
      </w:r>
      <w:r>
        <w:t xml:space="preserve"> </w:t>
      </w:r>
      <w:r>
        <w:t xml:space="preserve">= 100%,</w:t>
      </w:r>
      <w:r>
        <w:t xml:space="preserve"> </w:t>
      </w:r>
      <w:r>
        <w:rPr>
          <w:i/>
          <w:iCs/>
        </w:rPr>
        <w:t xml:space="preserve">M</w:t>
      </w:r>
      <w:r>
        <w:t xml:space="preserve"> </w:t>
      </w:r>
      <w:r>
        <w:t xml:space="preserve">= .08).</w:t>
      </w:r>
    </w:p>
    <w:p>
      <w:pPr>
        <w:pStyle w:val="BodyText"/>
      </w:pPr>
      <w:r>
        <w:rPr>
          <w:b/>
          <w:bCs/>
        </w:rPr>
        <w:t xml:space="preserve">Figure 11. The association of self-evaluations with Metacontrast Ratio, Similarity-to-ingroup, and Similarity-to-outgroup.</w:t>
      </w:r>
      <w:r>
        <w:t xml:space="preserve"> </w:t>
      </w:r>
      <w:r>
        <w:rPr>
          <w:i/>
          <w:iCs/>
        </w:rPr>
        <w:t xml:space="preserve">Note.</w:t>
      </w:r>
      <w:r>
        <w:t xml:space="preserve"> </w:t>
      </w:r>
      <w:r>
        <w:t xml:space="preserve">Plotted using marginal effects with 1.96 +/- SEs . Top row is Study 2; Bottom row is Study 3. Left column is Metacontrast Ratio as predictor, middle column is Similarity-to-ingroup as predictor, right column is Similarity-to-outgroup as predictor. Y-axis are Likert self-evaluations. X-axis predictors are Z-scored. For the purpose of visualization and ease of interpretation, predictions are treated as continuous variables and graphs are depicted on the latent Likert scale rather than plotting the outcome on the ordinal scale which would require seven panels per plot.</w:t>
      </w:r>
    </w:p>
    <w:p>
      <w:pPr>
        <w:pStyle w:val="BodyText"/>
      </w:pPr>
      <w:r>
        <w:rPr>
          <w:b/>
          <w:bCs/>
        </w:rPr>
        <w:t xml:space="preserve">Generalization Model</w:t>
      </w:r>
      <w:r>
        <w:t xml:space="preserve"> </w:t>
      </w:r>
      <w:r>
        <w:t xml:space="preserve">Projection rates were significantly higher in the majority condition (</w:t>
      </w:r>
      <w:r>
        <w:rPr>
          <w:i/>
          <w:iCs/>
        </w:rPr>
        <w:t xml:space="preserve">M</w:t>
      </w:r>
      <w:r>
        <w:t xml:space="preserve"> </w:t>
      </w:r>
      <w:r>
        <w:t xml:space="preserve">= 2.76,</w:t>
      </w:r>
      <w:r>
        <w:t xml:space="preserve"> </w:t>
      </w:r>
      <w:r>
        <w:rPr>
          <w:i/>
          <w:iCs/>
        </w:rPr>
        <w:t xml:space="preserve">SD</w:t>
      </w:r>
      <w:r>
        <w:t xml:space="preserve"> </w:t>
      </w:r>
      <w:r>
        <w:t xml:space="preserve">= 1.7) than the minority condition (β = -.237, CI</w:t>
      </w:r>
      <w:r>
        <w:t xml:space="preserve">95%</w:t>
      </w:r>
      <w:r>
        <w:t xml:space="preserve"> </w:t>
      </w:r>
      <w:r>
        <w:t xml:space="preserve">= [-.493, .007],</w:t>
      </w:r>
      <w:r>
        <w:t xml:space="preserve"> </w:t>
      </w:r>
      <w:r>
        <w:rPr>
          <w:i/>
          <w:iCs/>
        </w:rPr>
        <w:t xml:space="preserve">pd</w:t>
      </w:r>
      <w:r>
        <w:t xml:space="preserve"> </w:t>
      </w:r>
      <w:r>
        <w:t xml:space="preserve">= 97.18%,</w:t>
      </w:r>
      <w:r>
        <w:t xml:space="preserve"> </w:t>
      </w:r>
      <w:r>
        <w:rPr>
          <w:i/>
          <w:iCs/>
        </w:rPr>
        <w:t xml:space="preserve">p</w:t>
      </w:r>
      <w:r>
        <w:t xml:space="preserve"> </w:t>
      </w:r>
      <w:r>
        <w:t xml:space="preserve">= .0565,</w:t>
      </w:r>
      <w:r>
        <w:t xml:space="preserve"> </w:t>
      </w:r>
      <w:r>
        <w:rPr>
          <w:i/>
          <w:iCs/>
        </w:rPr>
        <w:t xml:space="preserve">M</w:t>
      </w:r>
      <w:r>
        <w:t xml:space="preserve"> </w:t>
      </w:r>
      <w:r>
        <w:t xml:space="preserve">= 2.38). Latino participants showed higher projection rates on average than Asian participants (β = .386, CI</w:t>
      </w:r>
      <w:r>
        <w:t xml:space="preserve">95%</w:t>
      </w:r>
      <w:r>
        <w:t xml:space="preserve"> </w:t>
      </w:r>
      <w:r>
        <w:t xml:space="preserve">= [.142, .630],</w:t>
      </w:r>
      <w:r>
        <w:t xml:space="preserve"> </w:t>
      </w:r>
      <w:r>
        <w:rPr>
          <w:i/>
          <w:iCs/>
        </w:rPr>
        <w:t xml:space="preserve">pd</w:t>
      </w:r>
      <w:r>
        <w:t xml:space="preserve"> </w:t>
      </w:r>
      <w:r>
        <w:t xml:space="preserve">= 99.95%,</w:t>
      </w:r>
      <w:r>
        <w:t xml:space="preserve"> </w:t>
      </w:r>
      <w:r>
        <w:rPr>
          <w:i/>
          <w:iCs/>
        </w:rPr>
        <w:t xml:space="preserve">p</w:t>
      </w:r>
      <w:r>
        <w:t xml:space="preserve"> </w:t>
      </w:r>
      <w:r>
        <w:t xml:space="preserve">= .001). Projection rates correlated with social identification (</w:t>
      </w:r>
      <w:r>
        <w:rPr>
          <w:i/>
          <w:iCs/>
        </w:rPr>
        <w:t xml:space="preserve">r</w:t>
      </w:r>
      <w:r>
        <w:t xml:space="preserve"> </w:t>
      </w:r>
      <w:r>
        <w:t xml:space="preserve">= .11), independence (</w:t>
      </w:r>
      <w:r>
        <w:rPr>
          <w:i/>
          <w:iCs/>
        </w:rPr>
        <w:t xml:space="preserve">r</w:t>
      </w:r>
      <w:r>
        <w:t xml:space="preserve"> </w:t>
      </w:r>
      <w:r>
        <w:t xml:space="preserve">= .10), and need for cognition (</w:t>
      </w:r>
      <w:r>
        <w:rPr>
          <w:i/>
          <w:iCs/>
        </w:rPr>
        <w:t xml:space="preserve">r</w:t>
      </w:r>
      <w:r>
        <w:t xml:space="preserve"> </w:t>
      </w:r>
      <w:r>
        <w:t xml:space="preserve">= .12).</w:t>
      </w:r>
    </w:p>
    <w:p>
      <w:pPr>
        <w:pStyle w:val="BodyText"/>
      </w:pPr>
      <w:r>
        <w:rPr>
          <w:b/>
          <w:bCs/>
        </w:rPr>
        <w:t xml:space="preserve">Figure 14. The Social Generalization Gradient (Study 3).</w:t>
      </w:r>
      <w:r>
        <w:t xml:space="preserve"> </w:t>
      </w:r>
      <w:r>
        <w:rPr>
          <w:i/>
          <w:iCs/>
        </w:rPr>
        <w:t xml:space="preserve">Note.</w:t>
      </w:r>
      <w:r>
        <w:t xml:space="preserve"> </w:t>
      </w:r>
      <w:r>
        <w:t xml:space="preserve">Placeholder for exponential decay of assimilation and repulsion across racial group conditions.</w:t>
      </w:r>
    </w:p>
    <w:p>
      <w:pPr>
        <w:pStyle w:val="BodyText"/>
      </w:pPr>
      <w:r>
        <w:rPr>
          <w:b/>
          <w:bCs/>
        </w:rPr>
        <w:t xml:space="preserve">Figure 12. Raincloud plot depicting differences in projection rate and bias parameter across conditions.</w:t>
      </w:r>
      <w:r>
        <w:t xml:space="preserve"> </w:t>
      </w:r>
      <w:r>
        <w:rPr>
          <w:i/>
          <w:iCs/>
        </w:rPr>
        <w:t xml:space="preserve">Note.</w:t>
      </w:r>
      <w:r>
        <w:t xml:space="preserve"> </w:t>
      </w:r>
      <w:r>
        <w:t xml:space="preserve">Top row is Study 2; Bottom row is Study 3. Y-axis depicts the parameter, while X-axis depicts the condition.</w:t>
      </w:r>
    </w:p>
    <w:bookmarkEnd w:id="37"/>
    <w:bookmarkStart w:id="38" w:name="discussion-2"/>
    <w:p>
      <w:pPr>
        <w:pStyle w:val="Heading3"/>
      </w:pPr>
      <w:r>
        <w:t xml:space="preserve">Discussion</w:t>
      </w:r>
    </w:p>
    <w:p>
      <w:pPr>
        <w:pStyle w:val="FirstParagraph"/>
      </w:pPr>
      <w:r>
        <w:t xml:space="preserve">Study 3 extends self-anchoring to the racial context, revealing that projection is amplified when members of minority racial groups (Asian and Latino) are contrasted against a superordinate, high-status majority group (White) rather than a fellow minority group. This higher projection rate in the majority condition suggests that self-anchoring is sensitive to intergroup power dynamics and social distance. When the outgroup is a higher-status majority, individuals may experience a greater motivation for positive distinctiveness or common fate, leading them to project their self-beliefs more intensely onto the minority ingroup as a means of category stabilization.</w:t>
      </w:r>
    </w:p>
    <w:p>
      <w:pPr>
        <w:pStyle w:val="BodyText"/>
      </w:pPr>
      <w:r>
        <w:t xml:space="preserve">Conversely, the lower projection rates in the minority-minority contrast suggest a sense of</w:t>
      </w:r>
      <w:r>
        <w:t xml:space="preserve"> </w:t>
      </w:r>
      <w:r>
        <w:t xml:space="preserve">“common fate”</w:t>
      </w:r>
      <w:r>
        <w:t xml:space="preserve"> </w:t>
      </w:r>
      <w:r>
        <w:t xml:space="preserve">or shared semantic space between minority groups, where the self is not exclusively Maped onto one’s own identity. This aligns with findings from Study 2, where positively-regarded outgroups reduced the extremity of self-projection. The replication of the correlation between projection rates and social identification across diverse social categories reinforces that self-anchoring is a foundational cognitive mechanism of social identity. By formalizing these processes, we reveal how the individual self navigates complex social hierarchies through structured inferential generalization.</w:t>
      </w:r>
    </w:p>
    <w:bookmarkEnd w:id="38"/>
    <w:bookmarkEnd w:id="39"/>
    <w:bookmarkStart w:id="46" w:name="general-discussion"/>
    <w:p>
      <w:pPr>
        <w:pStyle w:val="Heading2"/>
      </w:pPr>
      <w:r>
        <w:t xml:space="preserve">GENERAL DISCUSSION</w:t>
      </w:r>
    </w:p>
    <w:p>
      <w:pPr>
        <w:pStyle w:val="FirstParagraph"/>
      </w:pPr>
      <w:r>
        <w:t xml:space="preserve">People self-project their attributes onto similar others and ingroup members, but the underlying cognitive mechanisms have remained largely descriptive. By utilizing a semantic dependency network of trait relations, we formalize self-anchoring as a structured inferential process rooted in similarity-based generalization. Across three studies, we demonstrate that individuals treat the self as a semantic prototype, where beliefs propagate to novel group members based on relational similarity—a finding robust across minimal, university, and racial categories.</w:t>
      </w:r>
    </w:p>
    <w:bookmarkStart w:id="40" w:name="formalizing-social-identity-theory"/>
    <w:p>
      <w:pPr>
        <w:pStyle w:val="Heading3"/>
      </w:pPr>
      <w:r>
        <w:t xml:space="preserve">Formalizing Social Identity Theory</w:t>
      </w:r>
    </w:p>
    <w:p>
      <w:pPr>
        <w:pStyle w:val="FirstParagraph"/>
      </w:pPr>
      <w:r>
        <w:t xml:space="preserve">Our research moves social identity theory from a verbal model to a formal architecture by operationalizing the metacontrast principle as a formal ratio of summed similarities. This aligns social identity research with exemplar-based models of category learning and universal laws of generalization (Shepard, 1987). We find that self-anchoring is primarily driven by</w:t>
      </w:r>
      <w:r>
        <w:t xml:space="preserve"> </w:t>
      </w:r>
      <w:r>
        <w:t xml:space="preserve">“ingroup love”</w:t>
      </w:r>
      <w:r>
        <w:t xml:space="preserve">—the motivation to achieve similarity with the ingroup—rather than outgroup repulsion. However, outgroup repulsion functions as a context-dependent boundary condition, emerging specifically when contrasting against high-status majority groups.</w:t>
      </w:r>
    </w:p>
    <w:p>
      <w:pPr>
        <w:pStyle w:val="BodyText"/>
      </w:pPr>
      <w:r>
        <w:t xml:space="preserve">The ability to make representational claims about the role of similarity-based inference in social categorization has previously been limited by the absence of model formalism (Guest &amp; Martin, 2021). By bridging the gap between social psychology and cognitive science, we demonstrate that the metacontrast ratio—a foundational concept in social identity theory—can be precisely measured using relational similarity. This shift from verbal to formal architectures allows for a more rigorous testing of the representational claims inherent in social identity theory, such as the idea that people consider themselves as interchangeable exemplars of their group prototype.</w:t>
      </w:r>
    </w:p>
    <w:bookmarkEnd w:id="40"/>
    <w:bookmarkStart w:id="41" w:name="X48d363b87827fec97c802b347d52eda67b474e4"/>
    <w:p>
      <w:pPr>
        <w:pStyle w:val="Heading3"/>
      </w:pPr>
      <w:r>
        <w:t xml:space="preserve">Self-Anchoring as Generalization Across Related Traits</w:t>
      </w:r>
    </w:p>
    <w:p>
      <w:pPr>
        <w:pStyle w:val="FirstParagraph"/>
      </w:pPr>
      <w:r>
        <w:t xml:space="preserve">The current research provides strong evidence that self-anchoring is an inductive reasoning process that goes beyond simple item repetition. Prior research was vulnerable to the interpretation that self-anchoring results from repetition effects, where ratings on the same items on repeated occasions amplify their descriptiveness (Unkelbach &amp; Rom, 2017). By demonstrating that individuals generalize self-evaluations to novel, semantically related traits, we establish that self-anchoring is a high-level cognitive process involving the propagation of beliefs across a semantic web. Individuals do not merely infer that their group is like them on specific traits; they infer what their group</w:t>
      </w:r>
      <w:r>
        <w:t xml:space="preserve"> </w:t>
      </w:r>
      <w:r>
        <w:rPr>
          <w:i/>
          <w:iCs/>
        </w:rPr>
        <w:t xml:space="preserve">ought</w:t>
      </w:r>
      <w:r>
        <w:t xml:space="preserve"> </w:t>
      </w:r>
      <w:r>
        <w:t xml:space="preserve">to be based on the structural relations within their self-concept.</w:t>
      </w:r>
    </w:p>
    <w:bookmarkEnd w:id="41"/>
    <w:bookmarkStart w:id="42" w:name="X39183087601df5212d349c270590fef709653f7"/>
    <w:p>
      <w:pPr>
        <w:pStyle w:val="Heading3"/>
      </w:pPr>
      <w:r>
        <w:t xml:space="preserve">Contextual Modulation and Social Identification</w:t>
      </w:r>
    </w:p>
    <w:p>
      <w:pPr>
        <w:pStyle w:val="FirstParagraph"/>
      </w:pPr>
      <w:r>
        <w:t xml:space="preserve">The attenuation of projection rates when contrasting against prestigious or fellow minority outgroups indicates that self-anchoring is an optimization process sensitive to perceived intergroup favorability. When an outgroup is positively regarded, the self functions as a less exclusive prototype for the ingroup. This provides a formal link between cognitive generalization and social identification, with projection parameters tracking individual levels of affective attachment and bias.</w:t>
      </w:r>
    </w:p>
    <w:p>
      <w:pPr>
        <w:pStyle w:val="BodyText"/>
      </w:pPr>
      <w:r>
        <w:t xml:space="preserve">Furthermore, our results suggest that social identification emerging from similarity-based classification is a dynamic process. By including Shepard’s Law, we translate a classic social psychology concept into a precise cognitive architecture. The finding that high social identification correlates with a lower</w:t>
      </w:r>
      <w:r>
        <w:t xml:space="preserve"> </w:t>
      </w:r>
      <m:oMath>
        <m:r>
          <m:t>λ</m:t>
        </m:r>
      </m:oMath>
      <w:r>
        <w:t xml:space="preserve"> </w:t>
      </w:r>
      <w:r>
        <w:t xml:space="preserve">(a shallower generalization gradient) demonstrates that when people strongly identify with a group, they expand their cognitive boundary of what is</w:t>
      </w:r>
      <w:r>
        <w:t xml:space="preserve"> </w:t>
      </w:r>
      <w:r>
        <w:t xml:space="preserve">“similar”</w:t>
      </w:r>
      <w:r>
        <w:t xml:space="preserve"> </w:t>
      </w:r>
      <w:r>
        <w:t xml:space="preserve">to the self. This provides a formal, testable definition of what</w:t>
      </w:r>
      <w:r>
        <w:t xml:space="preserve"> </w:t>
      </w:r>
      <w:r>
        <w:t xml:space="preserve">“self-group merging”</w:t>
      </w:r>
      <w:r>
        <w:t xml:space="preserve"> </w:t>
      </w:r>
      <w:r>
        <w:t xml:space="preserve">looks like in the cognitive architecture.</w:t>
      </w:r>
    </w:p>
    <w:bookmarkEnd w:id="42"/>
    <w:bookmarkStart w:id="43" w:name="conclusion"/>
    <w:p>
      <w:pPr>
        <w:pStyle w:val="Heading3"/>
      </w:pPr>
      <w:r>
        <w:t xml:space="preserve">Conclusion</w:t>
      </w:r>
    </w:p>
    <w:p>
      <w:pPr>
        <w:pStyle w:val="FirstParagraph"/>
      </w:pPr>
      <w:r>
        <w:t xml:space="preserve">Similarity is the backbone of social cognition. By formalizing the relationship between self-concept structure and social identity, we establish that self-anchoring follows universal laws of generalization. Our research demonstrates that the integration of the individual into the group is not merely a motivational bias but a structured, inferential process. This architecture provides a precise methodology for understanding how individuals navigate their social worlds and integrate into the collective whole.</w:t>
      </w:r>
    </w:p>
    <w:bookmarkEnd w:id="43"/>
    <w:bookmarkStart w:id="44" w:name="appendix-a-posterior-predictive-checks"/>
    <w:p>
      <w:pPr>
        <w:pStyle w:val="Heading3"/>
      </w:pPr>
      <w:r>
        <w:t xml:space="preserve">Appendix A: Posterior Predictive Checks</w:t>
      </w:r>
    </w:p>
    <w:p>
      <w:pPr>
        <w:pStyle w:val="FirstParagraph"/>
      </w:pPr>
      <w:r>
        <w:t xml:space="preserve">We conducted posterior predictive checks (PPCs) to compare predicted and observed data, ensuring that the models were well-suited to describe the underlying cognitive processes. We evaluated PPCs for both the training and generalization phases across all three studies (Figure A1). As illustrated, the observed and predicted data are well-aligned, demonstrating robust model adequacy.</w:t>
      </w:r>
    </w:p>
    <w:bookmarkEnd w:id="44"/>
    <w:bookmarkStart w:id="45" w:name="appendix-b-parameter-recovery-analyses"/>
    <w:p>
      <w:pPr>
        <w:pStyle w:val="Heading3"/>
      </w:pPr>
      <w:r>
        <w:t xml:space="preserve">Appendix B: Parameter Recovery Analyses</w:t>
      </w:r>
    </w:p>
    <w:p>
      <w:pPr>
        <w:pStyle w:val="FirstParagraph"/>
      </w:pPr>
      <w:r>
        <w:t xml:space="preserve">To determine whether parameters from the computational model were identifiable and could be recovered, we simulated behavior across each study’s conditions. Primary parameters of interest, particularly the projection rate and bias, were adequately recoverable across all conditions (Figure B1). Specifically, the projection rate was recoverable in Study 1 (r = .76), Study 2 (High Status r = .85), and Study 3 (Majority r = .44).</w:t>
      </w:r>
    </w:p>
    <w:bookmarkEnd w:id="45"/>
    <w:bookmarkEnd w:id="46"/>
    <w:bookmarkStart w:id="47" w:name="references"/>
    <w:p>
      <w:pPr>
        <w:pStyle w:val="Heading2"/>
      </w:pPr>
      <w:r>
        <w:t xml:space="preserve">REFERENCES</w:t>
      </w:r>
    </w:p>
    <w:p>
      <w:pPr>
        <w:pStyle w:val="FirstParagraph"/>
      </w:pPr>
      <w:r>
        <w:t xml:space="preserve">(References extracted from dissertation)</w:t>
      </w:r>
    </w:p>
    <w:bookmarkEnd w:id="47"/>
    <w:bookmarkEnd w:id="48"/>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1" Target="mailto:jelder@ucr.edu" TargetMode="External" /></Relationships>
</file>

<file path=word/_rels/footnotes.xml.rels><?xml version="1.0" encoding="UTF-8"?><Relationships xmlns="http://schemas.openxmlformats.org/package/2006/relationships"><Relationship Type="http://schemas.openxmlformats.org/officeDocument/2006/relationships/hyperlink" Id="rId21" Target="mailto:jelder@uc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SELF-ANCHORING FORMAL ARCHITECTURE</dc:description>
  <cp:keywords>self-anchoring, social identity, category learning, semantic similarity, computational modeling</cp:keywords>
  <dcterms:created xsi:type="dcterms:W3CDTF">2026-02-28T22:16:43Z</dcterms:created>
  <dcterms:modified xsi:type="dcterms:W3CDTF">2026-02-28T22:16:43Z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People tend to see themselves as similar to their ingroup, often by projecting self-beliefs onto their perceptions of others. However, the within-person cognitive mechanisms facilitating this process remain under-specified. This research moves social identity theory from a verbal model to a formal architecture, establishing the similarity-based (e.g., if I am outgoing, my group should be characteristic of semantically related traits like sociable) and contrastive (i.e., how the ingroup compares to a specific outgroup) mechanisms through which self-evaluations generalize to the ingroup. Across three studies using minimal groups (N = 61), university groups (N = 283), and racial groups (N = 265), we find that individuals use semantic similarity among traits—consistent with universal principles of category learning—to infer group characteristics based on their own attributes. We further demonstrate that self-anchoring is a structured inferential generalization primarily driven by a motivation to achieve similarity with the ingroup. However, in the racial context, racial minority participants contrasting against the racial majority were driven moreso to achieve dissimilarity from the majority outgroup. Using a computational model to measure the rate at which self-beliefs are converted into ingroup beliefs, we find this projection rate weakens when participants contrast their ingroup against a positively regarded outgroup (e.g., a higher-status university in Study 2 or a fellow minority group in Study 3). This suggests self-anchoring is a cognitive process systematically amplified by intergroup context, with projection rates correlating with self-reported intergroup bias in studies 2 and 3 and social identification in all three studies. Findings reflect that social identity emerges through similarity-based classification processes analogous to the structured semantic representations found in modern word embedding architectures.</vt:lpwstr>
  </property>
  <property fmtid="{D5CDD505-2E9C-101B-9397-08002B2CF9AE}" pid="5" name="apaauthor">
    <vt:lpwstr/>
  </property>
  <property fmtid="{D5CDD505-2E9C-101B-9397-08002B2CF9AE}" pid="6" name="apatitle">
    <vt:lpwstr>Seeing Myself in My Group: A Formal Architecture of Self-Anchoring via Similarity-Based Generalization</vt:lpwstr>
  </property>
  <property fmtid="{D5CDD505-2E9C-101B-9397-08002B2CF9AE}" pid="7" name="apatitledisplay">
    <vt:lpwstr>Seeing Myself in My Group: A Formal Architecture of Self-Anchoring via Similarity-Based Generalization</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rossref">
    <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fig-cap-location">
    <vt:lpwstr>top</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knitr">
    <vt:lpwstr/>
  </property>
  <property fmtid="{D5CDD505-2E9C-101B-9397-08002B2CF9AE}" pid="21" name="labels">
    <vt:lpwstr/>
  </property>
  <property fmtid="{D5CDD505-2E9C-101B-9397-08002B2CF9AE}" pid="22" name="language">
    <vt:lpwstr/>
  </property>
  <property fmtid="{D5CDD505-2E9C-101B-9397-08002B2CF9AE}" pid="23" name="link-citations">
    <vt:lpwstr>True</vt:lpwstr>
  </property>
  <property fmtid="{D5CDD505-2E9C-101B-9397-08002B2CF9AE}" pid="24" name="no-ampersand-parenthetical">
    <vt:lpwstr>False</vt:lpwstr>
  </property>
  <property fmtid="{D5CDD505-2E9C-101B-9397-08002B2CF9AE}" pid="25" name="number-depth">
    <vt:lpwstr>3</vt:lpwstr>
  </property>
  <property fmtid="{D5CDD505-2E9C-101B-9397-08002B2CF9AE}" pid="26" name="numbersections">
    <vt:lpwstr>False</vt:lpwstr>
  </property>
  <property fmtid="{D5CDD505-2E9C-101B-9397-08002B2CF9AE}" pid="27" name="oneaffiliation">
    <vt:lpwstr>True</vt:lpwstr>
  </property>
  <property fmtid="{D5CDD505-2E9C-101B-9397-08002B2CF9AE}" pid="28" name="oneauthor">
    <vt:lpwstr>True</vt:lpwstr>
  </property>
  <property fmtid="{D5CDD505-2E9C-101B-9397-08002B2CF9AE}" pid="29" name="references">
    <vt:lpwstr/>
  </property>
  <property fmtid="{D5CDD505-2E9C-101B-9397-08002B2CF9AE}" pid="30" name="revealjs-plugins">
    <vt:lpwstr/>
  </property>
  <property fmtid="{D5CDD505-2E9C-101B-9397-08002B2CF9AE}" pid="31" name="shorttitle">
    <vt:lpwstr>SELF-ANCHORING FORMAL ARCHITECTURE</vt:lpwstr>
  </property>
  <property fmtid="{D5CDD505-2E9C-101B-9397-08002B2CF9AE}" pid="32" name="suppress-abstract">
    <vt:lpwstr>False</vt:lpwstr>
  </property>
  <property fmtid="{D5CDD505-2E9C-101B-9397-08002B2CF9AE}" pid="33" name="suppress-affiliation">
    <vt:lpwstr>False</vt:lpwstr>
  </property>
  <property fmtid="{D5CDD505-2E9C-101B-9397-08002B2CF9AE}" pid="34" name="suppress-author">
    <vt:lpwstr>False</vt:lpwstr>
  </property>
  <property fmtid="{D5CDD505-2E9C-101B-9397-08002B2CF9AE}" pid="35" name="suppress-author-note">
    <vt:lpwstr>False</vt:lpwstr>
  </property>
  <property fmtid="{D5CDD505-2E9C-101B-9397-08002B2CF9AE}" pid="36" name="suppress-corresponding-address">
    <vt:lpwstr>False</vt:lpwstr>
  </property>
  <property fmtid="{D5CDD505-2E9C-101B-9397-08002B2CF9AE}" pid="37" name="suppress-corresponding-affiliation-name">
    <vt:lpwstr>False</vt:lpwstr>
  </property>
  <property fmtid="{D5CDD505-2E9C-101B-9397-08002B2CF9AE}" pid="38" name="suppress-corresponding-city">
    <vt:lpwstr>False</vt:lpwstr>
  </property>
  <property fmtid="{D5CDD505-2E9C-101B-9397-08002B2CF9AE}" pid="39" name="suppress-corresponding-department">
    <vt:lpwstr>False</vt:lpwstr>
  </property>
  <property fmtid="{D5CDD505-2E9C-101B-9397-08002B2CF9AE}" pid="40" name="suppress-corresponding-email">
    <vt:lpwstr>False</vt:lpwstr>
  </property>
  <property fmtid="{D5CDD505-2E9C-101B-9397-08002B2CF9AE}" pid="41" name="suppress-corresponding-group">
    <vt:lpwstr>False</vt:lpwstr>
  </property>
  <property fmtid="{D5CDD505-2E9C-101B-9397-08002B2CF9AE}" pid="42" name="suppress-corresponding-paragraph">
    <vt:lpwstr>False</vt:lpwstr>
  </property>
  <property fmtid="{D5CDD505-2E9C-101B-9397-08002B2CF9AE}" pid="43" name="suppress-corresponding-postal-code">
    <vt:lpwstr>False</vt:lpwstr>
  </property>
  <property fmtid="{D5CDD505-2E9C-101B-9397-08002B2CF9AE}" pid="44" name="suppress-corresponding-region">
    <vt:lpwstr>False</vt:lpwstr>
  </property>
  <property fmtid="{D5CDD505-2E9C-101B-9397-08002B2CF9AE}" pid="45" name="suppress-credit-statement">
    <vt:lpwstr>False</vt:lpwstr>
  </property>
  <property fmtid="{D5CDD505-2E9C-101B-9397-08002B2CF9AE}" pid="46" name="suppress-disclosures-paragraph">
    <vt:lpwstr>False</vt:lpwstr>
  </property>
  <property fmtid="{D5CDD505-2E9C-101B-9397-08002B2CF9AE}" pid="47" name="suppress-impact-statement">
    <vt:lpwstr>False</vt:lpwstr>
  </property>
  <property fmtid="{D5CDD505-2E9C-101B-9397-08002B2CF9AE}" pid="48" name="suppress-keywords">
    <vt:lpwstr>False</vt:lpwstr>
  </property>
  <property fmtid="{D5CDD505-2E9C-101B-9397-08002B2CF9AE}" pid="49" name="suppress-orcid">
    <vt:lpwstr>False</vt:lpwstr>
  </property>
  <property fmtid="{D5CDD505-2E9C-101B-9397-08002B2CF9AE}" pid="50" name="suppress-short-title">
    <vt:lpwstr>False</vt:lpwstr>
  </property>
  <property fmtid="{D5CDD505-2E9C-101B-9397-08002B2CF9AE}" pid="51" name="suppress-status-change-paragraph">
    <vt:lpwstr>False</vt:lpwstr>
  </property>
  <property fmtid="{D5CDD505-2E9C-101B-9397-08002B2CF9AE}" pid="52" name="suppress-title">
    <vt:lpwstr>False</vt:lpwstr>
  </property>
  <property fmtid="{D5CDD505-2E9C-101B-9397-08002B2CF9AE}" pid="53" name="suppress-title-introduction">
    <vt:lpwstr>False</vt:lpwstr>
  </property>
  <property fmtid="{D5CDD505-2E9C-101B-9397-08002B2CF9AE}" pid="54" name="suppress-title-page">
    <vt:lpwstr>False</vt:lpwstr>
  </property>
  <property fmtid="{D5CDD505-2E9C-101B-9397-08002B2CF9AE}" pid="55" name="suppress-title-page-number">
    <vt:lpwstr>False</vt:lpwstr>
  </property>
  <property fmtid="{D5CDD505-2E9C-101B-9397-08002B2CF9AE}" pid="56" name="tbl-cap-location">
    <vt:lpwstr>top</vt:lpwstr>
  </property>
  <property fmtid="{D5CDD505-2E9C-101B-9397-08002B2CF9AE}" pid="57" name="toc-title">
    <vt:lpwstr>Table of contents</vt:lpwstr>
  </property>
  <property fmtid="{D5CDD505-2E9C-101B-9397-08002B2CF9AE}" pid="58" name="wordn">
    <vt:lpwstr>5077</vt:lpwstr>
  </property>
  <property fmtid="{D5CDD505-2E9C-101B-9397-08002B2CF9AE}" pid="59" name="zerocitations">
    <vt:lpwstr>True</vt:lpwstr>
  </property>
</Properties>
</file>