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526F76BA" w:rsidR="00002FAF" w:rsidRDefault="00002FAF" w:rsidP="00002FAF">
      <w:pPr>
        <w:pStyle w:val="Title"/>
        <w:framePr w:w="0" w:hSpace="0" w:vSpace="0" w:wrap="auto" w:vAnchor="margin" w:hAnchor="text" w:xAlign="left" w:yAlign="inline"/>
      </w:pPr>
      <w:r>
        <w:t>Preparation of Articles for IEEE T</w:t>
      </w:r>
      <w:r>
        <w:rPr>
          <w:sz w:val="40"/>
          <w:szCs w:val="40"/>
        </w:rPr>
        <w:t>RANSACTIONS</w:t>
      </w:r>
      <w:r>
        <w:t xml:space="preserve"> and J</w:t>
      </w:r>
      <w:r>
        <w:rPr>
          <w:sz w:val="40"/>
          <w:szCs w:val="40"/>
        </w:rPr>
        <w:t>OURNALS</w:t>
      </w:r>
      <w:r>
        <w:rPr>
          <w:i/>
        </w:rPr>
        <w:t xml:space="preserve"> </w:t>
      </w:r>
      <w:r>
        <w:t>(</w:t>
      </w:r>
      <w:r w:rsidR="002947C5">
        <w:t>2022</w:t>
      </w:r>
      <w:r>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4B5FE2A0" w14:textId="35FC6568" w:rsidR="005C18AE" w:rsidRPr="00D050EC" w:rsidRDefault="000F2C11" w:rsidP="00D050EC">
      <w:pPr>
        <w:jc w:val="both"/>
        <w:rPr>
          <w:b/>
          <w:sz w:val="18"/>
          <w:szCs w:val="18"/>
        </w:rPr>
      </w:pPr>
      <w:bookmarkStart w:id="1" w:name="bookmark=id.30j0zll" w:colFirst="0" w:colLast="0"/>
      <w:bookmarkEnd w:id="1"/>
      <w:r>
        <w:rPr>
          <w:b/>
          <w:i/>
          <w:sz w:val="18"/>
          <w:szCs w:val="18"/>
        </w:rPr>
        <w:t>Index Terms</w:t>
      </w:r>
      <w:r>
        <w:rPr>
          <w:b/>
          <w:sz w:val="18"/>
          <w:szCs w:val="18"/>
        </w:rPr>
        <w:t>—Enter keywords or phrases in alphabetical order, separated by commas.</w:t>
      </w:r>
      <w:r w:rsidRPr="000D4F4C">
        <w:rPr>
          <w:b/>
          <w:sz w:val="18"/>
          <w:szCs w:val="18"/>
        </w:rPr>
        <w:t xml:space="preserve"> </w:t>
      </w:r>
      <w:r w:rsidR="002947C5" w:rsidRPr="00D050EC">
        <w:rPr>
          <w:b/>
          <w:sz w:val="18"/>
          <w:szCs w:val="18"/>
          <w:shd w:val="clear" w:color="auto" w:fill="FFFFFF"/>
        </w:rPr>
        <w:t>Using the </w:t>
      </w:r>
      <w:r w:rsidR="002947C5" w:rsidRPr="00D050EC">
        <w:rPr>
          <w:rStyle w:val="Emphasis"/>
          <w:b/>
          <w:color w:val="000000"/>
          <w:sz w:val="18"/>
          <w:szCs w:val="18"/>
          <w:shd w:val="clear" w:color="auto" w:fill="FFFFFF"/>
        </w:rPr>
        <w:t>IEEE Thesaurus</w:t>
      </w:r>
      <w:r w:rsidR="002947C5" w:rsidRPr="00D050EC">
        <w:rPr>
          <w:b/>
          <w:sz w:val="18"/>
          <w:szCs w:val="18"/>
          <w:shd w:val="clear" w:color="auto" w:fill="FFFFFF"/>
        </w:rPr>
        <w:t> can help you find the best standardized keywords to fit your article. Use the</w:t>
      </w:r>
      <w:r w:rsidR="00BE4774">
        <w:rPr>
          <w:b/>
          <w:sz w:val="18"/>
          <w:szCs w:val="18"/>
          <w:shd w:val="clear" w:color="auto" w:fill="FFFFFF"/>
        </w:rPr>
        <w:t xml:space="preserve"> </w:t>
      </w:r>
      <w:r w:rsidR="00BE4774" w:rsidRPr="00D050EC">
        <w:rPr>
          <w:b/>
          <w:sz w:val="18"/>
          <w:szCs w:val="18"/>
        </w:rPr>
        <w:t>thesaurus access request form</w:t>
      </w:r>
      <w:r w:rsidR="002947C5" w:rsidRPr="00D050EC">
        <w:rPr>
          <w:b/>
          <w:sz w:val="18"/>
          <w:szCs w:val="18"/>
          <w:shd w:val="clear" w:color="auto" w:fill="FFFFFF"/>
        </w:rPr>
        <w:t> for free access to the </w:t>
      </w:r>
      <w:r w:rsidR="002947C5" w:rsidRPr="00D050EC">
        <w:rPr>
          <w:rStyle w:val="Emphasis"/>
          <w:b/>
          <w:color w:val="000000"/>
          <w:sz w:val="18"/>
          <w:szCs w:val="18"/>
          <w:shd w:val="clear" w:color="auto" w:fill="FFFFFF"/>
        </w:rPr>
        <w:t>IEEE Thesaurus</w:t>
      </w:r>
      <w:r w:rsidR="00D10AC8">
        <w:rPr>
          <w:rStyle w:val="Emphasis"/>
          <w:b/>
          <w:color w:val="000000"/>
          <w:sz w:val="18"/>
          <w:szCs w:val="18"/>
          <w:shd w:val="clear" w:color="auto" w:fill="FFFFFF"/>
        </w:rPr>
        <w:t xml:space="preserve"> </w:t>
      </w:r>
      <w:r w:rsidR="00D10AC8">
        <w:rPr>
          <w:rFonts w:ascii="Georgia" w:hAnsi="Georgia"/>
          <w:color w:val="222222"/>
          <w:shd w:val="clear" w:color="auto" w:fill="FFFFFF"/>
        </w:rPr>
        <w:t> </w:t>
      </w:r>
      <w:hyperlink r:id="rId10" w:tgtFrame="_blank" w:history="1">
        <w:r w:rsidR="00D10AC8" w:rsidRPr="00D10AC8">
          <w:rPr>
            <w:color w:val="1155CC"/>
            <w:spacing w:val="-2"/>
            <w:u w:val="single"/>
          </w:rPr>
          <w:t>https://www.ieee.org/publications/services/thesaurus.html</w:t>
        </w:r>
      </w:hyperlink>
      <w:r w:rsidR="002947C5" w:rsidRPr="00D10AC8">
        <w:rPr>
          <w:color w:val="1155CC"/>
          <w:spacing w:val="-2"/>
          <w:u w:val="single"/>
        </w:rPr>
        <w:t>.</w:t>
      </w:r>
      <w:r w:rsidR="002947C5" w:rsidRPr="00D050EC">
        <w:rPr>
          <w:b/>
          <w:sz w:val="18"/>
          <w:szCs w:val="18"/>
          <w:shd w:val="clear" w:color="auto" w:fill="FFFFFF"/>
        </w:rPr>
        <w:t> </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1"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2">
        <w:r>
          <w:rPr>
            <w:color w:val="0000FF"/>
            <w:u w:val="single"/>
          </w:rPr>
          <w:t>https://www.overleaf.com/blog/278-how-to-use-overleaf-with-ieee-collabratec-your-quick-guide-to-getting-started#.</w:t>
        </w:r>
      </w:hyperlink>
      <w:hyperlink r:id="rId13">
        <w:r>
          <w:rPr>
            <w:color w:val="0000FF"/>
            <w:u w:val="single"/>
          </w:rPr>
          <w:t>Vp6tpPkrK</w:t>
        </w:r>
      </w:hyperlink>
      <w:hyperlink r:id="rId14">
        <w:r>
          <w:rPr>
            <w:color w:val="0000FF"/>
            <w:u w:val="single"/>
          </w:rPr>
          <w:t>M9</w:t>
        </w:r>
      </w:hyperlink>
      <w: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This template is a guide to formatting; your proof and final 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Pr="00A65256" w:rsidRDefault="000F2C11" w:rsidP="00A65256">
      <w:pPr>
        <w:widowControl w:val="0"/>
        <w:pBdr>
          <w:top w:val="nil"/>
          <w:left w:val="nil"/>
          <w:bottom w:val="nil"/>
          <w:right w:val="nil"/>
          <w:between w:val="nil"/>
        </w:pBdr>
        <w:spacing w:line="252" w:lineRule="auto"/>
        <w:ind w:firstLine="270"/>
        <w:jc w:val="both"/>
        <w:rPr>
          <w:spacing w:val="-2"/>
        </w:rPr>
      </w:pPr>
      <w:r w:rsidRPr="00A65256">
        <w:rPr>
          <w:spacing w:val="-2"/>
        </w:rPr>
        <w:t xml:space="preserve">The </w:t>
      </w:r>
      <w:r w:rsidRPr="00A65256">
        <w:rPr>
          <w:i/>
          <w:iCs/>
          <w:spacing w:val="-2"/>
        </w:rPr>
        <w:t xml:space="preserve">IEEE Editorial Style Manual </w:t>
      </w:r>
      <w:r w:rsidR="00A853F3" w:rsidRPr="00A65256">
        <w:rPr>
          <w:i/>
          <w:iCs/>
          <w:spacing w:val="-2"/>
        </w:rPr>
        <w:t>f</w:t>
      </w:r>
      <w:r w:rsidRPr="00A65256">
        <w:rPr>
          <w:i/>
          <w:iCs/>
          <w:spacing w:val="-2"/>
        </w:rPr>
        <w:t>or Authors</w:t>
      </w:r>
      <w:r w:rsidRPr="00A65256">
        <w:rPr>
          <w:spacing w:val="-2"/>
        </w:rPr>
        <w:t xml:space="preserve"> is available at </w:t>
      </w:r>
      <w:hyperlink r:id="rId15">
        <w:r w:rsidRPr="00A65256">
          <w:rPr>
            <w:color w:val="1155CC"/>
            <w:spacing w:val="-2"/>
            <w:u w:val="single"/>
          </w:rPr>
          <w:t>https://journals.ieeeauthorcenter.ieee.org/create-your-ieee-journal-article/create-the-text-of-your-article/ieee-editorial-style-manual/</w:t>
        </w:r>
      </w:hyperlink>
      <w:r w:rsidRPr="00A65256">
        <w:rPr>
          <w:color w:val="1155CC"/>
          <w:spacing w:val="-2"/>
          <w:sz w:val="19"/>
          <w:szCs w:val="19"/>
          <w:highlight w:val="white"/>
          <w:u w:val="single"/>
        </w:rPr>
        <w:t>.</w:t>
      </w:r>
      <w:r w:rsidRPr="00A65256">
        <w:rPr>
          <w:spacing w:val="-2"/>
        </w:rPr>
        <w:t xml:space="preserve"> This contains a formal set of editorial guidelines for IEEE Transactions, Journals, and Letters, including:</w:t>
      </w:r>
    </w:p>
    <w:p w14:paraId="5448429C" w14:textId="77777777" w:rsidR="00A853F3" w:rsidRPr="00A853F3" w:rsidRDefault="00A853F3" w:rsidP="00A65256">
      <w:pPr>
        <w:widowControl w:val="0"/>
        <w:pBdr>
          <w:top w:val="nil"/>
          <w:left w:val="nil"/>
          <w:bottom w:val="nil"/>
          <w:right w:val="nil"/>
          <w:between w:val="nil"/>
        </w:pBdr>
        <w:spacing w:before="80" w:line="252" w:lineRule="auto"/>
        <w:ind w:firstLine="180"/>
        <w:rPr>
          <w:u w:val="double"/>
        </w:rPr>
      </w:pPr>
    </w:p>
    <w:p w14:paraId="40729C54" w14:textId="77777777" w:rsidR="00732E46" w:rsidRDefault="000F2C11">
      <w:pPr>
        <w:widowControl w:val="0"/>
        <w:numPr>
          <w:ilvl w:val="0"/>
          <w:numId w:val="2"/>
        </w:numPr>
        <w:spacing w:line="252" w:lineRule="auto"/>
        <w:jc w:val="both"/>
      </w:pPr>
      <w:r>
        <w:t>punctuation;</w:t>
      </w:r>
    </w:p>
    <w:p w14:paraId="07E41A1C" w14:textId="77777777" w:rsidR="00732E46" w:rsidRDefault="000F2C11">
      <w:pPr>
        <w:widowControl w:val="0"/>
        <w:numPr>
          <w:ilvl w:val="0"/>
          <w:numId w:val="2"/>
        </w:numPr>
        <w:spacing w:line="252" w:lineRule="auto"/>
        <w:jc w:val="both"/>
      </w:pPr>
      <w:r>
        <w:t>capitalization;</w:t>
      </w:r>
    </w:p>
    <w:p w14:paraId="54CA649C" w14:textId="77777777" w:rsidR="00732E46" w:rsidRDefault="000F2C11">
      <w:pPr>
        <w:widowControl w:val="0"/>
        <w:numPr>
          <w:ilvl w:val="0"/>
          <w:numId w:val="2"/>
        </w:numPr>
        <w:spacing w:line="252" w:lineRule="auto"/>
        <w:jc w:val="both"/>
      </w:pPr>
      <w:r>
        <w:t>abbreviations;</w:t>
      </w:r>
    </w:p>
    <w:p w14:paraId="7382969A" w14:textId="77777777" w:rsidR="00732E46" w:rsidRDefault="000F2C11">
      <w:pPr>
        <w:widowControl w:val="0"/>
        <w:numPr>
          <w:ilvl w:val="0"/>
          <w:numId w:val="2"/>
        </w:numPr>
        <w:spacing w:line="252" w:lineRule="auto"/>
        <w:jc w:val="both"/>
      </w:pPr>
      <w:r>
        <w:t>section headings;</w:t>
      </w:r>
    </w:p>
    <w:p w14:paraId="73D87B4B" w14:textId="77777777" w:rsidR="00732E46" w:rsidRDefault="000F2C11">
      <w:pPr>
        <w:widowControl w:val="0"/>
        <w:numPr>
          <w:ilvl w:val="0"/>
          <w:numId w:val="2"/>
        </w:numPr>
        <w:spacing w:line="252" w:lineRule="auto"/>
        <w:jc w:val="both"/>
      </w:pPr>
      <w:r>
        <w:t>numbers, equations;</w:t>
      </w:r>
    </w:p>
    <w:p w14:paraId="52FED512" w14:textId="77777777" w:rsidR="00732E46" w:rsidRDefault="000F2C11">
      <w:pPr>
        <w:widowControl w:val="0"/>
        <w:numPr>
          <w:ilvl w:val="0"/>
          <w:numId w:val="2"/>
        </w:numPr>
        <w:spacing w:line="252" w:lineRule="auto"/>
        <w:jc w:val="both"/>
      </w:pPr>
      <w:r>
        <w:t>footnotes;</w:t>
      </w:r>
    </w:p>
    <w:p w14:paraId="1540F1E0" w14:textId="77777777" w:rsidR="00732E46" w:rsidRDefault="000F2C11">
      <w:pPr>
        <w:widowControl w:val="0"/>
        <w:numPr>
          <w:ilvl w:val="0"/>
          <w:numId w:val="2"/>
        </w:numPr>
        <w:spacing w:line="252" w:lineRule="auto"/>
        <w:jc w:val="both"/>
      </w:pPr>
      <w:r>
        <w:t>biographies;</w:t>
      </w:r>
    </w:p>
    <w:p w14:paraId="778BEC26" w14:textId="77777777" w:rsidR="00732E46" w:rsidRDefault="000F2C11">
      <w:pPr>
        <w:widowControl w:val="0"/>
        <w:numPr>
          <w:ilvl w:val="0"/>
          <w:numId w:val="2"/>
        </w:numPr>
        <w:spacing w:line="252" w:lineRule="auto"/>
        <w:jc w:val="both"/>
      </w:pPr>
      <w:r>
        <w:t>some common mistakes;</w:t>
      </w:r>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rsidP="00A65256">
      <w:pPr>
        <w:widowControl w:val="0"/>
        <w:spacing w:before="40"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16"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C7592D">
      <w:pPr>
        <w:pStyle w:val="Heading1"/>
        <w:spacing w:before="250"/>
      </w:pPr>
      <w:r>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lastRenderedPageBreak/>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47CE4E1D" w14:textId="0ECF7F6E"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Pr="00D050EC" w:rsidRDefault="000F2C11" w:rsidP="00A853F3">
      <w:pPr>
        <w:widowControl w:val="0"/>
        <w:pBdr>
          <w:top w:val="nil"/>
          <w:left w:val="nil"/>
          <w:bottom w:val="nil"/>
          <w:right w:val="nil"/>
          <w:between w:val="nil"/>
        </w:pBdr>
        <w:spacing w:line="252" w:lineRule="auto"/>
        <w:jc w:val="both"/>
        <w:rPr>
          <w:color w:val="000000"/>
          <w:spacing w:val="-2"/>
        </w:rPr>
      </w:pPr>
      <w:r w:rsidRPr="00D050EC">
        <w:rPr>
          <w:color w:val="000000"/>
          <w:spacing w:val="-2"/>
        </w:rPr>
        <w:t xml:space="preserve">alternate ways to access the same functionalities noted here). Then, type over sections of </w:t>
      </w:r>
      <w:r w:rsidR="00660F88" w:rsidRPr="00D050EC">
        <w:rPr>
          <w:color w:val="000000"/>
          <w:spacing w:val="-2"/>
        </w:rPr>
        <w:t>the template</w:t>
      </w:r>
      <w:r w:rsidRPr="00D050EC">
        <w:rPr>
          <w:color w:val="000000"/>
          <w:spacing w:val="-2"/>
        </w:rPr>
        <w:t xml:space="preserve"> or cut and paste from another document and use markup styles. The pull-down</w:t>
      </w:r>
      <w:r w:rsidR="00A853F3" w:rsidRPr="00D050EC">
        <w:rPr>
          <w:color w:val="000000"/>
          <w:spacing w:val="-2"/>
        </w:rPr>
        <w:t xml:space="preserve"> </w:t>
      </w:r>
      <w:r w:rsidRPr="00D050EC">
        <w:rPr>
          <w:color w:val="000000"/>
          <w:spacing w:val="-2"/>
        </w:rPr>
        <w:t xml:space="preserve">style menu is </w:t>
      </w:r>
      <w:r w:rsidRPr="00D050EC">
        <w:rPr>
          <w:spacing w:val="-2"/>
        </w:rPr>
        <w:t>in</w:t>
      </w:r>
      <w:r w:rsidRPr="00D050EC">
        <w:rPr>
          <w:color w:val="000000"/>
          <w:spacing w:val="-2"/>
        </w:rPr>
        <w:t xml:space="preserve"> the Formatting Toolbar at the top of your </w:t>
      </w:r>
      <w:r w:rsidRPr="00D050EC">
        <w:rPr>
          <w:i/>
          <w:color w:val="000000"/>
          <w:spacing w:val="-2"/>
        </w:rPr>
        <w:t>Word</w:t>
      </w:r>
      <w:r w:rsidRPr="00D050EC">
        <w:rPr>
          <w:color w:val="000000"/>
          <w:spacing w:val="-2"/>
        </w:rPr>
        <w:t xml:space="preserve"> window (</w:t>
      </w:r>
      <w:r w:rsidR="00357347" w:rsidRPr="00D050EC">
        <w:rPr>
          <w:color w:val="000000"/>
          <w:spacing w:val="-2"/>
        </w:rPr>
        <w:t>e.g.</w:t>
      </w:r>
      <w:r w:rsidRPr="00D050EC">
        <w:rPr>
          <w:color w:val="000000"/>
          <w:spacing w:val="-2"/>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sidRPr="00D050EC">
        <w:rPr>
          <w:b/>
          <w:color w:val="000000"/>
          <w:spacing w:val="-2"/>
        </w:rPr>
        <w:t xml:space="preserve"> </w:t>
      </w:r>
      <w:r w:rsidRPr="00D050EC">
        <w:rPr>
          <w:color w:val="000000"/>
          <w:spacing w:val="-2"/>
        </w:rPr>
        <w:t xml:space="preserve">Use </w:t>
      </w:r>
      <w:r w:rsidRPr="00D050EC">
        <w:rPr>
          <w:i/>
          <w:color w:val="000000"/>
          <w:spacing w:val="-2"/>
        </w:rPr>
        <w:t>italics</w:t>
      </w:r>
      <w:r w:rsidRPr="00D050EC">
        <w:rPr>
          <w:color w:val="000000"/>
          <w:spacing w:val="-2"/>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Heading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827FB8">
      <w:pPr>
        <w:pStyle w:val="Heading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8">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9"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0"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66E8346C" w14:textId="4B3B7B66" w:rsidR="00732E46" w:rsidRDefault="00DB3364" w:rsidP="00DB3364">
      <w:pPr>
        <w:pStyle w:val="Heading2"/>
        <w:numPr>
          <w:ilvl w:val="0"/>
          <w:numId w:val="0"/>
        </w:numPr>
      </w:pPr>
      <w:r>
        <w:t xml:space="preserve">A. </w:t>
      </w:r>
      <w:r w:rsidR="000F2C11">
        <w:t>Equations</w:t>
      </w:r>
    </w:p>
    <w:p w14:paraId="752FF10B" w14:textId="712765E8" w:rsidR="00732E46" w:rsidRDefault="000F2C11" w:rsidP="007B62A7">
      <w:pPr>
        <w:widowControl w:val="0"/>
        <w:pBdr>
          <w:top w:val="nil"/>
          <w:left w:val="nil"/>
          <w:bottom w:val="nil"/>
          <w:right w:val="nil"/>
          <w:between w:val="nil"/>
        </w:pBdr>
        <w:spacing w:line="252" w:lineRule="auto"/>
        <w:ind w:firstLine="202"/>
        <w:jc w:val="both"/>
      </w:pPr>
      <w:r w:rsidRPr="007B62A7">
        <w:rPr>
          <w:color w:val="000000"/>
        </w:rPr>
        <w:t>Number</w:t>
      </w:r>
      <w:r>
        <w:t xml:space="preserve"> equations consecutively with equation numbers in parentheses flush with the right margin of the column, as in (1). First use the equation editor to create the equation. Then </w:t>
      </w:r>
      <w:r w:rsidR="005E2D10">
        <w:t xml:space="preserve">select </w:t>
      </w:r>
      <w:r>
        <w:t xml:space="preserve">the “Equation” markup style. Press the tab key and write the equation </w:t>
      </w:r>
      <w:r w:rsidRPr="00A65256">
        <w:rPr>
          <w:color w:val="000000"/>
        </w:rPr>
        <w:t>number</w:t>
      </w:r>
      <w:r>
        <w:t xml:space="preserve">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A65256">
      <w:pPr>
        <w:widowControl w:val="0"/>
        <w:pBdr>
          <w:top w:val="nil"/>
          <w:left w:val="nil"/>
          <w:bottom w:val="nil"/>
          <w:right w:val="nil"/>
          <w:between w:val="nil"/>
        </w:pBdr>
        <w:spacing w:before="20" w:line="252" w:lineRule="auto"/>
        <w:ind w:firstLine="202"/>
        <w:jc w:val="both"/>
        <w:rPr>
          <w:color w:val="000000"/>
        </w:rPr>
      </w:pPr>
    </w:p>
    <w:p w14:paraId="0ACC2F98" w14:textId="19C7688C"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233DFA19" w14:textId="77777777" w:rsidR="00031B79" w:rsidRDefault="00031B79" w:rsidP="00A65256">
      <w:pPr>
        <w:widowControl w:val="0"/>
        <w:pBdr>
          <w:top w:val="nil"/>
          <w:left w:val="nil"/>
          <w:bottom w:val="nil"/>
          <w:right w:val="nil"/>
          <w:between w:val="nil"/>
        </w:pBdr>
        <w:spacing w:before="20" w:line="252" w:lineRule="auto"/>
        <w:ind w:firstLine="202"/>
        <w:jc w:val="both"/>
        <w:rPr>
          <w:color w:val="000000"/>
        </w:rPr>
      </w:pPr>
    </w:p>
    <w:p w14:paraId="120293A3" w14:textId="6A5811A3" w:rsidR="002947C5" w:rsidRPr="00D050EC" w:rsidRDefault="002947C5" w:rsidP="00D050EC">
      <w:pPr>
        <w:pStyle w:val="Heading2"/>
        <w:numPr>
          <w:ilvl w:val="0"/>
          <w:numId w:val="0"/>
        </w:numPr>
      </w:pPr>
      <w:r w:rsidRPr="00D050EC">
        <w:t>B. Algorithms</w:t>
      </w:r>
    </w:p>
    <w:p w14:paraId="4FA98CB4" w14:textId="19008C93" w:rsidR="002947C5" w:rsidRDefault="002947C5" w:rsidP="00D050EC">
      <w:pPr>
        <w:pStyle w:val="Text"/>
        <w:rPr>
          <w:color w:val="000000"/>
        </w:rPr>
      </w:pPr>
      <w:r>
        <w:t>Algorithms should be numbered and include a short title.</w:t>
      </w:r>
      <w:r w:rsidR="007A2DEB">
        <w:t xml:space="preserve"> </w:t>
      </w:r>
      <w:r>
        <w:t>They are set off from the text with rules above and below the</w:t>
      </w:r>
      <w:r w:rsidR="00B05CCE">
        <w:t xml:space="preserve"> </w:t>
      </w:r>
      <w:r>
        <w:t>title and after the last line.</w:t>
      </w:r>
    </w:p>
    <w:p w14:paraId="43B7010B" w14:textId="6C3D3145" w:rsidR="00621141" w:rsidRDefault="00621141" w:rsidP="00621141">
      <w:pPr>
        <w:pStyle w:val="PARAIndent"/>
        <w:spacing w:before="240"/>
        <w:rPr>
          <w:rFonts w:eastAsia="NimbusRomNo9L-Regu"/>
          <w:lang w:eastAsia="en-IN"/>
        </w:rPr>
      </w:pPr>
      <w:r>
        <w:rPr>
          <w:noProof/>
        </w:rPr>
        <w:drawing>
          <wp:inline distT="0" distB="0" distL="0" distR="0" wp14:anchorId="02982399" wp14:editId="5A5865FC">
            <wp:extent cx="3063240" cy="1956714"/>
            <wp:effectExtent l="0" t="0" r="3810" b="5715"/>
            <wp:docPr id="1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ndesign Projects\005 Series\03 OA Word templates\Work\TJ\Work\Fig3.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3240" cy="1956714"/>
                    </a:xfrm>
                    <a:prstGeom prst="rect">
                      <a:avLst/>
                    </a:prstGeom>
                    <a:noFill/>
                    <a:ln>
                      <a:noFill/>
                    </a:ln>
                  </pic:spPr>
                </pic:pic>
              </a:graphicData>
            </a:graphic>
          </wp:inline>
        </w:drawing>
      </w:r>
    </w:p>
    <w:p w14:paraId="4F1C26D4" w14:textId="6629763D" w:rsidR="00732E46" w:rsidRPr="00621141" w:rsidRDefault="00DB3364" w:rsidP="00827FB8">
      <w:pPr>
        <w:pStyle w:val="Heading1"/>
      </w:pPr>
      <w:r w:rsidRPr="00621141">
        <w:t xml:space="preserve">IV. </w:t>
      </w:r>
      <w:r w:rsidR="000F2C11" w:rsidRPr="00621141">
        <w:t xml:space="preserve">Guidelines for Graphics Preparation </w:t>
      </w:r>
      <w:r w:rsidR="000F2C11" w:rsidRPr="00621141">
        <w:br/>
        <w:t>and Submission</w:t>
      </w:r>
    </w:p>
    <w:p w14:paraId="060A7626" w14:textId="029EA85A" w:rsidR="00732E46" w:rsidRDefault="00DB3364" w:rsidP="007E5119">
      <w:pPr>
        <w:pStyle w:val="Heading2"/>
        <w:numPr>
          <w:ilvl w:val="0"/>
          <w:numId w:val="0"/>
        </w:numPr>
        <w:spacing w:before="240"/>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076B9C40" w14:textId="3AD2E23E" w:rsidR="00732E46" w:rsidRPr="00DB3364" w:rsidRDefault="000F2C11" w:rsidP="00DB3364">
      <w:pPr>
        <w:pStyle w:val="ListParagraph"/>
        <w:numPr>
          <w:ilvl w:val="1"/>
          <w:numId w:val="10"/>
        </w:numPr>
        <w:rPr>
          <w:rFonts w:ascii="Times" w:eastAsia="Times" w:hAnsi="Times" w:cs="Times"/>
          <w:color w:val="000000"/>
        </w:rPr>
      </w:pPr>
      <w:r w:rsidRPr="00DB3364">
        <w:rPr>
          <w:b/>
        </w:rPr>
        <w:lastRenderedPageBreak/>
        <w:t>Color/Grayscale Figures</w:t>
      </w:r>
      <w:r w:rsidR="00DB3364">
        <w:br/>
      </w:r>
      <w:proofErr w:type="spellStart"/>
      <w:r w:rsidRPr="00DB3364">
        <w:rPr>
          <w:rFonts w:ascii="Times" w:eastAsia="Times" w:hAnsi="Times" w:cs="Times"/>
          <w:color w:val="000000"/>
        </w:rPr>
        <w:t>Figures</w:t>
      </w:r>
      <w:proofErr w:type="spellEnd"/>
      <w:r w:rsidRPr="00DB3364">
        <w:rPr>
          <w:rFonts w:ascii="Times" w:eastAsia="Times" w:hAnsi="Times" w:cs="Times"/>
          <w:color w:val="000000"/>
        </w:rPr>
        <w:t xml:space="preserve">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ListParagraph"/>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ListParagraph"/>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ListParagraph"/>
        <w:ind w:left="450"/>
        <w:rPr>
          <w:rFonts w:ascii="Times" w:eastAsia="Times" w:hAnsi="Times" w:cs="Times"/>
          <w:i/>
          <w:color w:val="000000"/>
        </w:rPr>
      </w:pPr>
    </w:p>
    <w:p w14:paraId="30945116" w14:textId="5B220BB5" w:rsidR="00732E46" w:rsidRPr="00DB3364" w:rsidRDefault="00DB3364" w:rsidP="00DB3364">
      <w:pPr>
        <w:pStyle w:val="Heading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Pr="00D050EC" w:rsidRDefault="005E2D10">
      <w:pPr>
        <w:ind w:firstLine="144"/>
        <w:jc w:val="both"/>
        <w:rPr>
          <w:rFonts w:ascii="Times" w:eastAsia="Times" w:hAnsi="Times" w:cs="Times"/>
          <w:color w:val="000000"/>
          <w:spacing w:val="-3"/>
        </w:rPr>
      </w:pPr>
      <w:r w:rsidRPr="00D050EC">
        <w:rPr>
          <w:rFonts w:ascii="Times" w:eastAsia="Times" w:hAnsi="Times" w:cs="Times"/>
          <w:color w:val="000000"/>
          <w:spacing w:val="-3"/>
        </w:rPr>
        <w:t>These are f</w:t>
      </w:r>
      <w:r w:rsidR="000F2C11" w:rsidRPr="00D050EC">
        <w:rPr>
          <w:rFonts w:ascii="Times" w:eastAsia="Times" w:hAnsi="Times" w:cs="Times"/>
          <w:color w:val="000000"/>
          <w:spacing w:val="-3"/>
        </w:rPr>
        <w:t>igures compiled of more than one sub-figure presented side-by-side or stacked. If a multipart figure is made up of multiple figure types (one part is line</w:t>
      </w:r>
      <w:r w:rsidR="001E7EDB" w:rsidRPr="00D050EC">
        <w:rPr>
          <w:rFonts w:ascii="Times" w:eastAsia="Times" w:hAnsi="Times" w:cs="Times"/>
          <w:color w:val="000000"/>
          <w:spacing w:val="-3"/>
        </w:rPr>
        <w:t xml:space="preserve"> </w:t>
      </w:r>
      <w:r w:rsidR="000F2C11" w:rsidRPr="00D050EC">
        <w:rPr>
          <w:rFonts w:ascii="Times" w:eastAsia="Times" w:hAnsi="Times" w:cs="Times"/>
          <w:color w:val="000000"/>
          <w:spacing w:val="-3"/>
        </w:rPr>
        <w:t>art, and another is grayscale or color), the figure should meet the stricter guidelines.</w:t>
      </w:r>
    </w:p>
    <w:p w14:paraId="4D21B673" w14:textId="77777777" w:rsidR="00031B79" w:rsidRDefault="00031B79" w:rsidP="00D050EC">
      <w:pPr>
        <w:rPr>
          <w:rFonts w:eastAsia="Times"/>
        </w:rPr>
      </w:pPr>
    </w:p>
    <w:p w14:paraId="6827CE4A" w14:textId="17DB14C9" w:rsidR="00732E46" w:rsidRDefault="00DB3364" w:rsidP="00DB3364">
      <w:pPr>
        <w:pStyle w:val="Heading2"/>
        <w:numPr>
          <w:ilvl w:val="0"/>
          <w:numId w:val="0"/>
        </w:numPr>
        <w:jc w:val="both"/>
      </w:pPr>
      <w:r>
        <w:t xml:space="preserve">C. </w:t>
      </w:r>
      <w:r w:rsidR="000F2C11">
        <w:t>File Formats for Graphics</w:t>
      </w:r>
    </w:p>
    <w:p w14:paraId="5A21ED3C" w14:textId="7414B27A" w:rsidR="00732E46" w:rsidRPr="00D050EC" w:rsidRDefault="000F2C11">
      <w:pPr>
        <w:ind w:firstLine="144"/>
        <w:jc w:val="both"/>
        <w:rPr>
          <w:spacing w:val="-3"/>
        </w:rPr>
      </w:pPr>
      <w:r w:rsidRPr="00D050EC">
        <w:rPr>
          <w:spacing w:val="-3"/>
        </w:rP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rsidRPr="00D050EC">
        <w:rPr>
          <w:spacing w:val="-3"/>
        </w:rPr>
        <w:t>. These programs can</w:t>
      </w:r>
      <w:r w:rsidRPr="00D050EC">
        <w:rPr>
          <w:spacing w:val="-3"/>
        </w:rPr>
        <w:t xml:space="preserve"> </w:t>
      </w:r>
      <w:r w:rsidR="00DB3364" w:rsidRPr="00D050EC">
        <w:rPr>
          <w:spacing w:val="-3"/>
        </w:rPr>
        <w:t>re-</w:t>
      </w:r>
      <w:r w:rsidRPr="00D050EC">
        <w:rPr>
          <w:spacing w:val="-3"/>
        </w:rP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Heading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rsidP="00A65256">
      <w:pPr>
        <w:spacing w:before="20"/>
        <w:ind w:firstLine="144"/>
        <w:jc w:val="both"/>
        <w:rPr>
          <w:rFonts w:ascii="Times" w:eastAsia="Times" w:hAnsi="Times" w:cs="Times"/>
          <w:color w:val="000000"/>
        </w:rPr>
      </w:pPr>
    </w:p>
    <w:p w14:paraId="276C6666" w14:textId="1BA9AADD" w:rsidR="00732E46" w:rsidRDefault="00DB3364" w:rsidP="00DB3364">
      <w:pPr>
        <w:pStyle w:val="Heading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345C8FB4" w14:textId="53E98DC7"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rsidP="00A65256">
      <w:pPr>
        <w:spacing w:before="20"/>
        <w:ind w:firstLine="144"/>
        <w:jc w:val="both"/>
      </w:pPr>
    </w:p>
    <w:p w14:paraId="039DC15F" w14:textId="58038E84"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Pr="00D050EC" w:rsidRDefault="000F2C11">
      <w:pPr>
        <w:ind w:firstLine="144"/>
        <w:jc w:val="both"/>
        <w:rPr>
          <w:rFonts w:ascii="Times" w:eastAsia="Times" w:hAnsi="Times" w:cs="Times"/>
          <w:color w:val="000000"/>
          <w:spacing w:val="-2"/>
        </w:rPr>
      </w:pPr>
      <w:r w:rsidRPr="00D050EC">
        <w:rPr>
          <w:rFonts w:ascii="Times" w:eastAsia="Times" w:hAnsi="Times" w:cs="Times"/>
          <w:color w:val="000000"/>
          <w:spacing w:val="-2"/>
        </w:rPr>
        <w:t xml:space="preserve">All color figures should be generated in RGB or CMYK color space. Grayscale images should be submitted in </w:t>
      </w:r>
      <w:r w:rsidRPr="00D050EC">
        <w:rPr>
          <w:rFonts w:ascii="Times" w:eastAsia="Times" w:hAnsi="Times" w:cs="Times"/>
          <w:spacing w:val="-2"/>
        </w:rPr>
        <w:t>g</w:t>
      </w:r>
      <w:r w:rsidRPr="00D050EC">
        <w:rPr>
          <w:rFonts w:ascii="Times" w:eastAsia="Times" w:hAnsi="Times" w:cs="Times"/>
          <w:color w:val="000000"/>
          <w:spacing w:val="-2"/>
        </w:rPr>
        <w:t xml:space="preserve">rayscale color space. Line art may be provided in grayscale OR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xml:space="preserve">. Note that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and “bitmap file format” are not the same thing. When bitmap color space is selected, .TIF/.TIFF/.PNG are the recommended file formats.</w:t>
      </w:r>
    </w:p>
    <w:p w14:paraId="7691E2B0" w14:textId="77777777" w:rsidR="001F512A" w:rsidRDefault="001F512A" w:rsidP="002F221E">
      <w:pPr>
        <w:spacing w:before="30"/>
        <w:ind w:firstLine="144"/>
        <w:jc w:val="both"/>
        <w:rPr>
          <w:rFonts w:ascii="Times" w:eastAsia="Times" w:hAnsi="Times" w:cs="Times"/>
          <w:color w:val="000000"/>
        </w:rPr>
      </w:pPr>
    </w:p>
    <w:p w14:paraId="5A5C8F87" w14:textId="68A28CE5" w:rsidR="00732E46" w:rsidRDefault="00DB3364" w:rsidP="00DB3364">
      <w:pPr>
        <w:pStyle w:val="Heading2"/>
        <w:numPr>
          <w:ilvl w:val="0"/>
          <w:numId w:val="0"/>
        </w:numPr>
      </w:pPr>
      <w:r>
        <w:t xml:space="preserve">H. </w:t>
      </w:r>
      <w:r w:rsidR="000F2C11">
        <w:t>Accepted Fonts Within Figures</w:t>
      </w:r>
    </w:p>
    <w:p w14:paraId="2BFB0E7A" w14:textId="77777777" w:rsidR="00732E46" w:rsidRPr="00F33F99" w:rsidRDefault="000F2C11" w:rsidP="00D050EC">
      <w:pPr>
        <w:ind w:firstLine="144"/>
        <w:jc w:val="both"/>
        <w:rPr>
          <w:rFonts w:eastAsia="Times"/>
        </w:rPr>
      </w:pPr>
      <w:r w:rsidRPr="000D4F4C">
        <w:rPr>
          <w:rFonts w:eastAsia="Times"/>
        </w:rPr>
        <w:t xml:space="preserve">When preparing your graphics, IEEE suggests that you </w:t>
      </w:r>
      <w:r w:rsidRPr="008856C3">
        <w:rPr>
          <w:rFonts w:eastAsia="Times"/>
        </w:rPr>
        <w:t>use one</w:t>
      </w:r>
      <w:r w:rsidRPr="00F33F99">
        <w:rPr>
          <w:rFonts w:eastAsia="Times"/>
        </w:rPr>
        <w:t xml:space="preserv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D050EC">
      <w:pPr>
        <w:ind w:firstLine="144"/>
        <w:jc w:val="both"/>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0968E1">
      <w:pPr>
        <w:spacing w:before="20"/>
        <w:ind w:firstLine="144"/>
        <w:jc w:val="both"/>
        <w:rPr>
          <w:rFonts w:ascii="Times" w:eastAsia="Times" w:hAnsi="Times" w:cs="Times"/>
          <w:color w:val="000000"/>
          <w:sz w:val="22"/>
          <w:szCs w:val="22"/>
        </w:rPr>
      </w:pPr>
    </w:p>
    <w:p w14:paraId="09BE84DC" w14:textId="26A3FAFD" w:rsidR="00732E46" w:rsidRDefault="00DB3364" w:rsidP="00DB3364">
      <w:pPr>
        <w:pStyle w:val="Heading2"/>
        <w:numPr>
          <w:ilvl w:val="0"/>
          <w:numId w:val="0"/>
        </w:numPr>
      </w:pPr>
      <w:r>
        <w:t xml:space="preserve">I. </w:t>
      </w:r>
      <w:r w:rsidR="000F2C11">
        <w:t>Using Labels Within Figures</w:t>
      </w:r>
    </w:p>
    <w:p w14:paraId="57E960B8" w14:textId="77777777" w:rsidR="00E653B5" w:rsidRDefault="000F2C11" w:rsidP="00DB3364">
      <w:pPr>
        <w:pStyle w:val="ListParagraph"/>
        <w:numPr>
          <w:ilvl w:val="0"/>
          <w:numId w:val="11"/>
        </w:numPr>
        <w:ind w:left="540"/>
      </w:pPr>
      <w:r w:rsidRPr="00EF6430">
        <w:rPr>
          <w:b/>
        </w:rPr>
        <w:t>Figure Axis Labels</w:t>
      </w:r>
    </w:p>
    <w:p w14:paraId="301C6715" w14:textId="77777777" w:rsidR="007054D1" w:rsidRPr="00F33F99" w:rsidRDefault="000F2C11" w:rsidP="007054D1">
      <w:pPr>
        <w:pStyle w:val="ListParagraph"/>
        <w:numPr>
          <w:ilvl w:val="1"/>
          <w:numId w:val="11"/>
        </w:numPr>
        <w:jc w:val="both"/>
      </w:pPr>
      <w:r w:rsidRPr="000D4F4C">
        <w:rPr>
          <w:color w:val="000000"/>
        </w:rPr>
        <w:t xml:space="preserve">Figure axis labels are often a source of confusion. Use words rather than symbols. As an example, write the quantity “Magnetization” or “Magnetization </w:t>
      </w:r>
      <w:r w:rsidRPr="008856C3">
        <w:rPr>
          <w:i/>
          <w:color w:val="000000"/>
        </w:rPr>
        <w:t>M</w:t>
      </w:r>
      <w:r w:rsidRPr="008856C3">
        <w:rPr>
          <w:color w:val="000000"/>
        </w:rPr>
        <w:t>,” not just “</w:t>
      </w:r>
      <w:r w:rsidRPr="00F33F99">
        <w:rPr>
          <w:i/>
          <w:color w:val="000000"/>
        </w:rPr>
        <w:t>M</w:t>
      </w:r>
      <w:r w:rsidRPr="00F33F99">
        <w:rPr>
          <w:color w:val="000000"/>
        </w:rPr>
        <w:t xml:space="preserve">.” Put units in parentheses. Do not label axes only with units. </w:t>
      </w:r>
      <w:r w:rsidR="00A6122B" w:rsidRPr="00F33F99">
        <w:rPr>
          <w:color w:val="000000"/>
        </w:rPr>
        <w:t>For</w:t>
      </w:r>
      <w:r w:rsidRPr="00F33F99">
        <w:rPr>
          <w:color w:val="000000"/>
        </w:rPr>
        <w:t xml:space="preserve"> example, write “Magnetization (A/m)” or “Magnetization (A</w:t>
      </w:r>
      <w:r w:rsidR="00E625A7" w:rsidRPr="00D050EC">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15pt;height:6.15pt;mso-width-percent:0;mso-height-percent:0;mso-width-percent:0;mso-height-percent:0" o:ole="" fillcolor="window">
            <v:imagedata r:id="rId23" o:title=""/>
          </v:shape>
          <o:OLEObject Type="Embed" ProgID="Equation.3" ShapeID="_x0000_i1025" DrawAspect="Content" ObjectID="_1739170244" r:id="rId24"/>
        </w:object>
      </w:r>
      <w:r w:rsidRPr="00F33F99">
        <w:rPr>
          <w:color w:val="000000"/>
        </w:rPr>
        <w:t>m</w:t>
      </w:r>
      <w:r w:rsidRPr="00F33F99">
        <w:rPr>
          <w:rFonts w:ascii="Cambria Math" w:eastAsia="Symbol" w:hAnsi="Cambria Math" w:cs="Cambria Math"/>
          <w:color w:val="000000"/>
          <w:vertAlign w:val="superscript"/>
        </w:rPr>
        <w:t>−</w:t>
      </w:r>
      <w:r w:rsidRPr="00F33F99">
        <w:rPr>
          <w:color w:val="000000"/>
          <w:vertAlign w:val="superscript"/>
        </w:rPr>
        <w:t>1</w:t>
      </w:r>
      <w:r w:rsidRPr="00F33F99">
        <w:rPr>
          <w:color w:val="000000"/>
        </w:rPr>
        <w:t>),” not just “A/m.” Do not label axes with a ratio of quantities and units. For example, write “Temperature (K),” not “Temperature/K.”</w:t>
      </w:r>
    </w:p>
    <w:p w14:paraId="6D4A7B0E" w14:textId="0ACE86F7" w:rsidR="00732E46" w:rsidRPr="00D050EC" w:rsidRDefault="000F2C11" w:rsidP="007054D1">
      <w:pPr>
        <w:pStyle w:val="ListParagraph"/>
        <w:numPr>
          <w:ilvl w:val="1"/>
          <w:numId w:val="11"/>
        </w:numPr>
        <w:jc w:val="both"/>
        <w:rPr>
          <w:spacing w:val="-3"/>
        </w:rPr>
      </w:pPr>
      <w:r w:rsidRPr="00D050EC">
        <w:rPr>
          <w:spacing w:val="-3"/>
        </w:rPr>
        <w:t>Multipliers can be especially confusing. Write “Magnetization (kA/m)” or “Magnetization (10</w:t>
      </w:r>
      <w:r w:rsidRPr="00D050EC">
        <w:rPr>
          <w:spacing w:val="-3"/>
          <w:vertAlign w:val="superscript"/>
        </w:rPr>
        <w:t>3</w:t>
      </w:r>
      <w:r w:rsidRPr="00D050EC">
        <w:rPr>
          <w:spacing w:val="-3"/>
        </w:rPr>
        <w:t xml:space="preserve"> A/m).” Do not write “Magnetization (A/m) × 1000” because the reader would not know whether the top axis label </w:t>
      </w:r>
      <w:r w:rsidR="00A6122B" w:rsidRPr="00D050EC">
        <w:rPr>
          <w:spacing w:val="-3"/>
        </w:rPr>
        <w:t>means</w:t>
      </w:r>
      <w:r w:rsidRPr="00D050EC">
        <w:rPr>
          <w:spacing w:val="-3"/>
        </w:rPr>
        <w:t xml:space="preserve"> 16000 A/m or 0.016 A/m. Figure labels should be legible, approximately 8- to 10-point type.</w:t>
      </w:r>
    </w:p>
    <w:p w14:paraId="5D5FC1EB" w14:textId="77777777" w:rsidR="00732E46" w:rsidRDefault="00732E46" w:rsidP="00A65256">
      <w:pPr>
        <w:pStyle w:val="ListParagraph"/>
        <w:spacing w:before="40"/>
        <w:ind w:left="0"/>
        <w:contextualSpacing w:val="0"/>
        <w:jc w:val="both"/>
        <w:rPr>
          <w:rFonts w:ascii="Times" w:eastAsia="Times" w:hAnsi="Times" w:cs="Times"/>
          <w:color w:val="000000"/>
        </w:rPr>
      </w:pPr>
    </w:p>
    <w:p w14:paraId="19090765" w14:textId="77777777" w:rsidR="00E653B5" w:rsidRPr="00E653B5" w:rsidRDefault="000F2C11" w:rsidP="00EF6430">
      <w:pPr>
        <w:pStyle w:val="ListParagraph"/>
        <w:numPr>
          <w:ilvl w:val="0"/>
          <w:numId w:val="11"/>
        </w:numPr>
        <w:ind w:left="540"/>
      </w:pPr>
      <w:r w:rsidRPr="00EF6430">
        <w:rPr>
          <w:b/>
        </w:rPr>
        <w:t>Subfigure Labels in Multipart Figures and Tables</w:t>
      </w:r>
    </w:p>
    <w:p w14:paraId="20C20803" w14:textId="666703C8" w:rsidR="00732E46" w:rsidRDefault="000F2C11" w:rsidP="00E653B5">
      <w:pPr>
        <w:pStyle w:val="ListParagraph"/>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568DB727" w14:textId="678CEB8E" w:rsidR="00732E46" w:rsidRPr="00EF6430" w:rsidRDefault="00EF6430" w:rsidP="007B62A7">
      <w:pPr>
        <w:pStyle w:val="Heading2"/>
        <w:numPr>
          <w:ilvl w:val="0"/>
          <w:numId w:val="0"/>
        </w:numPr>
        <w:rPr>
          <w:rFonts w:eastAsia="Cambria"/>
        </w:rPr>
      </w:pPr>
      <w:r w:rsidRPr="00EF6430">
        <w:rPr>
          <w:rFonts w:eastAsia="Cambria"/>
        </w:rPr>
        <w:lastRenderedPageBreak/>
        <w:t xml:space="preserve">J. </w:t>
      </w:r>
      <w:r w:rsidR="000F2C11" w:rsidRPr="00EF6430">
        <w:rPr>
          <w:rFonts w:eastAsia="Cambria"/>
        </w:rPr>
        <w:t xml:space="preserve">Referencing a Figure or </w:t>
      </w:r>
      <w:r w:rsidR="000F2C11" w:rsidRPr="007B62A7">
        <w:rPr>
          <w:rFonts w:eastAsia="Cambria"/>
        </w:rPr>
        <w:t>Table</w:t>
      </w:r>
      <w:r w:rsidR="000F2C11" w:rsidRPr="00EF6430">
        <w:rPr>
          <w:rFonts w:eastAsia="Cambria"/>
        </w:rPr>
        <w:t xml:space="preserve"> Within Your 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57BA5642" w:rsidR="00732E46" w:rsidRDefault="00732E46" w:rsidP="00A65256">
      <w:pPr>
        <w:spacing w:before="40"/>
        <w:jc w:val="both"/>
      </w:pPr>
    </w:p>
    <w:p w14:paraId="1A8F8753" w14:textId="1C6131EF" w:rsidR="00732E46" w:rsidRDefault="00EF6430" w:rsidP="00827FB8">
      <w:pPr>
        <w:pStyle w:val="Heading2"/>
        <w:numPr>
          <w:ilvl w:val="0"/>
          <w:numId w:val="0"/>
        </w:numPr>
        <w:spacing w:before="100"/>
        <w:jc w:val="both"/>
      </w:pPr>
      <w:r>
        <w:t xml:space="preserve">K. </w:t>
      </w:r>
      <w:r w:rsidR="000F2C11">
        <w:t>Submitting Your Graphics</w:t>
      </w:r>
    </w:p>
    <w:p w14:paraId="0F4737FF" w14:textId="77777777" w:rsidR="00732E46" w:rsidRPr="00D050EC" w:rsidRDefault="000F2C11">
      <w:pPr>
        <w:ind w:firstLine="144"/>
        <w:jc w:val="both"/>
        <w:rPr>
          <w:spacing w:val="-2"/>
        </w:rPr>
      </w:pPr>
      <w:r w:rsidRPr="00D050EC">
        <w:rPr>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sidRPr="00D050EC">
        <w:rPr>
          <w:spacing w:val="-2"/>
          <w:highlight w:val="white"/>
        </w:rPr>
        <w:t>e.</w:t>
      </w:r>
      <w:r w:rsidRPr="00D050EC">
        <w:rPr>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E6438C" w:rsidR="00732E46" w:rsidRDefault="00732E46" w:rsidP="00A65256">
      <w:pPr>
        <w:spacing w:before="40"/>
        <w:jc w:val="both"/>
      </w:pPr>
    </w:p>
    <w:p w14:paraId="29A5BA9E" w14:textId="11B1C491" w:rsidR="00732E46" w:rsidRDefault="00EF6430" w:rsidP="00827FB8">
      <w:pPr>
        <w:pStyle w:val="Heading2"/>
        <w:numPr>
          <w:ilvl w:val="0"/>
          <w:numId w:val="0"/>
        </w:numPr>
        <w:spacing w:before="100"/>
        <w:rPr>
          <w:i w:val="0"/>
        </w:rPr>
      </w:pPr>
      <w:r>
        <w:t xml:space="preserve">L. </w:t>
      </w:r>
      <w:r w:rsidR="000F2C11">
        <w:t xml:space="preserve">Color Processing / Printing in IEEE Transactions, Journals, </w:t>
      </w:r>
      <w:r w:rsidR="000F2C11" w:rsidRPr="007B62A7">
        <w:t>and</w:t>
      </w:r>
      <w:r w:rsidR="000F2C11">
        <w:t xml:space="preserve"> Letters</w:t>
      </w:r>
    </w:p>
    <w:p w14:paraId="55F51617" w14:textId="77777777" w:rsidR="00732E46" w:rsidRDefault="000F2C11">
      <w:pPr>
        <w:ind w:firstLine="144"/>
        <w:jc w:val="both"/>
        <w:rPr>
          <w:rFonts w:ascii="Times" w:eastAsia="Times" w:hAnsi="Times" w:cs="Times"/>
          <w:color w:val="000000"/>
        </w:rPr>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0F2C11" w:rsidRPr="00D050EC">
        <w:rPr>
          <w:smallCaps/>
          <w:color w:val="000000"/>
        </w:rPr>
        <w:t>Conclusion</w:t>
      </w:r>
    </w:p>
    <w:p w14:paraId="64E169CA" w14:textId="77777777" w:rsidR="00C54B70" w:rsidRDefault="000F2C11" w:rsidP="007B62A7">
      <w:pPr>
        <w:ind w:firstLine="144"/>
        <w:jc w:val="both"/>
      </w:pPr>
      <w:r>
        <w:t xml:space="preserve">A conclusion section is not required. Although a conclusion may review the main points of the article, do not </w:t>
      </w:r>
      <w:r w:rsidRPr="007B62A7">
        <w:rPr>
          <w:rFonts w:ascii="Times" w:eastAsia="Times" w:hAnsi="Times" w:cs="Times"/>
          <w:color w:val="000000"/>
        </w:rPr>
        <w:t>replicate</w:t>
      </w:r>
      <w:r>
        <w:t xml:space="preserve"> the abstract as the conclusion. A conclusion might elaborate on the importance of the work or suggest applications and extensions.</w:t>
      </w:r>
    </w:p>
    <w:p w14:paraId="52521F00" w14:textId="77777777" w:rsidR="00732E46" w:rsidRPr="00D050EC" w:rsidRDefault="000F2C11" w:rsidP="00827FB8">
      <w:pPr>
        <w:pStyle w:val="Heading1"/>
      </w:pPr>
      <w:r w:rsidRPr="00D050EC">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74726847" w14:textId="77777777" w:rsidR="00732E46" w:rsidRPr="00F33F99" w:rsidRDefault="000F2C11" w:rsidP="00827FB8">
      <w:pPr>
        <w:pStyle w:val="Heading1"/>
      </w:pPr>
      <w:bookmarkStart w:id="2" w:name="_heading=h.ji51hl1e8dp3" w:colFirst="0" w:colLast="0"/>
      <w:bookmarkEnd w:id="2"/>
      <w:r w:rsidRPr="00F33F99">
        <w:t>References and Footnotes</w:t>
      </w:r>
    </w:p>
    <w:p w14:paraId="6417537E" w14:textId="3B3D54D6" w:rsidR="00732E46" w:rsidRDefault="00EF6430" w:rsidP="00827FB8">
      <w:pPr>
        <w:pStyle w:val="Heading2"/>
        <w:numPr>
          <w:ilvl w:val="0"/>
          <w:numId w:val="0"/>
        </w:numPr>
        <w:tabs>
          <w:tab w:val="left" w:pos="180"/>
        </w:tabs>
        <w:spacing w:before="140"/>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Pr="00D050EC" w:rsidRDefault="000F2C11">
      <w:pPr>
        <w:widowControl w:val="0"/>
        <w:pBdr>
          <w:top w:val="nil"/>
          <w:left w:val="nil"/>
          <w:bottom w:val="nil"/>
          <w:right w:val="nil"/>
          <w:between w:val="nil"/>
        </w:pBdr>
        <w:spacing w:line="252" w:lineRule="auto"/>
        <w:ind w:firstLine="144"/>
        <w:jc w:val="both"/>
        <w:rPr>
          <w:color w:val="000000"/>
          <w:spacing w:val="-4"/>
        </w:rPr>
      </w:pPr>
      <w:r w:rsidRPr="00D050EC">
        <w:rPr>
          <w:color w:val="000000"/>
          <w:spacing w:val="-4"/>
        </w:rPr>
        <w:t xml:space="preserve">Reference numbers are set flush left and form a column of their own, hanging out beyond the body of the reference. The reference numbers are on the line, enclosed in square brackets. In all </w:t>
      </w:r>
      <w:r w:rsidRPr="00D050EC">
        <w:rPr>
          <w:color w:val="000000"/>
          <w:spacing w:val="-4"/>
        </w:rPr>
        <w:t xml:space="preserve">references, the given name of the author or editor is abbreviated to the initial only and precedes the last name. Use them all; use </w:t>
      </w:r>
      <w:r w:rsidRPr="00D050EC">
        <w:rPr>
          <w:i/>
          <w:color w:val="000000"/>
          <w:spacing w:val="-4"/>
        </w:rPr>
        <w:t>et al</w:t>
      </w:r>
      <w:r w:rsidRPr="00D050EC">
        <w:rPr>
          <w:color w:val="000000"/>
          <w:spacing w:val="-4"/>
        </w:rPr>
        <w:t>. only if names are not given or if t</w:t>
      </w:r>
      <w:r w:rsidRPr="00D050EC">
        <w:rPr>
          <w:spacing w:val="-4"/>
        </w:rPr>
        <w:t>here are more than 6 authors</w:t>
      </w:r>
      <w:r w:rsidRPr="00D050EC">
        <w:rPr>
          <w:color w:val="000000"/>
          <w:spacing w:val="-4"/>
        </w:rPr>
        <w:t xml:space="preserve">. Use commas around Jr., Sr., and III in names. Abbreviate conference titles. When citing IEEE </w:t>
      </w:r>
      <w:r w:rsidRPr="00D050EC">
        <w:rPr>
          <w:spacing w:val="-4"/>
        </w:rPr>
        <w:t>T</w:t>
      </w:r>
      <w:r w:rsidRPr="00D050EC">
        <w:rPr>
          <w:color w:val="000000"/>
          <w:spacing w:val="-4"/>
        </w:rPr>
        <w:t xml:space="preserve">ransactions, provide the issue number, page range, volume number, </w:t>
      </w:r>
      <w:r w:rsidRPr="00D050EC">
        <w:rPr>
          <w:spacing w:val="-4"/>
        </w:rPr>
        <w:t xml:space="preserve">month if available, and </w:t>
      </w:r>
      <w:r w:rsidRPr="00D050EC">
        <w:rPr>
          <w:color w:val="000000"/>
          <w:spacing w:val="-4"/>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Pr="00D050EC" w:rsidRDefault="000F2C11">
      <w:pPr>
        <w:widowControl w:val="0"/>
        <w:pBdr>
          <w:top w:val="nil"/>
          <w:left w:val="nil"/>
          <w:bottom w:val="nil"/>
          <w:right w:val="nil"/>
          <w:between w:val="nil"/>
        </w:pBdr>
        <w:spacing w:line="252" w:lineRule="auto"/>
        <w:ind w:firstLine="144"/>
        <w:jc w:val="both"/>
        <w:rPr>
          <w:color w:val="000000"/>
          <w:spacing w:val="-2"/>
        </w:rPr>
      </w:pPr>
      <w:r w:rsidRPr="00D050EC">
        <w:rPr>
          <w:color w:val="000000"/>
          <w:spacing w:val="-2"/>
        </w:rPr>
        <w:t xml:space="preserve">Other than books, capitalize only the first word in </w:t>
      </w:r>
      <w:r w:rsidRPr="00D050EC">
        <w:rPr>
          <w:spacing w:val="-2"/>
        </w:rPr>
        <w:t>an article</w:t>
      </w:r>
      <w:r w:rsidRPr="00D050EC">
        <w:rPr>
          <w:color w:val="000000"/>
          <w:spacing w:val="-2"/>
        </w:rPr>
        <w:t xml:space="preserve"> title, except for proper nouns and element symbols. For </w:t>
      </w:r>
      <w:r w:rsidRPr="00D050EC">
        <w:rPr>
          <w:spacing w:val="-2"/>
        </w:rPr>
        <w:t xml:space="preserve">articles </w:t>
      </w:r>
      <w:r w:rsidRPr="00D050EC">
        <w:rPr>
          <w:color w:val="000000"/>
          <w:spacing w:val="-2"/>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D050EC">
        <w:rPr>
          <w:i/>
          <w:iCs/>
          <w:color w:val="000000"/>
          <w:spacing w:val="-2"/>
        </w:rPr>
        <w:t xml:space="preserve">IEEE Editorial </w:t>
      </w:r>
      <w:r w:rsidRPr="00D050EC">
        <w:rPr>
          <w:i/>
          <w:iCs/>
          <w:spacing w:val="-2"/>
        </w:rPr>
        <w:t>S</w:t>
      </w:r>
      <w:r w:rsidRPr="00D050EC">
        <w:rPr>
          <w:i/>
          <w:iCs/>
          <w:color w:val="000000"/>
          <w:spacing w:val="-2"/>
        </w:rPr>
        <w:t xml:space="preserve">tyle </w:t>
      </w:r>
      <w:r w:rsidRPr="00D050EC">
        <w:rPr>
          <w:i/>
          <w:iCs/>
          <w:spacing w:val="-2"/>
        </w:rPr>
        <w:t>M</w:t>
      </w:r>
      <w:r w:rsidRPr="00D050EC">
        <w:rPr>
          <w:i/>
          <w:iCs/>
          <w:color w:val="000000"/>
          <w:spacing w:val="-2"/>
        </w:rPr>
        <w:t>anual</w:t>
      </w:r>
      <w:r w:rsidRPr="00D050EC">
        <w:rPr>
          <w:color w:val="000000"/>
          <w:spacing w:val="-2"/>
        </w:rPr>
        <w:t xml:space="preserve"> </w:t>
      </w:r>
      <w:r w:rsidR="00A530D2" w:rsidRPr="00D050EC">
        <w:rPr>
          <w:i/>
          <w:iCs/>
          <w:color w:val="000000"/>
          <w:spacing w:val="-2"/>
        </w:rPr>
        <w:t xml:space="preserve">for Authors </w:t>
      </w:r>
      <w:r w:rsidRPr="00D050EC">
        <w:rPr>
          <w:color w:val="000000"/>
          <w:spacing w:val="-2"/>
        </w:rPr>
        <w:t xml:space="preserve">at </w:t>
      </w:r>
      <w:hyperlink r:id="rId25">
        <w:r w:rsidRPr="00D050EC">
          <w:rPr>
            <w:color w:val="1155CC"/>
            <w:spacing w:val="-2"/>
            <w:sz w:val="19"/>
            <w:szCs w:val="19"/>
            <w:highlight w:val="white"/>
            <w:u w:val="single"/>
          </w:rPr>
          <w:t>https://journals.ieeeauthorcenter.ieee.org/create-your-ieee-journal-article/create-the-text-of-your-article/ieee-editorial-style-manual/</w:t>
        </w:r>
      </w:hyperlink>
      <w:r w:rsidRPr="00D050EC">
        <w:rPr>
          <w:color w:val="000000"/>
          <w:spacing w:val="-2"/>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Heading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827FB8">
      <w:pPr>
        <w:pStyle w:val="Heading1"/>
        <w:spacing w:before="220"/>
      </w:pPr>
      <w:r>
        <w:t xml:space="preserve">Submitting Your </w:t>
      </w:r>
      <w:r w:rsidR="00E57D3D" w:rsidRPr="00E57D3D">
        <w:t>Article</w:t>
      </w:r>
      <w:r w:rsidR="00E57D3D">
        <w:t xml:space="preserve"> </w:t>
      </w:r>
      <w:r>
        <w:t>for Review</w:t>
      </w:r>
    </w:p>
    <w:p w14:paraId="02AED5B9" w14:textId="281E4866" w:rsidR="00732E46" w:rsidRDefault="00EF6430" w:rsidP="00EF6430">
      <w:pPr>
        <w:pStyle w:val="Heading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7B62A7">
      <w:pPr>
        <w:tabs>
          <w:tab w:val="left" w:pos="360"/>
        </w:tabs>
        <w:ind w:firstLine="144"/>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6">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33C269C5" w:rsidR="00732E46" w:rsidRDefault="000F2C11" w:rsidP="00D050EC">
      <w:pPr>
        <w:ind w:firstLine="144"/>
        <w:jc w:val="both"/>
      </w:pPr>
      <w:r>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w:t>
      </w:r>
      <w:r w:rsidRPr="00D050EC">
        <w:rPr>
          <w:rFonts w:ascii="Times" w:eastAsia="Times" w:hAnsi="Times" w:cs="Times"/>
          <w:color w:val="000000"/>
        </w:rPr>
        <w:t>submission</w:t>
      </w:r>
      <w:r>
        <w:t xml:space="preserve">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w:t>
      </w:r>
      <w:r>
        <w:lastRenderedPageBreak/>
        <w:t xml:space="preserve">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4460738C" w:rsidR="00732E46" w:rsidRDefault="000F2C11" w:rsidP="00D050EC">
      <w:pPr>
        <w:ind w:firstLine="144"/>
        <w:jc w:val="both"/>
      </w:pP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Heading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rsidP="007B62A7">
      <w:pPr>
        <w:ind w:firstLine="144"/>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33D988D" w:rsidR="00732E46" w:rsidRDefault="000F2C11" w:rsidP="00D050EC">
      <w:pPr>
        <w:ind w:firstLine="144"/>
        <w:jc w:val="both"/>
      </w:pPr>
      <w:r>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5DC46466" w14:textId="618BA0BF" w:rsidR="00732E46" w:rsidRPr="00EC35CE" w:rsidRDefault="00EF6430" w:rsidP="008856C3">
      <w:pPr>
        <w:pStyle w:val="Heading2"/>
        <w:numPr>
          <w:ilvl w:val="0"/>
          <w:numId w:val="0"/>
        </w:numPr>
      </w:pPr>
      <w:r w:rsidRPr="008856C3">
        <w:t xml:space="preserve">C. </w:t>
      </w:r>
      <w:r w:rsidR="000F2C11" w:rsidRPr="008856C3">
        <w:t>Copyright Form</w:t>
      </w:r>
    </w:p>
    <w:p w14:paraId="524C8A86" w14:textId="7794EDF2" w:rsidR="00732E46" w:rsidRPr="006B68F3" w:rsidRDefault="000F2C11">
      <w:pPr>
        <w:widowControl w:val="0"/>
        <w:pBdr>
          <w:top w:val="nil"/>
          <w:left w:val="nil"/>
          <w:bottom w:val="nil"/>
          <w:right w:val="nil"/>
          <w:between w:val="nil"/>
        </w:pBdr>
        <w:spacing w:line="252" w:lineRule="auto"/>
        <w:ind w:firstLine="202"/>
        <w:jc w:val="both"/>
        <w:rPr>
          <w:color w:val="000000"/>
          <w:spacing w:val="-2"/>
        </w:rPr>
      </w:pPr>
      <w:r w:rsidRPr="006B68F3">
        <w:rPr>
          <w:color w:val="222222"/>
          <w:spacing w:val="-2"/>
          <w:highlight w:val="white"/>
        </w:rPr>
        <w:t>Authors must submit an electronic IEEE Copyright Form (</w:t>
      </w:r>
      <w:proofErr w:type="spellStart"/>
      <w:r w:rsidRPr="006B68F3">
        <w:rPr>
          <w:color w:val="222222"/>
          <w:spacing w:val="-2"/>
          <w:highlight w:val="white"/>
        </w:rPr>
        <w:t>eCF</w:t>
      </w:r>
      <w:proofErr w:type="spellEnd"/>
      <w:r w:rsidRPr="006B68F3">
        <w:rPr>
          <w:color w:val="222222"/>
          <w:spacing w:val="-2"/>
          <w:highlight w:val="white"/>
        </w:rPr>
        <w:t xml:space="preserve">) upon submitting their final manuscript files. You can access the </w:t>
      </w:r>
      <w:proofErr w:type="spellStart"/>
      <w:r w:rsidRPr="006B68F3">
        <w:rPr>
          <w:color w:val="222222"/>
          <w:spacing w:val="-2"/>
          <w:highlight w:val="white"/>
        </w:rPr>
        <w:t>eCF</w:t>
      </w:r>
      <w:proofErr w:type="spellEnd"/>
      <w:r w:rsidRPr="006B68F3">
        <w:rPr>
          <w:color w:val="222222"/>
          <w:spacing w:val="-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7" w:history="1">
        <w:r w:rsidR="006B68F3" w:rsidRPr="006B68F3">
          <w:rPr>
            <w:rStyle w:val="Hyperlink"/>
            <w:spacing w:val="-2"/>
            <w:highlight w:val="white"/>
          </w:rPr>
          <w:t>https://www.ieee.org/publications/rights/index.html</w:t>
        </w:r>
      </w:hyperlink>
      <w:hyperlink r:id="rId28">
        <w:r w:rsidRPr="006B68F3">
          <w:rPr>
            <w:color w:val="1155CC"/>
            <w:spacing w:val="-2"/>
            <w:highlight w:val="white"/>
            <w:u w:val="single"/>
          </w:rPr>
          <w:t xml:space="preserve"> </w:t>
        </w:r>
      </w:hyperlink>
    </w:p>
    <w:p w14:paraId="5D6B1EFA" w14:textId="77777777" w:rsidR="00732E46" w:rsidRDefault="000F2C11" w:rsidP="00827FB8">
      <w:pPr>
        <w:pStyle w:val="Heading1"/>
      </w:pPr>
      <w:r>
        <w:t>IEEE Guidelines and Policies</w:t>
      </w:r>
    </w:p>
    <w:p w14:paraId="71905707" w14:textId="400CA6B1" w:rsidR="00732E46" w:rsidRDefault="000F2C11" w:rsidP="007B62A7">
      <w:pPr>
        <w:widowControl w:val="0"/>
        <w:pBdr>
          <w:top w:val="nil"/>
          <w:left w:val="nil"/>
          <w:bottom w:val="nil"/>
          <w:right w:val="nil"/>
          <w:between w:val="nil"/>
        </w:pBdr>
        <w:spacing w:line="252" w:lineRule="auto"/>
        <w:ind w:firstLine="202"/>
        <w:jc w:val="both"/>
        <w:rPr>
          <w:color w:val="222222"/>
        </w:rPr>
      </w:pPr>
      <w:r>
        <w:rPr>
          <w:color w:val="222222"/>
          <w:highlight w:val="white"/>
        </w:rPr>
        <w:t xml:space="preserve">A full overview of IEEE publishing guidelines and policies can be found at </w:t>
      </w:r>
      <w:hyperlink r:id="rId29" w:history="1">
        <w:r w:rsidR="006F18B8" w:rsidRPr="006B7414">
          <w:rPr>
            <w:rStyle w:val="Hyperlink"/>
            <w:highlight w:val="white"/>
          </w:rPr>
          <w:t>https://journals.ieeeauthorcenter.ieee.org/</w:t>
        </w:r>
        <w:r w:rsidR="006F18B8" w:rsidRPr="006B7414">
          <w:rPr>
            <w:rStyle w:val="Hyperlink"/>
            <w:highlight w:val="white"/>
          </w:rPr>
          <w:br/>
          <w:t>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8F8D56C" w14:textId="77777777" w:rsidR="00D10AC8" w:rsidRDefault="00D10AC8" w:rsidP="00D10AC8">
      <w:pPr>
        <w:pStyle w:val="Heading1"/>
      </w:pPr>
      <w:r>
        <w:t>Acknowledgment</w:t>
      </w:r>
    </w:p>
    <w:p w14:paraId="40639FDE" w14:textId="52830495" w:rsidR="00D10AC8" w:rsidRDefault="00D10AC8" w:rsidP="007B62A7">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w:t>
      </w:r>
      <w:r>
        <w:rPr>
          <w:color w:val="000000"/>
        </w:rPr>
        <w:t xml:space="preserve">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75C35C47" w14:textId="77777777" w:rsidR="006B68F3" w:rsidRDefault="006B68F3" w:rsidP="00851B4D">
      <w:pPr>
        <w:spacing w:before="40"/>
        <w:rPr>
          <w:rFonts w:ascii="Times" w:eastAsia="Times" w:hAnsi="Times" w:cs="Times"/>
        </w:rPr>
      </w:pP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rsidP="00851B4D">
      <w:pPr>
        <w:spacing w:before="60"/>
        <w:rPr>
          <w:rFonts w:ascii="Times" w:eastAsia="Times" w:hAnsi="Times" w:cs="Times"/>
        </w:rPr>
      </w:pPr>
    </w:p>
    <w:p w14:paraId="4C6324DD" w14:textId="77777777" w:rsidR="00732E46" w:rsidRDefault="000F2C11">
      <w:pPr>
        <w:rPr>
          <w:i/>
        </w:rPr>
      </w:pPr>
      <w:r>
        <w:rPr>
          <w:i/>
        </w:rPr>
        <w:t>Examples:</w:t>
      </w:r>
    </w:p>
    <w:p w14:paraId="128A05AF" w14:textId="0AF91FFB" w:rsidR="00732E46" w:rsidRPr="00D050EC" w:rsidRDefault="00932FBA" w:rsidP="00D050EC">
      <w:pPr>
        <w:numPr>
          <w:ilvl w:val="0"/>
          <w:numId w:val="1"/>
        </w:numPr>
        <w:ind w:left="270" w:hanging="270"/>
        <w:jc w:val="both"/>
        <w:rPr>
          <w:sz w:val="16"/>
          <w:szCs w:val="16"/>
        </w:rPr>
      </w:pPr>
      <w:r w:rsidRPr="00D050EC">
        <w:rPr>
          <w:sz w:val="16"/>
          <w:szCs w:val="16"/>
        </w:rPr>
        <w:t xml:space="preserve">J. U. Duncombe, “Infrared navigation—Part I: An assessment of feasibility,” </w:t>
      </w:r>
      <w:r w:rsidRPr="00D050EC">
        <w:rPr>
          <w:i/>
          <w:sz w:val="16"/>
          <w:szCs w:val="16"/>
        </w:rPr>
        <w:t>IEEE Trans. Electron Devices</w:t>
      </w:r>
      <w:r w:rsidRPr="00D050EC">
        <w:rPr>
          <w:sz w:val="16"/>
          <w:szCs w:val="16"/>
        </w:rPr>
        <w:t xml:space="preserve">, vol. ED-11, no. 1, pp. 34–39, Jan. 1959, </w:t>
      </w:r>
      <w:proofErr w:type="spellStart"/>
      <w:r w:rsidRPr="00D050EC">
        <w:rPr>
          <w:sz w:val="16"/>
          <w:szCs w:val="16"/>
        </w:rPr>
        <w:t>doi</w:t>
      </w:r>
      <w:proofErr w:type="spellEnd"/>
      <w:r w:rsidRPr="00D050EC">
        <w:rPr>
          <w:sz w:val="16"/>
          <w:szCs w:val="16"/>
        </w:rPr>
        <w:t xml:space="preserve">: </w:t>
      </w:r>
      <w:r w:rsidRPr="00D050EC">
        <w:rPr>
          <w:rFonts w:eastAsia="Times"/>
          <w:sz w:val="16"/>
          <w:szCs w:val="16"/>
        </w:rPr>
        <w:t>10.1109/TED.2016.2628402</w:t>
      </w:r>
      <w:r w:rsidR="000F2C11" w:rsidRPr="00D050EC">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rsidP="00851B4D">
      <w:pPr>
        <w:spacing w:before="60"/>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2D123922" w:rsidR="00732E46" w:rsidRDefault="000F2C11">
      <w:pPr>
        <w:rPr>
          <w:rFonts w:ascii="Times" w:eastAsia="Times" w:hAnsi="Times" w:cs="Times"/>
          <w:i/>
          <w:sz w:val="16"/>
          <w:szCs w:val="16"/>
        </w:rPr>
      </w:pPr>
      <w:r>
        <w:rPr>
          <w:sz w:val="16"/>
          <w:szCs w:val="16"/>
        </w:rPr>
        <w:t xml:space="preserve">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rsidP="00851B4D">
      <w:pPr>
        <w:spacing w:before="60"/>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rsidP="00851B4D">
      <w:pPr>
        <w:spacing w:before="60"/>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rsidP="00851B4D">
      <w:pPr>
        <w:spacing w:before="60"/>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rsidP="00851B4D">
      <w:pPr>
        <w:spacing w:before="40"/>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lastRenderedPageBreak/>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2F269403"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1985, 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851B4D">
      <w:pPr>
        <w:numPr>
          <w:ilvl w:val="0"/>
          <w:numId w:val="1"/>
        </w:numPr>
        <w:pBdr>
          <w:top w:val="nil"/>
          <w:left w:val="nil"/>
          <w:bottom w:val="nil"/>
          <w:right w:val="nil"/>
          <w:between w:val="nil"/>
        </w:pBdr>
        <w:ind w:left="360"/>
        <w:jc w:val="both"/>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Pr="00C04F49" w:rsidRDefault="000F2C11" w:rsidP="00932FBA">
      <w:pPr>
        <w:keepLines/>
        <w:rPr>
          <w:spacing w:val="-2"/>
          <w:sz w:val="16"/>
          <w:szCs w:val="16"/>
        </w:rPr>
      </w:pPr>
      <w:r w:rsidRPr="00C04F49">
        <w:rPr>
          <w:spacing w:val="-2"/>
          <w:sz w:val="16"/>
          <w:szCs w:val="16"/>
        </w:rPr>
        <w:t xml:space="preserve">J. K. Author, “Title of patent,” U.S. Patent </w:t>
      </w:r>
      <w:r w:rsidRPr="00C04F49">
        <w:rPr>
          <w:i/>
          <w:spacing w:val="-2"/>
          <w:sz w:val="16"/>
          <w:szCs w:val="16"/>
        </w:rPr>
        <w:t xml:space="preserve">x xxx </w:t>
      </w:r>
      <w:proofErr w:type="spellStart"/>
      <w:r w:rsidRPr="00C04F49">
        <w:rPr>
          <w:i/>
          <w:spacing w:val="-2"/>
          <w:sz w:val="16"/>
          <w:szCs w:val="16"/>
        </w:rPr>
        <w:t>xxx</w:t>
      </w:r>
      <w:proofErr w:type="spellEnd"/>
      <w:r w:rsidRPr="00C04F49">
        <w:rPr>
          <w:spacing w:val="-2"/>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164BDCB3" w14:textId="77777777" w:rsidR="00851B4D" w:rsidRDefault="00851B4D">
      <w:pPr>
        <w:rPr>
          <w:rFonts w:eastAsia="Times"/>
          <w:i/>
        </w:rPr>
      </w:pPr>
    </w:p>
    <w:p w14:paraId="6559226A" w14:textId="7DB14FB5" w:rsidR="00732E46" w:rsidRPr="00D050EC" w:rsidRDefault="000F2C11">
      <w:pPr>
        <w:rPr>
          <w:rFonts w:eastAsia="Times"/>
          <w:i/>
        </w:rPr>
      </w:pPr>
      <w:r w:rsidRPr="00D050EC">
        <w:rPr>
          <w:rFonts w:eastAsia="Times"/>
          <w:i/>
        </w:rPr>
        <w:t>Basic format</w:t>
      </w:r>
      <w:r w:rsidRPr="008856C3">
        <w:rPr>
          <w:b/>
          <w:i/>
        </w:rPr>
        <w:t xml:space="preserve"> </w:t>
      </w:r>
      <w:r w:rsidRPr="00636D0A">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3084F7D8"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0C562AB4" w:rsidR="00932FBA" w:rsidRPr="00D050EC"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60B0E832" w14:textId="7DC8B7D4" w:rsidR="00DA5A9A" w:rsidRDefault="00DA5A9A" w:rsidP="00DA5A9A">
      <w:pPr>
        <w:pBdr>
          <w:top w:val="nil"/>
          <w:left w:val="nil"/>
          <w:bottom w:val="nil"/>
          <w:right w:val="nil"/>
          <w:between w:val="nil"/>
        </w:pBdr>
        <w:jc w:val="both"/>
        <w:rPr>
          <w:color w:val="000000"/>
          <w:sz w:val="16"/>
          <w:szCs w:val="16"/>
        </w:rPr>
      </w:pPr>
    </w:p>
    <w:p w14:paraId="524A8437" w14:textId="3C7E2F1D" w:rsidR="00DA5A9A" w:rsidRPr="00D050EC" w:rsidRDefault="00DA5A9A" w:rsidP="00D050EC">
      <w:pPr>
        <w:rPr>
          <w:rFonts w:ascii="Times" w:eastAsia="Times" w:hAnsi="Times" w:cs="Times"/>
          <w:i/>
        </w:rPr>
      </w:pPr>
      <w:r w:rsidRPr="00D050EC">
        <w:rPr>
          <w:rFonts w:ascii="Times" w:eastAsia="Times" w:hAnsi="Times" w:cs="Times"/>
          <w:i/>
        </w:rPr>
        <w:t>Basic format for datasets: </w:t>
      </w:r>
    </w:p>
    <w:p w14:paraId="0FBF25E6" w14:textId="77777777" w:rsidR="00DA5A9A" w:rsidRPr="00D050EC" w:rsidRDefault="00DA5A9A" w:rsidP="00D050EC">
      <w:pPr>
        <w:rPr>
          <w:sz w:val="16"/>
          <w:szCs w:val="16"/>
        </w:rPr>
      </w:pPr>
      <w:proofErr w:type="gramStart"/>
      <w:r w:rsidRPr="00D050EC">
        <w:rPr>
          <w:sz w:val="16"/>
          <w:szCs w:val="16"/>
        </w:rPr>
        <w:t>Author,  Date</w:t>
      </w:r>
      <w:proofErr w:type="gramEnd"/>
      <w:r w:rsidRPr="00D050EC">
        <w:rPr>
          <w:sz w:val="16"/>
          <w:szCs w:val="16"/>
        </w:rPr>
        <w:t>, Year. “Title of Dataset,” distributed by Publisher/Distributor, http://url.com (or if DOI is used, end with a period)</w:t>
      </w:r>
    </w:p>
    <w:p w14:paraId="257A300C" w14:textId="77777777" w:rsidR="000D4F4C" w:rsidRDefault="000D4F4C" w:rsidP="00D050EC">
      <w:pPr>
        <w:rPr>
          <w:rFonts w:ascii="Times" w:eastAsia="Times" w:hAnsi="Times" w:cs="Times"/>
          <w:i/>
        </w:rPr>
      </w:pPr>
    </w:p>
    <w:p w14:paraId="331D9BF5" w14:textId="77777777" w:rsidR="00DA5A9A" w:rsidRDefault="00DA5A9A" w:rsidP="00D050EC">
      <w:r w:rsidRPr="00D050EC">
        <w:rPr>
          <w:rFonts w:ascii="Times" w:eastAsia="Times" w:hAnsi="Times" w:cs="Times"/>
          <w:i/>
        </w:rPr>
        <w:t>Example</w:t>
      </w:r>
      <w:r>
        <w:rPr>
          <w:rFonts w:ascii="Times" w:hAnsi="Times" w:cs="Times"/>
          <w:i/>
          <w:iCs/>
          <w:color w:val="000000"/>
        </w:rPr>
        <w:t>: </w:t>
      </w:r>
    </w:p>
    <w:p w14:paraId="11F4D0B6" w14:textId="50C21B56"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sz w:val="16"/>
          <w:szCs w:val="16"/>
        </w:rPr>
        <w:t xml:space="preserve">U.S. Department of Health and Human Services, Aug. 2013, “Treatment Episode Dataset: Discharges (TEDS-D): Concatenated, 2006 to 2009,” U.S. </w:t>
      </w:r>
      <w:r w:rsidRPr="00D050EC">
        <w:rPr>
          <w:color w:val="000000"/>
          <w:sz w:val="16"/>
          <w:szCs w:val="16"/>
        </w:rPr>
        <w:t>Department</w:t>
      </w:r>
      <w:r w:rsidRPr="00D050EC">
        <w:rPr>
          <w:sz w:val="16"/>
          <w:szCs w:val="16"/>
        </w:rPr>
        <w:t xml:space="preserve"> of Health and Human Services, Substance Abuse and Mental Health Services Administration, Office of Applied Studies, </w:t>
      </w:r>
      <w:proofErr w:type="spellStart"/>
      <w:r w:rsidRPr="00D050EC">
        <w:rPr>
          <w:sz w:val="16"/>
          <w:szCs w:val="16"/>
        </w:rPr>
        <w:t>doi</w:t>
      </w:r>
      <w:proofErr w:type="spellEnd"/>
      <w:r w:rsidRPr="00D050EC">
        <w:rPr>
          <w:sz w:val="16"/>
          <w:szCs w:val="16"/>
        </w:rPr>
        <w:t>: 10.3886/ICPSR30122.v2.</w:t>
      </w:r>
    </w:p>
    <w:p w14:paraId="18412EEA" w14:textId="392FF066" w:rsidR="00DA5A9A" w:rsidRDefault="00DA5A9A" w:rsidP="00DA5A9A">
      <w:pPr>
        <w:pBdr>
          <w:top w:val="nil"/>
          <w:left w:val="nil"/>
          <w:bottom w:val="nil"/>
          <w:right w:val="nil"/>
          <w:between w:val="nil"/>
        </w:pBdr>
        <w:jc w:val="both"/>
        <w:rPr>
          <w:color w:val="000000"/>
        </w:rPr>
      </w:pPr>
    </w:p>
    <w:p w14:paraId="7F2657B0" w14:textId="7887FAC2" w:rsidR="00DA5A9A" w:rsidRPr="00D050EC" w:rsidRDefault="00DA5A9A" w:rsidP="00D050EC">
      <w:pPr>
        <w:rPr>
          <w:rFonts w:ascii="Times" w:eastAsia="Times" w:hAnsi="Times" w:cs="Times"/>
          <w:i/>
        </w:rPr>
      </w:pPr>
      <w:r w:rsidRPr="00D050EC">
        <w:rPr>
          <w:rFonts w:ascii="Times" w:eastAsia="Times" w:hAnsi="Times" w:cs="Times"/>
          <w:i/>
        </w:rPr>
        <w:t>Basic format for code:</w:t>
      </w:r>
    </w:p>
    <w:p w14:paraId="44FAB2C0" w14:textId="7DCDB0C7" w:rsidR="00DA5A9A" w:rsidRPr="00D050EC" w:rsidRDefault="00DA5A9A" w:rsidP="00D050EC">
      <w:pPr>
        <w:rPr>
          <w:rFonts w:ascii="Times" w:hAnsi="Times" w:cs="Times"/>
          <w:color w:val="000000"/>
          <w:sz w:val="16"/>
          <w:szCs w:val="16"/>
        </w:rPr>
      </w:pPr>
      <w:proofErr w:type="gramStart"/>
      <w:r w:rsidRPr="00D050EC">
        <w:rPr>
          <w:rFonts w:ascii="Times" w:hAnsi="Times" w:cs="Times"/>
          <w:color w:val="000000"/>
          <w:sz w:val="16"/>
          <w:szCs w:val="16"/>
        </w:rPr>
        <w:t>Author,  Date</w:t>
      </w:r>
      <w:proofErr w:type="gramEnd"/>
      <w:r w:rsidRPr="00D050EC">
        <w:rPr>
          <w:rFonts w:ascii="Times" w:hAnsi="Times" w:cs="Times"/>
          <w:color w:val="000000"/>
          <w:sz w:val="16"/>
          <w:szCs w:val="16"/>
        </w:rPr>
        <w:t xml:space="preserve"> published or disseminated, Year. “Complete title, including ed./</w:t>
      </w:r>
      <w:proofErr w:type="spellStart"/>
      <w:r w:rsidRPr="00D050EC">
        <w:rPr>
          <w:rFonts w:ascii="Times" w:hAnsi="Times" w:cs="Times"/>
          <w:color w:val="000000"/>
          <w:sz w:val="16"/>
          <w:szCs w:val="16"/>
        </w:rPr>
        <w:t>vers</w:t>
      </w:r>
      <w:proofErr w:type="spellEnd"/>
      <w:r w:rsidRPr="00D050EC">
        <w:rPr>
          <w:rFonts w:ascii="Times" w:hAnsi="Times" w:cs="Times"/>
          <w:color w:val="000000"/>
          <w:sz w:val="16"/>
          <w:szCs w:val="16"/>
        </w:rPr>
        <w:t>.#,” distributed by Publisher/</w:t>
      </w:r>
      <w:r w:rsidRPr="00D050EC">
        <w:rPr>
          <w:sz w:val="16"/>
          <w:szCs w:val="16"/>
        </w:rPr>
        <w:t>Distributor</w:t>
      </w:r>
      <w:r w:rsidRPr="00D050EC">
        <w:rPr>
          <w:rFonts w:ascii="Times" w:hAnsi="Times" w:cs="Times"/>
          <w:color w:val="000000"/>
          <w:sz w:val="16"/>
          <w:szCs w:val="16"/>
        </w:rPr>
        <w:t>, http://url.com (or if DOI is used, end with a period)</w:t>
      </w:r>
    </w:p>
    <w:p w14:paraId="13ABE847" w14:textId="77777777" w:rsidR="00DA5A9A" w:rsidRDefault="00DA5A9A" w:rsidP="00DA5A9A">
      <w:pPr>
        <w:pBdr>
          <w:top w:val="nil"/>
          <w:left w:val="nil"/>
          <w:bottom w:val="nil"/>
          <w:right w:val="nil"/>
          <w:between w:val="nil"/>
        </w:pBdr>
        <w:jc w:val="both"/>
        <w:rPr>
          <w:color w:val="000000"/>
        </w:rPr>
      </w:pPr>
    </w:p>
    <w:p w14:paraId="4494678B" w14:textId="0C550615" w:rsidR="00DA5A9A" w:rsidRDefault="00DA5A9A" w:rsidP="00D050EC">
      <w:pPr>
        <w:rPr>
          <w:rFonts w:ascii="Times" w:hAnsi="Times" w:cs="Times"/>
          <w:i/>
          <w:iCs/>
          <w:color w:val="000000"/>
        </w:rPr>
      </w:pPr>
      <w:r w:rsidRPr="00D050EC">
        <w:rPr>
          <w:rFonts w:ascii="Times" w:eastAsia="Times" w:hAnsi="Times" w:cs="Times"/>
          <w:i/>
        </w:rPr>
        <w:t>Example</w:t>
      </w:r>
      <w:r>
        <w:rPr>
          <w:rFonts w:ascii="Times" w:hAnsi="Times" w:cs="Times"/>
          <w:i/>
          <w:iCs/>
          <w:color w:val="000000"/>
        </w:rPr>
        <w:t>: </w:t>
      </w:r>
    </w:p>
    <w:p w14:paraId="34D70B27" w14:textId="419F93B9"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rFonts w:ascii="Times" w:hAnsi="Times" w:cs="Times"/>
          <w:color w:val="000000"/>
          <w:sz w:val="16"/>
          <w:szCs w:val="16"/>
        </w:rPr>
        <w:t xml:space="preserve">T. </w:t>
      </w:r>
      <w:proofErr w:type="spellStart"/>
      <w:r w:rsidRPr="00D050EC">
        <w:rPr>
          <w:rFonts w:ascii="Times" w:hAnsi="Times" w:cs="Times"/>
          <w:color w:val="000000"/>
          <w:sz w:val="16"/>
          <w:szCs w:val="16"/>
        </w:rPr>
        <w:t>D’Martin</w:t>
      </w:r>
      <w:proofErr w:type="spellEnd"/>
      <w:r w:rsidRPr="00D050EC">
        <w:rPr>
          <w:rFonts w:ascii="Times" w:hAnsi="Times" w:cs="Times"/>
          <w:color w:val="000000"/>
          <w:sz w:val="16"/>
          <w:szCs w:val="16"/>
        </w:rPr>
        <w:t xml:space="preserve"> and S. Soares, 2019, “Code for Assessment of Markov Decision Processes in Long-Term Hydrothermal Scheduling of Single-Reservoir Systems (Version 1.0),” Code Ocean, </w:t>
      </w:r>
      <w:proofErr w:type="spellStart"/>
      <w:r w:rsidRPr="00D050EC">
        <w:rPr>
          <w:rFonts w:ascii="Times" w:hAnsi="Times" w:cs="Times"/>
          <w:color w:val="000000"/>
          <w:sz w:val="16"/>
          <w:szCs w:val="16"/>
        </w:rPr>
        <w:t>doi</w:t>
      </w:r>
      <w:proofErr w:type="spellEnd"/>
      <w:r w:rsidRPr="00D050EC">
        <w:rPr>
          <w:rFonts w:ascii="Times" w:hAnsi="Times" w:cs="Times"/>
          <w:color w:val="000000"/>
          <w:sz w:val="16"/>
          <w:szCs w:val="16"/>
        </w:rPr>
        <w:t>: _1.24433/CO.7212286.v1</w:t>
      </w:r>
    </w:p>
    <w:p w14:paraId="59F5C88B" w14:textId="77777777" w:rsidR="00DA5A9A" w:rsidRPr="00932FBA" w:rsidRDefault="00DA5A9A" w:rsidP="001F2329">
      <w:pPr>
        <w:pBdr>
          <w:top w:val="nil"/>
          <w:left w:val="nil"/>
          <w:bottom w:val="nil"/>
          <w:right w:val="nil"/>
          <w:between w:val="nil"/>
        </w:pBdr>
        <w:spacing w:before="30"/>
        <w:jc w:val="both"/>
        <w:rPr>
          <w:color w:val="000000"/>
        </w:rPr>
      </w:pPr>
    </w:p>
    <w:p w14:paraId="40D15B3E" w14:textId="775E81EF" w:rsidR="005E69DC" w:rsidRDefault="005E69DC">
      <w:pPr>
        <w:rPr>
          <w:color w:val="000000"/>
        </w:rPr>
      </w:pPr>
    </w:p>
    <w:p w14:paraId="73C90705" w14:textId="2F4CFACC" w:rsidR="00732E46" w:rsidRPr="00932FBA" w:rsidRDefault="002C3492" w:rsidP="001E7EDB">
      <w:pPr>
        <w:pBdr>
          <w:top w:val="nil"/>
          <w:left w:val="nil"/>
          <w:bottom w:val="nil"/>
          <w:right w:val="nil"/>
          <w:between w:val="nil"/>
        </w:pBdr>
        <w:jc w:val="both"/>
        <w:rPr>
          <w:color w:val="000000"/>
        </w:rPr>
      </w:pPr>
      <w:r>
        <w:rPr>
          <w:noProof/>
        </w:rPr>
        <w:drawing>
          <wp:anchor distT="0" distB="0" distL="114300" distR="114300" simplePos="0" relativeHeight="251659264" behindDoc="0" locked="0" layoutInCell="1" hidden="0" allowOverlap="1" wp14:anchorId="21200412" wp14:editId="66F92953">
            <wp:simplePos x="0" y="0"/>
            <wp:positionH relativeFrom="column">
              <wp:posOffset>2540</wp:posOffset>
            </wp:positionH>
            <wp:positionV relativeFrom="paragraph">
              <wp:posOffset>64135</wp:posOffset>
            </wp:positionV>
            <wp:extent cx="914400" cy="11430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30" cstate="print">
                      <a:extLst>
                        <a:ext uri="{28A0092B-C50C-407E-A947-70E740481C1C}">
                          <a14:useLocalDpi xmlns:a14="http://schemas.microsoft.com/office/drawing/2010/main" val="0"/>
                        </a:ext>
                      </a:extLst>
                    </a:blip>
                    <a:stretch>
                      <a:fillRect/>
                    </a:stretch>
                  </pic:blipFill>
                  <pic:spPr>
                    <a:xfrm>
                      <a:off x="0" y="0"/>
                      <a:ext cx="914400" cy="1143000"/>
                    </a:xfrm>
                    <a:prstGeom prst="rect">
                      <a:avLst/>
                    </a:prstGeom>
                    <a:ln/>
                  </pic:spPr>
                </pic:pic>
              </a:graphicData>
            </a:graphic>
            <wp14:sizeRelV relativeFrom="margin">
              <wp14:pctHeight>0</wp14:pctHeight>
            </wp14:sizeRelV>
          </wp:anchor>
        </w:drawing>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7FABB5E4" w:rsidR="00732E46" w:rsidRDefault="000F2C11" w:rsidP="00D050EC">
      <w:pPr>
        <w:pBdr>
          <w:top w:val="nil"/>
          <w:left w:val="nil"/>
          <w:bottom w:val="nil"/>
          <w:right w:val="nil"/>
          <w:between w:val="nil"/>
        </w:pBdr>
        <w:ind w:firstLine="202"/>
        <w:jc w:val="both"/>
        <w:rPr>
          <w:color w:val="000000"/>
        </w:rPr>
      </w:pP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5F4B47C0" w14:textId="77777777" w:rsidR="00C04F49" w:rsidRDefault="00C04F49">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660C7766" w14:textId="77777777" w:rsidR="00C04F49" w:rsidRDefault="00C04F49">
      <w:pPr>
        <w:jc w:val="both"/>
        <w:rPr>
          <w:rFonts w:ascii="Times" w:eastAsia="Times" w:hAnsi="Times" w:cs="Times"/>
        </w:rPr>
      </w:pPr>
    </w:p>
    <w:p w14:paraId="41C918F2" w14:textId="0835C9F8" w:rsidR="00732E46" w:rsidRDefault="000F2C11">
      <w:pPr>
        <w:jc w:val="both"/>
        <w:rPr>
          <w:rFonts w:ascii="Times" w:eastAsia="Times" w:hAnsi="Times" w:cs="Times"/>
        </w:rPr>
      </w:pPr>
      <w:r>
        <w:rPr>
          <w:b/>
        </w:rPr>
        <w:t xml:space="preserve">Third C. Author Jr. </w:t>
      </w:r>
      <w:r>
        <w:rPr>
          <w:rFonts w:ascii="Times" w:eastAsia="Times" w:hAnsi="Times" w:cs="Times"/>
        </w:rPr>
        <w:t>(Member, IEEE), photograph and biography not availa</w:t>
      </w:r>
      <w:r w:rsidR="00851B4D">
        <w:rPr>
          <w:rFonts w:ascii="Times" w:eastAsia="Times" w:hAnsi="Times" w:cs="Times"/>
        </w:rPr>
        <w:t>ble at the time of publication.</w:t>
      </w: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AA182" w14:textId="77777777" w:rsidR="003D21A4" w:rsidRDefault="003D21A4">
      <w:r>
        <w:separator/>
      </w:r>
    </w:p>
  </w:endnote>
  <w:endnote w:type="continuationSeparator" w:id="0">
    <w:p w14:paraId="298A97AA" w14:textId="77777777" w:rsidR="003D21A4" w:rsidRDefault="003D2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roman"/>
    <w:pitch w:val="variable"/>
    <w:sig w:usb0="80000067" w:usb1="02000000" w:usb2="00000000" w:usb3="00000000" w:csb0="0000019F" w:csb1="00000000"/>
  </w:font>
  <w:font w:name="Formata-Regular">
    <w:altName w:val="Calibri"/>
    <w:panose1 w:val="00000000000000000000"/>
    <w:charset w:val="00"/>
    <w:family w:val="roman"/>
    <w:notTrueType/>
    <w:pitch w:val="default"/>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Yu Gothic"/>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F6B13" w14:textId="77777777" w:rsidR="003D21A4" w:rsidRPr="009A0AA6" w:rsidRDefault="003D21A4" w:rsidP="009A0AA6">
      <w:pPr>
        <w:pStyle w:val="Footer"/>
      </w:pPr>
    </w:p>
  </w:footnote>
  <w:footnote w:type="continuationSeparator" w:id="0">
    <w:p w14:paraId="0020E514" w14:textId="77777777" w:rsidR="003D21A4" w:rsidRDefault="003D21A4">
      <w:r>
        <w:continuationSeparator/>
      </w:r>
    </w:p>
  </w:footnote>
  <w:footnote w:id="1">
    <w:p w14:paraId="350D71A7"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123456.” The n</w:t>
      </w:r>
      <w:r>
        <w:rPr>
          <w:sz w:val="16"/>
          <w:szCs w:val="16"/>
        </w:rPr>
        <w:t>ame of the corresponding author appears after the financial information, e.g.</w:t>
      </w:r>
      <w:r>
        <w:rPr>
          <w:i/>
          <w:sz w:val="16"/>
          <w:szCs w:val="16"/>
        </w:rPr>
        <w:t xml:space="preserve"> (Corresponding author: </w:t>
      </w:r>
      <w:r w:rsidRPr="00E01B5B">
        <w:rPr>
          <w:i/>
          <w:sz w:val="16"/>
          <w:szCs w:val="16"/>
        </w:rPr>
        <w:t>Second B. Author</w:t>
      </w:r>
      <w:r>
        <w:rPr>
          <w:i/>
          <w:sz w:val="16"/>
          <w:szCs w:val="16"/>
        </w:rPr>
        <w:t xml:space="preserve">). </w:t>
      </w:r>
      <w:r>
        <w:rPr>
          <w:sz w:val="16"/>
          <w:szCs w:val="16"/>
        </w:rPr>
        <w:t xml:space="preserve">Here you may also indicate if authors contributed equally or if there are co-first authors. </w:t>
      </w:r>
    </w:p>
    <w:p w14:paraId="5FCDE783"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7937703E" w14:textId="4B530715"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5ED9EAB1"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90D5EFE" w14:textId="77777777" w:rsidR="00BE4774" w:rsidRDefault="00BE4774" w:rsidP="00BE4774">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102162F" w14:textId="77777777" w:rsidR="00BE4774" w:rsidRDefault="00BE4774" w:rsidP="00BE4774">
      <w:pPr>
        <w:pStyle w:val="FootnoteText"/>
      </w:pPr>
      <w:r>
        <w:t>Color versions of one or more of the figures in this article are available online at http://ieeexplore.ieee.org</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1145">
    <w:abstractNumId w:val="9"/>
  </w:num>
  <w:num w:numId="2" w16cid:durableId="2045328704">
    <w:abstractNumId w:val="2"/>
  </w:num>
  <w:num w:numId="3" w16cid:durableId="2093509055">
    <w:abstractNumId w:val="1"/>
  </w:num>
  <w:num w:numId="4" w16cid:durableId="271281071">
    <w:abstractNumId w:val="8"/>
  </w:num>
  <w:num w:numId="5" w16cid:durableId="1310592536">
    <w:abstractNumId w:val="5"/>
  </w:num>
  <w:num w:numId="6" w16cid:durableId="30106803">
    <w:abstractNumId w:val="6"/>
  </w:num>
  <w:num w:numId="7" w16cid:durableId="10054015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893242">
    <w:abstractNumId w:val="4"/>
  </w:num>
  <w:num w:numId="9" w16cid:durableId="1583679067">
    <w:abstractNumId w:val="3"/>
  </w:num>
  <w:num w:numId="10" w16cid:durableId="1219125038">
    <w:abstractNumId w:val="7"/>
  </w:num>
  <w:num w:numId="11" w16cid:durableId="2023893337">
    <w:abstractNumId w:val="0"/>
  </w:num>
  <w:num w:numId="12" w16cid:durableId="1371687492">
    <w:abstractNumId w:val="11"/>
  </w:num>
  <w:num w:numId="13" w16cid:durableId="11669390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C3492"/>
    <w:rsid w:val="002E2421"/>
    <w:rsid w:val="002F221E"/>
    <w:rsid w:val="00305C29"/>
    <w:rsid w:val="0031286C"/>
    <w:rsid w:val="00313303"/>
    <w:rsid w:val="00357347"/>
    <w:rsid w:val="0036091A"/>
    <w:rsid w:val="003913E5"/>
    <w:rsid w:val="003D21A4"/>
    <w:rsid w:val="003F021E"/>
    <w:rsid w:val="00402320"/>
    <w:rsid w:val="004063A4"/>
    <w:rsid w:val="00474613"/>
    <w:rsid w:val="0048247F"/>
    <w:rsid w:val="004A4B26"/>
    <w:rsid w:val="004B29E3"/>
    <w:rsid w:val="004C0A1B"/>
    <w:rsid w:val="004C0A56"/>
    <w:rsid w:val="004C1E98"/>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32FBA"/>
    <w:rsid w:val="009454A2"/>
    <w:rsid w:val="0096199E"/>
    <w:rsid w:val="00986618"/>
    <w:rsid w:val="009A0AA6"/>
    <w:rsid w:val="009B429F"/>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83635"/>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s://store.wiris.com/en/products/mathtype/download" TargetMode="External"/><Relationship Id="rId26" Type="http://schemas.openxmlformats.org/officeDocument/2006/relationships/hyperlink" Target="http://www.ieee.org/publications_standards/publications/authors/authors_submission.html"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23.Vp6tpPkrKM9" TargetMode="External"/><Relationship Id="rId17" Type="http://schemas.openxmlformats.org/officeDocument/2006/relationships/image" Target="media/image1.png"/><Relationship Id="rId25" Type="http://schemas.openxmlformats.org/officeDocument/2006/relationships/hyperlink" Target="https://journals.ieeeauthorcenter.ieee.org/create-your-ieee-journal-article/create-the-text-of-your-article/ieee-editorial-style-manual/" TargetMode="External"/><Relationship Id="rId2" Type="http://schemas.openxmlformats.org/officeDocument/2006/relationships/customXml" Target="../customXml/item2.xml"/><Relationship Id="rId16" Type="http://schemas.openxmlformats.org/officeDocument/2006/relationships/hyperlink" Target="https://journals.ieeeauthorcenter.ieee.org/create-your-ieee-journal-article/create-the-text-of-your-article/structure-your-article/" TargetMode="External"/><Relationship Id="rId20" Type="http://schemas.openxmlformats.org/officeDocument/2006/relationships/hyperlink" Target="http://journals.ieeeauthorcenter.ieee.org/wp-content/uploads/sites/7/IEEE-Math-Typesetting-Guide-for-MS-Word-Users.pdf" TargetMode="External"/><Relationship Id="rId29"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ieeeauthorcenter.ieee.org/create-your-ieee-journal-article/authoring-tools-and-templates/tools-for-ieee-authors/ieee-article-templates/"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journals.ieeeauthorcenter.ieee.org/create-your-ieee-journal-article/create-the-text-of-your-article/ieee-editorial-style-manual/" TargetMode="External"/><Relationship Id="rId23" Type="http://schemas.openxmlformats.org/officeDocument/2006/relationships/image" Target="media/image4.wmf"/><Relationship Id="rId28" Type="http://schemas.openxmlformats.org/officeDocument/2006/relationships/hyperlink" Target="https://www.ieee.org/publications/rights/index.html"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journals.ieeeauthorcenter.ieee.org/wp-content/uploads/sites/7/Editing-Mathematics.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3.tiff"/><Relationship Id="rId27" Type="http://schemas.openxmlformats.org/officeDocument/2006/relationships/hyperlink" Target="https://www.ieee.org/publications/rights/index.html" TargetMode="External"/><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6</Pages>
  <Words>4704</Words>
  <Characters>26818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Shannon Campos</cp:lastModifiedBy>
  <cp:revision>67</cp:revision>
  <cp:lastPrinted>2022-10-11T10:58:00Z</cp:lastPrinted>
  <dcterms:created xsi:type="dcterms:W3CDTF">2022-10-06T08:13:00Z</dcterms:created>
  <dcterms:modified xsi:type="dcterms:W3CDTF">2023-03-01T15:04:00Z</dcterms:modified>
</cp:coreProperties>
</file>