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1.png" ContentType="image/png"/>
  <Override PartName="/word/media/rId47.png" ContentType="image/png"/>
  <Override PartName="/word/media/rId21.png" ContentType="image/png"/>
  <Override PartName="/word/media/rId28.png" ContentType="image/png"/>
  <Override PartName="/word/media/rId32.png" ContentType="image/png"/>
  <Override PartName="/word/media/rId36.png" ContentType="image/png"/>
  <Override PartName="/word/media/rId4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Local Heterogeneity in Artificial Intelligence Jobs Over Time and Space</w:t>
      </w:r>
    </w:p>
    <w:p>
      <w:pPr>
        <w:pStyle w:val="Subtitle"/>
      </w:pPr>
      <w:r>
        <w:t xml:space="preserve">A Replication Study of Andreadis et al. (AEA Papers and Proceedings, 2025)</w:t>
      </w:r>
    </w:p>
    <w:p>
      <w:pPr>
        <w:pStyle w:val="Author"/>
      </w:pPr>
      <w:r>
        <w:t xml:space="preserve">Jacob Khaykin</w:t>
      </w:r>
      <w:r>
        <w:rPr>
          <w:rStyle w:val="FootnoteReference"/>
        </w:rPr>
        <w:footnoteReference w:id="9"/>
      </w:r>
    </w:p>
    <w:p>
      <w:pPr>
        <w:pStyle w:val="Author"/>
      </w:pPr>
      <w:r>
        <w:t xml:space="preserve">David Kane</w:t>
      </w:r>
      <w:r>
        <w:rPr>
          <w:rStyle w:val="FootnoteReference"/>
        </w:rPr>
        <w:footnoteReference w:id="11"/>
      </w:r>
    </w:p>
    <w:p>
      <w:pPr>
        <w:pStyle w:val="FirstParagraph"/>
      </w:pPr>
      <w:r>
        <w:rPr>
          <w:i/>
          <w:iCs/>
        </w:rPr>
        <w:t xml:space="preserve">JEL: J24, O33, R11</w:t>
      </w:r>
    </w:p>
    <w:p>
      <w:pPr>
        <w:pStyle w:val="BodyText"/>
      </w:pPr>
      <w:r>
        <w:rPr>
          <w:i/>
          <w:iCs/>
        </w:rPr>
        <w:t xml:space="preserve">Keywords:</w:t>
      </w:r>
      <w:r>
        <w:t xml:space="preserve"> </w:t>
      </w:r>
      <w:r>
        <w:t xml:space="preserve">Artificial Intelligence, Regional Economics, Labor Markets</w:t>
      </w:r>
    </w:p>
    <w:p>
      <w:pPr>
        <w:pStyle w:val="BodyText"/>
      </w:pPr>
      <w:r>
        <w:rPr>
          <w:i/>
          <w:iCs/>
        </w:rPr>
        <w:t xml:space="preserve">Data Availability:</w:t>
      </w:r>
      <w:r>
        <w:t xml:space="preserve"> </w:t>
      </w:r>
      <w:r>
        <w:t xml:space="preserve">Data and code for push-button reproduction of this replication have been deposited with the ZBW Journal Data Archive at https://journaldata.zbw.eu/dataset/andreadis-ai-jobs-replication-data. A development copy is also available at https://github.com/JacobKhay/Andreadis-Replication.</w:t>
      </w:r>
    </w:p>
    <w:bookmarkStart w:id="13" w:name="abstract"/>
    <w:p>
      <w:pPr>
        <w:pStyle w:val="Heading2"/>
      </w:pPr>
      <w:r>
        <w:t xml:space="preserve">Abstract</w:t>
      </w:r>
    </w:p>
    <w:p>
      <w:pPr>
        <w:pStyle w:val="FirstParagraph"/>
      </w:pPr>
      <w:r>
        <w:t xml:space="preserve">We partially replicate</w:t>
      </w:r>
      <w:r>
        <w:t xml:space="preserve"> </w:t>
      </w:r>
      <w:r>
        <w:t xml:space="preserve">Andreadis et al. (</w:t>
      </w:r>
      <w:hyperlink w:anchor="ref-andreadis2025">
        <w:r>
          <w:rPr>
            <w:rStyle w:val="Hyperlink"/>
          </w:rPr>
          <w:t xml:space="preserve">2025</w:t>
        </w:r>
      </w:hyperlink>
      <w:r>
        <w:t xml:space="preserve">)</w:t>
      </w:r>
      <w:r>
        <w:t xml:space="preserve"> </w:t>
      </w:r>
      <w:r>
        <w:t xml:space="preserve">on the correlation between the level and growth of artificial intelligence job-posting intensity across U.S. counties from 2014 to 2023 and a collection of variables related to education, innovation, and industry. We reproduce AKCLM’s Table 1 exactly from the released code and data and reproduce most Table 2 coefficients, with a scaling discrepancy for bachelor’s share between the published version of record and the released code; the AEA conference preprint agrees with the code, so the discrepancy is specific to the published article. We also identify a map-construction reproducibility issue for Figure 1. We further show that the published table footers in</w:t>
      </w:r>
      <w:r>
        <w:t xml:space="preserve"> </w:t>
      </w:r>
      <w:r>
        <w:t xml:space="preserve">Andreadis et al. (</w:t>
      </w:r>
      <w:hyperlink w:anchor="ref-andreadis2025">
        <w:r>
          <w:rPr>
            <w:rStyle w:val="Hyperlink"/>
          </w:rPr>
          <w:t xml:space="preserve">2025</w:t>
        </w:r>
      </w:hyperlink>
      <w:r>
        <w:t xml:space="preserve">)</w:t>
      </w:r>
      <w:r>
        <w:t xml:space="preserve"> </w:t>
      </w:r>
      <w:r>
        <w:t xml:space="preserve">describe the regressions as unweighted even though the released code uses log-posting weights. To assess robustness, we compare unweighted and log-population-weighted versions of the main specifications. Most, but not all, of the associations persist. We critique the construction of a key variable and the authors’ unsupported causal claims.</w:t>
      </w:r>
    </w:p>
    <w:p>
      <w:pPr>
        <w:pStyle w:val="BodyText"/>
      </w:pPr>
      <w:r>
        <w:t xml:space="preserve">Declaration: There are no financial conflicts of interest to share.</w:t>
      </w:r>
    </w:p>
    <w:p>
      <w:r>
        <w:br w:type="page"/>
      </w:r>
    </w:p>
    <w:bookmarkEnd w:id="13"/>
    <w:bookmarkStart w:id="14" w:name="introduction"/>
    <w:p>
      <w:pPr>
        <w:pStyle w:val="Heading2"/>
      </w:pPr>
      <w:r>
        <w:t xml:space="preserve">Introduction</w:t>
      </w:r>
    </w:p>
    <w:p>
      <w:pPr>
        <w:pStyle w:val="FirstParagraph"/>
      </w:pPr>
      <w:r>
        <w:t xml:space="preserve">This paper replicates</w:t>
      </w:r>
      <w:r>
        <w:t xml:space="preserve"> </w:t>
      </w:r>
      <w:r>
        <w:t xml:space="preserve">Andreadis et al. (</w:t>
      </w:r>
      <w:hyperlink w:anchor="ref-andreadis2025">
        <w:r>
          <w:rPr>
            <w:rStyle w:val="Hyperlink"/>
          </w:rPr>
          <w:t xml:space="preserve">2025</w:t>
        </w:r>
      </w:hyperlink>
      <w:r>
        <w:t xml:space="preserve">)</w:t>
      </w:r>
      <w:r>
        <w:t xml:space="preserve">, henceforth AKCLM, on the correlation between the level and growth of artificial intelligence employment and education, innovation, and industry factors across U.S. counties from 2014 to 2023. Understanding where AI intensity emerges and how it spreads matters for researchers and policymakers alike: AI has the potential to reshape regional economies</w:t>
      </w:r>
      <w:r>
        <w:t xml:space="preserve"> </w:t>
      </w:r>
      <w:r>
        <w:t xml:space="preserve">(</w:t>
      </w:r>
      <w:hyperlink w:anchor="ref-acemoglu2024">
        <w:r>
          <w:rPr>
            <w:rStyle w:val="Hyperlink"/>
          </w:rPr>
          <w:t xml:space="preserve">Acemoglu, 2024</w:t>
        </w:r>
      </w:hyperlink>
      <w:r>
        <w:t xml:space="preserve">;</w:t>
      </w:r>
      <w:r>
        <w:t xml:space="preserve"> </w:t>
      </w:r>
      <w:hyperlink w:anchor="ref-brynjolfsson2021">
        <w:r>
          <w:rPr>
            <w:rStyle w:val="Hyperlink"/>
          </w:rPr>
          <w:t xml:space="preserve">Brynjolfsson, Rock, and Syverson, 2021</w:t>
        </w:r>
      </w:hyperlink>
      <w:r>
        <w:t xml:space="preserve">)</w:t>
      </w:r>
      <w:r>
        <w:t xml:space="preserve">, alter the demand for skills</w:t>
      </w:r>
      <w:r>
        <w:t xml:space="preserve"> </w:t>
      </w:r>
      <w:r>
        <w:t xml:space="preserve">(</w:t>
      </w:r>
      <w:hyperlink w:anchor="ref-acemoglu2019">
        <w:r>
          <w:rPr>
            <w:rStyle w:val="Hyperlink"/>
          </w:rPr>
          <w:t xml:space="preserve">Acemoglu and Restrepo, 2019</w:t>
        </w:r>
      </w:hyperlink>
      <w:r>
        <w:t xml:space="preserve">;</w:t>
      </w:r>
      <w:r>
        <w:t xml:space="preserve"> </w:t>
      </w:r>
      <w:hyperlink w:anchor="ref-autor2015">
        <w:r>
          <w:rPr>
            <w:rStyle w:val="Hyperlink"/>
          </w:rPr>
          <w:t xml:space="preserve">Autor, 2015</w:t>
        </w:r>
      </w:hyperlink>
      <w:r>
        <w:t xml:space="preserve">)</w:t>
      </w:r>
      <w:r>
        <w:t xml:space="preserve">, and shift patterns of innovation</w:t>
      </w:r>
      <w:r>
        <w:t xml:space="preserve"> </w:t>
      </w:r>
      <w:r>
        <w:t xml:space="preserve">(</w:t>
      </w:r>
      <w:hyperlink w:anchor="ref-babina2024">
        <w:r>
          <w:rPr>
            <w:rStyle w:val="Hyperlink"/>
          </w:rPr>
          <w:t xml:space="preserve">Babina et al., 2024</w:t>
        </w:r>
      </w:hyperlink>
      <w:r>
        <w:t xml:space="preserve">)</w:t>
      </w:r>
      <w:r>
        <w:t xml:space="preserve">.</w:t>
      </w:r>
    </w:p>
    <w:p>
      <w:pPr>
        <w:pStyle w:val="BodyText"/>
      </w:pPr>
      <w:r>
        <w:t xml:space="preserve">AKCLM define</w:t>
      </w:r>
      <w:r>
        <w:t xml:space="preserve"> </w:t>
      </w:r>
      <w:r>
        <w:t xml:space="preserve">“AI intensity”</w:t>
      </w:r>
      <w:r>
        <w:t xml:space="preserve"> </w:t>
      </w:r>
      <w:r>
        <w:t xml:space="preserve">as AI-related job postings divided by total job postings in US counties. There are two outcome variables: the level of AI intensity for each county-year and the growth of AI intensity between 2017-2018 and 2022-2023 for each county.</w:t>
      </w:r>
    </w:p>
    <w:p>
      <w:pPr>
        <w:pStyle w:val="BodyText"/>
      </w:pPr>
      <w:r>
        <w:t xml:space="preserve">AKCLM link county-level AI intensity to several explanatory factors. Education is captured by the share of adults with a college degree, innovation by local patenting activity</w:t>
      </w:r>
      <w:r>
        <w:t xml:space="preserve"> </w:t>
      </w:r>
      <w:r>
        <w:t xml:space="preserve">(</w:t>
      </w:r>
      <w:hyperlink w:anchor="ref-giczy2022">
        <w:r>
          <w:rPr>
            <w:rStyle w:val="Hyperlink"/>
          </w:rPr>
          <w:t xml:space="preserve">Giczy, Pairolero, and Toole, 2022</w:t>
        </w:r>
      </w:hyperlink>
      <w:r>
        <w:t xml:space="preserve">)</w:t>
      </w:r>
      <w:r>
        <w:t xml:space="preserve">, and industry by the composition of employment across sectors.</w:t>
      </w:r>
    </w:p>
    <w:p>
      <w:pPr>
        <w:pStyle w:val="BodyText"/>
      </w:pPr>
      <w:r>
        <w:t xml:space="preserve">AKCLM find that the level of AI intensity is associated with higher educational attainment, more innovation activity, and certain industry profiles. For the level of AI intensity, bachelor’s share and STEM degree share are positively associated, while manufacturing intensity is negatively associated. For the growth of AI intensity, STEM degree share remains significantly correlated, while turnover rate shows a negative association.</w:t>
      </w:r>
    </w:p>
    <w:p>
      <w:pPr>
        <w:pStyle w:val="BodyText"/>
      </w:pPr>
      <w:r>
        <w:t xml:space="preserve">We reproduce these results and extend the analysis by comparing unweighted specifications with log-population-weighted specifications. Some associations change in magnitude under alternative weighting schemes, but the pattern is not uniform. For the level of AI intensity, patents per employee shows the most robust association across weighting schemes, while bachelor’s share shows the largest magnitude decline. For the growth of AI intensity, STEM degree share shows the most consistent associations, though effect sizes diminish when we weight by log-population.</w:t>
      </w:r>
    </w:p>
    <w:p>
      <w:pPr>
        <w:pStyle w:val="BodyText"/>
      </w:pPr>
      <w:r>
        <w:t xml:space="preserve">Finally, AKCLM’s causal interpretations are not supported by the observational nature of their data</w:t>
      </w:r>
      <w:r>
        <w:t xml:space="preserve"> </w:t>
      </w:r>
      <w:r>
        <w:t xml:space="preserve">(</w:t>
      </w:r>
      <w:hyperlink w:anchor="ref-holland1986">
        <w:r>
          <w:rPr>
            <w:rStyle w:val="Hyperlink"/>
          </w:rPr>
          <w:t xml:space="preserve">Holland, 1986</w:t>
        </w:r>
      </w:hyperlink>
      <w:r>
        <w:t xml:space="preserve">)</w:t>
      </w:r>
      <w:r>
        <w:t xml:space="preserve">.</w:t>
      </w:r>
    </w:p>
    <w:bookmarkEnd w:id="14"/>
    <w:bookmarkStart w:id="15" w:name="data"/>
    <w:p>
      <w:pPr>
        <w:pStyle w:val="Heading2"/>
      </w:pPr>
      <w:r>
        <w:t xml:space="preserve">Data</w:t>
      </w:r>
    </w:p>
    <w:p>
      <w:pPr>
        <w:pStyle w:val="FirstParagraph"/>
      </w:pPr>
      <w:r>
        <w:t xml:space="preserve">AKCLM utilize multiple data sources to construct a comprehensive county-level dataset spanning 2014–2023:</w:t>
      </w:r>
    </w:p>
    <w:p>
      <w:pPr>
        <w:pStyle w:val="BodyText"/>
      </w:pPr>
      <w:r>
        <w:rPr>
          <w:i/>
          <w:iCs/>
        </w:rPr>
        <w:t xml:space="preserve">AI Job Posting Data</w:t>
      </w:r>
      <w:r>
        <w:t xml:space="preserve">: Lightcast</w:t>
      </w:r>
      <w:r>
        <w:t xml:space="preserve"> </w:t>
      </w:r>
      <w:r>
        <w:t xml:space="preserve">(</w:t>
      </w:r>
      <w:hyperlink w:anchor="ref-beckett2023">
        <w:r>
          <w:rPr>
            <w:rStyle w:val="Hyperlink"/>
          </w:rPr>
          <w:t xml:space="preserve">Beckett, 2023</w:t>
        </w:r>
      </w:hyperlink>
      <w:r>
        <w:t xml:space="preserve">)</w:t>
      </w:r>
      <w:r>
        <w:t xml:space="preserve"> </w:t>
      </w:r>
      <w:r>
        <w:t xml:space="preserve">aggregates job postings from over 40,000 online job boards, newspapers, and employer websites. AI-related jobs are identified through skills and keywords associated with AI development and use</w:t>
      </w:r>
      <w:r>
        <w:t xml:space="preserve"> </w:t>
      </w:r>
      <w:r>
        <w:t xml:space="preserve">(</w:t>
      </w:r>
      <w:hyperlink w:anchor="ref-acemoglu2022">
        <w:r>
          <w:rPr>
            <w:rStyle w:val="Hyperlink"/>
          </w:rPr>
          <w:t xml:space="preserve">Acemoglu et al., 2022</w:t>
        </w:r>
      </w:hyperlink>
      <w:r>
        <w:t xml:space="preserve">)</w:t>
      </w:r>
      <w:r>
        <w:t xml:space="preserve">. The first dependent variable, AI intensity, is defined as:</w:t>
      </w:r>
    </w:p>
    <w:p>
      <w:pPr>
        <w:pStyle w:val="BodyText"/>
      </w:pPr>
      <m:oMathPara>
        <m:oMathParaPr>
          <m:jc m:val="center"/>
        </m:oMathParaPr>
        <m:oMath>
          <m:r>
            <m:t>A</m:t>
          </m:r>
          <m:sSub>
            <m:e>
              <m:r>
                <m:t>I</m:t>
              </m:r>
            </m:e>
            <m:sub>
              <m:r>
                <m:t>i</m:t>
              </m:r>
              <m:r>
                <m:t>t</m:t>
              </m:r>
            </m:sub>
          </m:sSub>
          <m:r>
            <m:rPr>
              <m:sty m:val="p"/>
            </m:rPr>
            <m:t>=</m:t>
          </m:r>
          <m:f>
            <m:fPr>
              <m:type m:val="bar"/>
            </m:fPr>
            <m:num>
              <m:sSub>
                <m:e>
                  <m:r>
                    <m:rPr>
                      <m:nor/>
                      <m:sty m:val="p"/>
                    </m:rPr>
                    <m:t>AI job postings</m:t>
                  </m:r>
                </m:e>
                <m:sub>
                  <m:r>
                    <m:t>i</m:t>
                  </m:r>
                  <m:r>
                    <m:t>t</m:t>
                  </m:r>
                </m:sub>
              </m:sSub>
            </m:num>
            <m:den>
              <m:sSub>
                <m:e>
                  <m:r>
                    <m:rPr>
                      <m:nor/>
                      <m:sty m:val="p"/>
                    </m:rPr>
                    <m:t>Total job postings</m:t>
                  </m:r>
                </m:e>
                <m:sub>
                  <m:r>
                    <m:t>i</m:t>
                  </m:r>
                  <m:r>
                    <m:t>t</m:t>
                  </m:r>
                </m:sub>
              </m:sSub>
            </m:den>
          </m:f>
          <m:r>
            <m:rPr>
              <m:sty m:val="p"/>
            </m:rPr>
            <m:t>×</m:t>
          </m:r>
          <m:r>
            <m:t>100</m:t>
          </m:r>
        </m:oMath>
      </m:oMathPara>
    </w:p>
    <w:p>
      <w:pPr>
        <w:pStyle w:val="FirstParagraph"/>
      </w:pPr>
      <w:r>
        <w:t xml:space="preserve">AI intensity has a mean of 0.4 percentage points and a standard deviation of 1.1 percentage points across county-year observations.</w:t>
      </w:r>
    </w:p>
    <w:p>
      <w:pPr>
        <w:pStyle w:val="BodyText"/>
      </w:pPr>
      <w:r>
        <w:t xml:space="preserve">The second dependent variable captures the percentage point change in AI intensity between the 2017-2018 average and the 2022-2023 average:</w:t>
      </w:r>
    </w:p>
    <w:p>
      <w:pPr>
        <w:pStyle w:val="BodyText"/>
      </w:pPr>
      <m:oMathPara>
        <m:oMathParaPr>
          <m:jc m:val="center"/>
        </m:oMathParaPr>
        <m:oMath>
          <m:r>
            <m:rPr>
              <m:sty m:val="p"/>
            </m:rPr>
            <m:t>Δ</m:t>
          </m:r>
          <m:r>
            <m:t>A</m:t>
          </m:r>
          <m:sSub>
            <m:e>
              <m:r>
                <m:t>I</m:t>
              </m:r>
            </m:e>
            <m:sub>
              <m:r>
                <m:t>i</m:t>
              </m:r>
            </m:sub>
          </m:sSub>
          <m:r>
            <m:rPr>
              <m:sty m:val="p"/>
            </m:rPr>
            <m:t>=</m:t>
          </m:r>
          <m:f>
            <m:fPr>
              <m:type m:val="bar"/>
            </m:fPr>
            <m:num>
              <m:nary>
                <m:naryPr>
                  <m:chr m:val="∑"/>
                  <m:limLoc m:val="undOvr"/>
                  <m:subHide m:val="off"/>
                  <m:supHide m:val="on"/>
                </m:naryPr>
                <m:sub>
                  <m:r>
                    <m:t>t</m:t>
                  </m:r>
                  <m:r>
                    <m:rPr>
                      <m:sty m:val="p"/>
                    </m:rPr>
                    <m:t>∈</m:t>
                  </m:r>
                  <m:r>
                    <m:rPr>
                      <m:sty m:val="p"/>
                    </m:rPr>
                    <m:t>{</m:t>
                  </m:r>
                  <m:r>
                    <m:t>2022</m:t>
                  </m:r>
                  <m:r>
                    <m:rPr>
                      <m:sty m:val="p"/>
                    </m:rPr>
                    <m:t>,</m:t>
                  </m:r>
                  <m:r>
                    <m:t>2023</m:t>
                  </m:r>
                  <m:r>
                    <m:rPr>
                      <m:sty m:val="p"/>
                    </m:rPr>
                    <m:t>}</m:t>
                  </m:r>
                </m:sub>
                <m:sup>
                  <m:r>
                    <m:t>​</m:t>
                  </m:r>
                </m:sup>
                <m:e>
                  <m:sSub>
                    <m:e>
                      <m:r>
                        <m:rPr>
                          <m:nor/>
                          <m:sty m:val="p"/>
                        </m:rPr>
                        <m:t>AI</m:t>
                      </m:r>
                    </m:e>
                    <m:sub>
                      <m:r>
                        <m:t>i</m:t>
                      </m:r>
                      <m:r>
                        <m:t>t</m:t>
                      </m:r>
                    </m:sub>
                  </m:sSub>
                </m:e>
              </m:nary>
            </m:num>
            <m:den>
              <m:nary>
                <m:naryPr>
                  <m:chr m:val="∑"/>
                  <m:limLoc m:val="undOvr"/>
                  <m:subHide m:val="off"/>
                  <m:supHide m:val="on"/>
                </m:naryPr>
                <m:sub>
                  <m:r>
                    <m:t>t</m:t>
                  </m:r>
                  <m:r>
                    <m:rPr>
                      <m:sty m:val="p"/>
                    </m:rPr>
                    <m:t>∈</m:t>
                  </m:r>
                  <m:r>
                    <m:rPr>
                      <m:sty m:val="p"/>
                    </m:rPr>
                    <m:t>{</m:t>
                  </m:r>
                  <m:r>
                    <m:t>2022</m:t>
                  </m:r>
                  <m:r>
                    <m:rPr>
                      <m:sty m:val="p"/>
                    </m:rPr>
                    <m:t>,</m:t>
                  </m:r>
                  <m:r>
                    <m:t>2023</m:t>
                  </m:r>
                  <m:r>
                    <m:rPr>
                      <m:sty m:val="p"/>
                    </m:rPr>
                    <m:t>}</m:t>
                  </m:r>
                </m:sub>
                <m:sup>
                  <m:r>
                    <m:t>​</m:t>
                  </m:r>
                </m:sup>
                <m:e>
                  <m:sSub>
                    <m:e>
                      <m:r>
                        <m:rPr>
                          <m:nor/>
                          <m:sty m:val="p"/>
                        </m:rPr>
                        <m:t>Total</m:t>
                      </m:r>
                    </m:e>
                    <m:sub>
                      <m:r>
                        <m:t>i</m:t>
                      </m:r>
                      <m:r>
                        <m:t>t</m:t>
                      </m:r>
                    </m:sub>
                  </m:sSub>
                </m:e>
              </m:nary>
            </m:den>
          </m:f>
          <m:r>
            <m:rPr>
              <m:sty m:val="p"/>
            </m:rPr>
            <m:t>−</m:t>
          </m:r>
          <m:f>
            <m:fPr>
              <m:type m:val="bar"/>
            </m:fPr>
            <m:num>
              <m:nary>
                <m:naryPr>
                  <m:chr m:val="∑"/>
                  <m:limLoc m:val="undOvr"/>
                  <m:subHide m:val="off"/>
                  <m:supHide m:val="on"/>
                </m:naryPr>
                <m:sub>
                  <m:r>
                    <m:t>t</m:t>
                  </m:r>
                  <m:r>
                    <m:rPr>
                      <m:sty m:val="p"/>
                    </m:rPr>
                    <m:t>∈</m:t>
                  </m:r>
                  <m:r>
                    <m:rPr>
                      <m:sty m:val="p"/>
                    </m:rPr>
                    <m:t>{</m:t>
                  </m:r>
                  <m:r>
                    <m:t>2017</m:t>
                  </m:r>
                  <m:r>
                    <m:rPr>
                      <m:sty m:val="p"/>
                    </m:rPr>
                    <m:t>,</m:t>
                  </m:r>
                  <m:r>
                    <m:t>2018</m:t>
                  </m:r>
                  <m:r>
                    <m:rPr>
                      <m:sty m:val="p"/>
                    </m:rPr>
                    <m:t>}</m:t>
                  </m:r>
                </m:sub>
                <m:sup>
                  <m:r>
                    <m:t>​</m:t>
                  </m:r>
                </m:sup>
                <m:e>
                  <m:sSub>
                    <m:e>
                      <m:r>
                        <m:rPr>
                          <m:nor/>
                          <m:sty m:val="p"/>
                        </m:rPr>
                        <m:t>AI</m:t>
                      </m:r>
                    </m:e>
                    <m:sub>
                      <m:r>
                        <m:t>i</m:t>
                      </m:r>
                      <m:r>
                        <m:t>t</m:t>
                      </m:r>
                    </m:sub>
                  </m:sSub>
                </m:e>
              </m:nary>
            </m:num>
            <m:den>
              <m:nary>
                <m:naryPr>
                  <m:chr m:val="∑"/>
                  <m:limLoc m:val="undOvr"/>
                  <m:subHide m:val="off"/>
                  <m:supHide m:val="on"/>
                </m:naryPr>
                <m:sub>
                  <m:r>
                    <m:t>t</m:t>
                  </m:r>
                  <m:r>
                    <m:rPr>
                      <m:sty m:val="p"/>
                    </m:rPr>
                    <m:t>∈</m:t>
                  </m:r>
                  <m:r>
                    <m:rPr>
                      <m:sty m:val="p"/>
                    </m:rPr>
                    <m:t>{</m:t>
                  </m:r>
                  <m:r>
                    <m:t>2017</m:t>
                  </m:r>
                  <m:r>
                    <m:rPr>
                      <m:sty m:val="p"/>
                    </m:rPr>
                    <m:t>,</m:t>
                  </m:r>
                  <m:r>
                    <m:t>2018</m:t>
                  </m:r>
                  <m:r>
                    <m:rPr>
                      <m:sty m:val="p"/>
                    </m:rPr>
                    <m:t>}</m:t>
                  </m:r>
                </m:sub>
                <m:sup>
                  <m:r>
                    <m:t>​</m:t>
                  </m:r>
                </m:sup>
                <m:e>
                  <m:sSub>
                    <m:e>
                      <m:r>
                        <m:rPr>
                          <m:nor/>
                          <m:sty m:val="p"/>
                        </m:rPr>
                        <m:t>Total</m:t>
                      </m:r>
                    </m:e>
                    <m:sub>
                      <m:r>
                        <m:t>i</m:t>
                      </m:r>
                      <m:r>
                        <m:t>t</m:t>
                      </m:r>
                    </m:sub>
                  </m:sSub>
                </m:e>
              </m:nary>
            </m:den>
          </m:f>
        </m:oMath>
      </m:oMathPara>
    </w:p>
    <w:p>
      <w:pPr>
        <w:pStyle w:val="FirstParagraph"/>
      </w:pPr>
      <w:r>
        <w:t xml:space="preserve">The change in AI intensity has a mean of 0.3 percentage points and a standard deviation of 1.0 percentage points across counties.</w:t>
      </w:r>
    </w:p>
    <w:p>
      <w:pPr>
        <w:pStyle w:val="BodyText"/>
      </w:pPr>
      <w:r>
        <w:rPr>
          <w:i/>
          <w:iCs/>
        </w:rPr>
        <w:t xml:space="preserve">Demographic Variables</w:t>
      </w:r>
      <w:r>
        <w:t xml:space="preserve">: From the American Community Survey</w:t>
      </w:r>
      <w:r>
        <w:t xml:space="preserve"> </w:t>
      </w:r>
      <w:r>
        <w:t xml:space="preserve">(</w:t>
      </w:r>
      <w:hyperlink w:anchor="ref-census_acs">
        <w:r>
          <w:rPr>
            <w:rStyle w:val="Hyperlink"/>
          </w:rPr>
          <w:t xml:space="preserve">U.S. Census Bureau, 2024a</w:t>
        </w:r>
      </w:hyperlink>
      <w:r>
        <w:t xml:space="preserve">)</w:t>
      </w:r>
      <w:r>
        <w:t xml:space="preserve">, AKCLM construct several county-level demographic measures, including bachelor’s share (percentage of workforce with bachelor’s degree or higher), black population share (percentage of county population identifying as Black), poverty share (percentage of population below federal poverty line), log-population (natural logarithm of county population), and log median income (natural logarithm of median household income).</w:t>
      </w:r>
    </w:p>
    <w:p>
      <w:pPr>
        <w:pStyle w:val="BodyText"/>
      </w:pPr>
      <w:r>
        <w:rPr>
          <w:i/>
          <w:iCs/>
        </w:rPr>
        <w:t xml:space="preserve">Innovation Indicators</w:t>
      </w:r>
      <w:r>
        <w:t xml:space="preserve">: AKCLM construct several innovation measures, including patents per employee (USPTO patent counts normalized by employment), AI patents share (percentage of patents classified as AI-related)</w:t>
      </w:r>
      <w:r>
        <w:t xml:space="preserve"> </w:t>
      </w:r>
      <w:r>
        <w:t xml:space="preserve">(</w:t>
      </w:r>
      <w:hyperlink w:anchor="ref-giczy2022">
        <w:r>
          <w:rPr>
            <w:rStyle w:val="Hyperlink"/>
          </w:rPr>
          <w:t xml:space="preserve">Giczy, Pairolero, and Toole, 2022</w:t>
        </w:r>
      </w:hyperlink>
      <w:r>
        <w:t xml:space="preserve">)</w:t>
      </w:r>
      <w:r>
        <w:t xml:space="preserve">, STEM degrees share (percentage of awarded degrees in STEM fields), and degrees per capita (total degrees awarded per capita).</w:t>
      </w:r>
    </w:p>
    <w:p>
      <w:pPr>
        <w:pStyle w:val="BodyText"/>
      </w:pPr>
      <w:r>
        <w:rPr>
          <w:i/>
          <w:iCs/>
        </w:rPr>
        <w:t xml:space="preserve">Industry, Labor Market, and Housing Variables</w:t>
      </w:r>
      <w:r>
        <w:t xml:space="preserve">: AKCLM construct several industry, labor market, and housing measures, including labor market tightness (ratio of job postings to unemployed workers)</w:t>
      </w:r>
      <w:r>
        <w:t xml:space="preserve"> </w:t>
      </w:r>
      <w:r>
        <w:t xml:space="preserve">(</w:t>
      </w:r>
      <w:hyperlink w:anchor="ref-bls_laus">
        <w:r>
          <w:rPr>
            <w:rStyle w:val="Hyperlink"/>
          </w:rPr>
          <w:t xml:space="preserve">U.S. Bureau of Labor Statistics, 2024</w:t>
        </w:r>
      </w:hyperlink>
      <w:r>
        <w:t xml:space="preserve">)</w:t>
      </w:r>
      <w:r>
        <w:t xml:space="preserve">, manufacturing intensity (employment share in manufacturing sector)</w:t>
      </w:r>
      <w:r>
        <w:t xml:space="preserve"> </w:t>
      </w:r>
      <w:r>
        <w:t xml:space="preserve">(</w:t>
      </w:r>
      <w:hyperlink w:anchor="ref-census_cbp">
        <w:r>
          <w:rPr>
            <w:rStyle w:val="Hyperlink"/>
          </w:rPr>
          <w:t xml:space="preserve">U.S. Census Bureau, 2024b</w:t>
        </w:r>
      </w:hyperlink>
      <w:r>
        <w:t xml:space="preserve">)</w:t>
      </w:r>
      <w:r>
        <w:t xml:space="preserve">, ICT intensity (employment share in information and communication technology), turnover rate (worker separation rate from Quarterly Workforce Indicators)</w:t>
      </w:r>
      <w:r>
        <w:t xml:space="preserve"> </w:t>
      </w:r>
      <w:r>
        <w:t xml:space="preserve">(</w:t>
      </w:r>
      <w:hyperlink w:anchor="ref-census_qwi">
        <w:r>
          <w:rPr>
            <w:rStyle w:val="Hyperlink"/>
          </w:rPr>
          <w:t xml:space="preserve">U.S. Census Bureau, 2024c</w:t>
        </w:r>
      </w:hyperlink>
      <w:r>
        <w:t xml:space="preserve">)</w:t>
      </w:r>
      <w:r>
        <w:t xml:space="preserve">, large establishments share (percentage of employment in large firms), and house price growth from the Federal Housing Finance Agency</w:t>
      </w:r>
      <w:r>
        <w:t xml:space="preserve"> </w:t>
      </w:r>
      <w:r>
        <w:t xml:space="preserve">(</w:t>
      </w:r>
      <w:hyperlink w:anchor="ref-bogin2019">
        <w:r>
          <w:rPr>
            <w:rStyle w:val="Hyperlink"/>
          </w:rPr>
          <w:t xml:space="preserve">Bogin, Doerner, and Larson, 2019</w:t>
        </w:r>
      </w:hyperlink>
      <w:r>
        <w:t xml:space="preserve">)</w:t>
      </w:r>
      <w:r>
        <w:t xml:space="preserve">.</w:t>
      </w:r>
    </w:p>
    <w:p>
      <w:pPr>
        <w:pStyle w:val="BodyText"/>
      </w:pPr>
      <w:r>
        <w:t xml:space="preserve">All explanatory variables are lagged by one year.</w:t>
      </w:r>
    </w:p>
    <w:p>
      <w:pPr>
        <w:pStyle w:val="BodyText"/>
      </w:pPr>
      <w:r>
        <w:t xml:space="preserve">An important statistical issue arises from the construction of labor market tightness. AI intensity is defined as AI job postings divided by total job postings, while labor market tightness is constructed as total job postings divided by unemployed workers. Total job postings thus appears in the denominator of the dependent variable and in the numerator of a key regressor.</w:t>
      </w:r>
    </w:p>
    <w:p>
      <w:pPr>
        <w:pStyle w:val="BodyText"/>
      </w:pPr>
      <w:r>
        <w:t xml:space="preserve">This creates denominator contamination, or a ratio-induced mechanical relationship: both sides of the regression share the same underlying quantity, inducing a correlation that exists purely through algebraic construction. Holding AI postings and unemployment fixed, an increase in total postings lowers AI intensity and raises labor market tightness, implying a negative mechanical relationship. AKCLM’s preferred tightness coefficient is positive, so this particular mechanical channel would work against the reported positive sign rather than mechanically generating it.</w:t>
      </w:r>
    </w:p>
    <w:p>
      <w:pPr>
        <w:pStyle w:val="BodyText"/>
      </w:pPr>
      <m:oMathPara>
        <m:oMathParaPr>
          <m:jc m:val="center"/>
        </m:oMathParaPr>
        <m:oMath>
          <m:f>
            <m:fPr>
              <m:type m:val="bar"/>
            </m:fPr>
            <m:num>
              <m:sSub>
                <m:e>
                  <m:r>
                    <m:rPr>
                      <m:nor/>
                      <m:sty m:val="p"/>
                    </m:rPr>
                    <m:t>AI job postings</m:t>
                  </m:r>
                </m:e>
                <m:sub>
                  <m:r>
                    <m:t>i</m:t>
                  </m:r>
                  <m:r>
                    <m:t>t</m:t>
                  </m:r>
                </m:sub>
              </m:sSub>
            </m:num>
            <m:den>
              <m:sSub>
                <m:e>
                  <m:r>
                    <m:rPr>
                      <m:nor/>
                      <m:sty m:val="p"/>
                    </m:rPr>
                    <m:t>Total job postings</m:t>
                  </m:r>
                </m:e>
                <m:sub>
                  <m:r>
                    <m:t>i</m:t>
                  </m:r>
                  <m:r>
                    <m:t>t</m:t>
                  </m:r>
                </m:sub>
              </m:sSub>
            </m:den>
          </m:f>
          <m:r>
            <m:rPr>
              <m:sty m:val="p"/>
            </m:rPr>
            <m:t>=</m:t>
          </m:r>
          <m:r>
            <m:t>α</m:t>
          </m:r>
          <m:r>
            <m:rPr>
              <m:sty m:val="p"/>
            </m:rPr>
            <m:t>+</m:t>
          </m:r>
          <m:r>
            <m:t>β</m:t>
          </m:r>
          <m:f>
            <m:fPr>
              <m:type m:val="bar"/>
            </m:fPr>
            <m:num>
              <m:sSub>
                <m:e>
                  <m:r>
                    <m:rPr>
                      <m:nor/>
                      <m:sty m:val="p"/>
                    </m:rPr>
                    <m:t>Total job postings</m:t>
                  </m:r>
                </m:e>
                <m:sub>
                  <m:r>
                    <m:t>i</m:t>
                  </m:r>
                  <m:r>
                    <m:t>t</m:t>
                  </m:r>
                </m:sub>
              </m:sSub>
            </m:num>
            <m:den>
              <m:sSub>
                <m:e>
                  <m:r>
                    <m:rPr>
                      <m:nor/>
                      <m:sty m:val="p"/>
                    </m:rPr>
                    <m:t>Unemployed</m:t>
                  </m:r>
                </m:e>
                <m:sub>
                  <m:r>
                    <m:t>i</m:t>
                  </m:r>
                  <m:r>
                    <m:t>t</m:t>
                  </m:r>
                </m:sub>
              </m:sSub>
            </m:den>
          </m:f>
          <m:r>
            <m:rPr>
              <m:sty m:val="p"/>
            </m:rPr>
            <m:t>+</m:t>
          </m:r>
          <m:sSubSup>
            <m:e>
              <m:r>
                <m:t>X</m:t>
              </m:r>
            </m:e>
            <m:sub>
              <m:r>
                <m:t>i</m:t>
              </m:r>
              <m:r>
                <m:t>t</m:t>
              </m:r>
            </m:sub>
            <m:sup>
              <m:r>
                <m:rPr>
                  <m:sty m:val="p"/>
                </m:rPr>
                <m:t>′</m:t>
              </m:r>
            </m:sup>
          </m:sSubSup>
          <m:r>
            <m:t>γ</m:t>
          </m:r>
          <m:r>
            <m:rPr>
              <m:sty m:val="p"/>
            </m:rPr>
            <m:t>+</m:t>
          </m:r>
          <m:sSub>
            <m:e>
              <m:r>
                <m:t>ε</m:t>
              </m:r>
            </m:e>
            <m:sub>
              <m:r>
                <m:t>i</m:t>
              </m:r>
              <m:r>
                <m:t>t</m:t>
              </m:r>
            </m:sub>
          </m:sSub>
        </m:oMath>
      </m:oMathPara>
    </w:p>
    <w:p>
      <w:pPr>
        <w:pStyle w:val="FirstParagraph"/>
      </w:pPr>
      <w:r>
        <w:t xml:space="preserve">This can still affect coefficient estimates and should be reported transparently. The issue is analogous to regressing</w:t>
      </w:r>
      <w:r>
        <w:t xml:space="preserve"> </w:t>
      </w:r>
      <m:oMath>
        <m:r>
          <m:t>Y</m:t>
        </m:r>
        <m:r>
          <m:rPr>
            <m:sty m:val="p"/>
          </m:rPr>
          <m:t>/</m:t>
        </m:r>
        <m:r>
          <m:t>Z</m:t>
        </m:r>
      </m:oMath>
      <w:r>
        <w:t xml:space="preserve"> </w:t>
      </w:r>
      <w:r>
        <w:t xml:space="preserve">on</w:t>
      </w:r>
      <w:r>
        <w:t xml:space="preserve"> </w:t>
      </w:r>
      <m:oMath>
        <m:r>
          <m:t>Z</m:t>
        </m:r>
        <m:r>
          <m:rPr>
            <m:sty m:val="p"/>
          </m:rPr>
          <m:t>/</m:t>
        </m:r>
        <m:r>
          <m:t>X</m:t>
        </m:r>
      </m:oMath>
      <w:r>
        <w:t xml:space="preserve"> </w:t>
      </w:r>
      <w:r>
        <w:t xml:space="preserve">where the shared</w:t>
      </w:r>
      <w:r>
        <w:t xml:space="preserve"> </w:t>
      </w:r>
      <m:oMath>
        <m:r>
          <m:t>Z</m:t>
        </m:r>
      </m:oMath>
      <w:r>
        <w:t xml:space="preserve"> </w:t>
      </w:r>
      <w:r>
        <w:t xml:space="preserve">induces correlation even when</w:t>
      </w:r>
      <w:r>
        <w:t xml:space="preserve"> </w:t>
      </w:r>
      <m:oMath>
        <m:r>
          <m:t>Y</m:t>
        </m:r>
      </m:oMath>
      <w:r>
        <w:t xml:space="preserve"> </w:t>
      </w:r>
      <w:r>
        <w:t xml:space="preserve">and</w:t>
      </w:r>
      <w:r>
        <w:t xml:space="preserve"> </w:t>
      </w:r>
      <m:oMath>
        <m:r>
          <m:t>X</m:t>
        </m:r>
      </m:oMath>
      <w:r>
        <w:t xml:space="preserve"> </w:t>
      </w:r>
      <w:r>
        <w:t xml:space="preserve">are actually independent. Kronmal</w:t>
      </w:r>
      <w:r>
        <w:t xml:space="preserve"> </w:t>
      </w:r>
      <w:r>
        <w:t xml:space="preserve">(</w:t>
      </w:r>
      <w:hyperlink w:anchor="ref-kronmal1993spurious">
        <w:r>
          <w:rPr>
            <w:rStyle w:val="Hyperlink"/>
          </w:rPr>
          <w:t xml:space="preserve">1993</w:t>
        </w:r>
      </w:hyperlink>
      <w:r>
        <w:t xml:space="preserve">)</w:t>
      </w:r>
      <w:r>
        <w:t xml:space="preserve"> </w:t>
      </w:r>
      <w:r>
        <w:t xml:space="preserve">shows that when the dependent variable is a ratio sharing a component with an independent variable,</w:t>
      </w:r>
      <w:r>
        <w:t xml:space="preserve"> </w:t>
      </w:r>
      <w:r>
        <w:t xml:space="preserve">“regression coefficient estimates for the other independent variables … result in inappropriate conclusions.”</w:t>
      </w:r>
    </w:p>
    <w:bookmarkEnd w:id="15"/>
    <w:bookmarkStart w:id="27" w:name="replication"/>
    <w:p>
      <w:pPr>
        <w:pStyle w:val="Heading2"/>
      </w:pPr>
      <w:r>
        <w:t xml:space="preserve">Replication</w:t>
      </w:r>
    </w:p>
    <w:p>
      <w:pPr>
        <w:pStyle w:val="FirstParagraph"/>
      </w:pPr>
      <w:r>
        <w:t xml:space="preserve">We use R</w:t>
      </w:r>
      <w:r>
        <w:t xml:space="preserve"> </w:t>
      </w:r>
      <w:r>
        <w:t xml:space="preserve">(</w:t>
      </w:r>
      <w:hyperlink w:anchor="ref-ihaka1996r">
        <w:r>
          <w:rPr>
            <w:rStyle w:val="Hyperlink"/>
          </w:rPr>
          <w:t xml:space="preserve">Ihaka and Gentleman, 1996</w:t>
        </w:r>
      </w:hyperlink>
      <w:r>
        <w:t xml:space="preserve">)</w:t>
      </w:r>
      <w:r>
        <w:t xml:space="preserve"> </w:t>
      </w:r>
      <w:r>
        <w:t xml:space="preserve">and the tidyverse collection of packages</w:t>
      </w:r>
      <w:r>
        <w:t xml:space="preserve"> </w:t>
      </w:r>
      <w:r>
        <w:t xml:space="preserve">(</w:t>
      </w:r>
      <w:hyperlink w:anchor="ref-tidyverse">
        <w:r>
          <w:rPr>
            <w:rStyle w:val="Hyperlink"/>
          </w:rPr>
          <w:t xml:space="preserve">Wickham et al., 2019</w:t>
        </w:r>
      </w:hyperlink>
      <w:r>
        <w:t xml:space="preserve">)</w:t>
      </w:r>
      <w:r>
        <w:t xml:space="preserve">. To estimate and display regression models, we use fixest</w:t>
      </w:r>
      <w:r>
        <w:t xml:space="preserve"> </w:t>
      </w:r>
      <w:r>
        <w:t xml:space="preserve">(</w:t>
      </w:r>
      <w:hyperlink w:anchor="ref-fixest">
        <w:r>
          <w:rPr>
            <w:rStyle w:val="Hyperlink"/>
          </w:rPr>
          <w:t xml:space="preserve">Bergé, 2018</w:t>
        </w:r>
      </w:hyperlink>
      <w:r>
        <w:t xml:space="preserve">)</w:t>
      </w:r>
      <w:r>
        <w:t xml:space="preserve"> </w:t>
      </w:r>
      <w:r>
        <w:t xml:space="preserve">and modelsummary</w:t>
      </w:r>
      <w:r>
        <w:t xml:space="preserve"> </w:t>
      </w:r>
      <w:r>
        <w:t xml:space="preserve">(</w:t>
      </w:r>
      <w:hyperlink w:anchor="ref-modelsummary">
        <w:r>
          <w:rPr>
            <w:rStyle w:val="Hyperlink"/>
          </w:rPr>
          <w:t xml:space="preserve">Arel-Bundock, 2022</w:t>
        </w:r>
      </w:hyperlink>
      <w:r>
        <w:t xml:space="preserve">)</w:t>
      </w:r>
      <w:r>
        <w:t xml:space="preserve">.</w:t>
      </w:r>
    </w:p>
    <w:p>
      <w:pPr>
        <w:pStyle w:val="BodyText"/>
      </w:pPr>
      <w:r>
        <w:t xml:space="preserve">Our reproduction begins from the intermediate replication materials released with AKCLM: the authors’</w:t>
      </w:r>
      <w:r>
        <w:t xml:space="preserve"> </w:t>
      </w:r>
      <w:r>
        <w:rPr>
          <w:rStyle w:val="VerbatimChar"/>
        </w:rPr>
        <w:t xml:space="preserve">data.csv</w:t>
      </w:r>
      <w:r>
        <w:t xml:space="preserve"> </w:t>
      </w:r>
      <w:r>
        <w:t xml:space="preserve">and</w:t>
      </w:r>
      <w:r>
        <w:t xml:space="preserve"> </w:t>
      </w:r>
      <w:r>
        <w:rPr>
          <w:rStyle w:val="VerbatimChar"/>
        </w:rPr>
        <w:t xml:space="preserve">replication_code.R</w:t>
      </w:r>
      <w:r>
        <w:t xml:space="preserve"> </w:t>
      </w:r>
      <w:r>
        <w:t xml:space="preserve">from the openICPSR archive. We do not reconstruct the full county-year dataset from the underlying raw sources such as Lightcast, ACS, QWI, CBP, LAUS, FHFA, and patent records. Instead, we treat AKCLM’s released</w:t>
      </w:r>
      <w:r>
        <w:t xml:space="preserve"> </w:t>
      </w:r>
      <w:r>
        <w:rPr>
          <w:rStyle w:val="VerbatimChar"/>
        </w:rPr>
        <w:t xml:space="preserve">data.csv</w:t>
      </w:r>
      <w:r>
        <w:t xml:space="preserve"> </w:t>
      </w:r>
      <w:r>
        <w:t xml:space="preserve">as the analysis-ready input and rerun the estimation and figure-construction steps from that point. For Tables 1 and 2, we recreate the variables, samples, standardization, weights, fixed effects, and model specifications from the published replication code, then compare the resulting estimates with the published tables. For Figure 1, the archive does not include code that directly generates the published maps. We therefore compare the published figure image with maps generated from the released data and the definitions stated in the article.</w:t>
      </w:r>
    </w:p>
    <w:p>
      <w:pPr>
        <w:pStyle w:val="BodyText"/>
      </w:pPr>
      <w:r>
        <w:t xml:space="preserve">For comparability with AKCLM, the main-text reproduction tables follow AKCLM’s reporting convention and display variables that have statistically significant coefficients in at least one model specification. Full unselected regression output for all variables appears in the appendix.</w:t>
      </w:r>
    </w:p>
    <w:bookmarkStart w:id="19" w:name="table-1"/>
    <w:p>
      <w:pPr>
        <w:pStyle w:val="Heading3"/>
      </w:pPr>
      <w:r>
        <w:t xml:space="preserve">Table 1</w:t>
      </w:r>
    </w:p>
    <w:p>
      <w:pPr>
        <w:pStyle w:val="FirstParagraph"/>
      </w:pPr>
      <w:r>
        <w:t xml:space="preserve">The core model for the level of AI intensity is a two-way fixed-effects regression:</w:t>
      </w:r>
    </w:p>
    <w:p>
      <w:pPr>
        <w:pStyle w:val="BodyText"/>
      </w:pPr>
      <m:oMathPara>
        <m:oMathParaPr>
          <m:jc m:val="center"/>
        </m:oMathParaPr>
        <m:oMath>
          <m:r>
            <m:t>A</m:t>
          </m:r>
          <m:sSub>
            <m:e>
              <m:r>
                <m:t>I</m:t>
              </m:r>
            </m:e>
            <m:sub>
              <m:r>
                <m:t>i</m:t>
              </m:r>
              <m:r>
                <m:t>t</m:t>
              </m:r>
            </m:sub>
          </m:sSub>
          <m:r>
            <m:rPr>
              <m:sty m:val="p"/>
            </m:rPr>
            <m:t>=</m:t>
          </m:r>
          <m:sSub>
            <m:e>
              <m:r>
                <m:t>α</m:t>
              </m:r>
            </m:e>
            <m:sub>
              <m:r>
                <m:t>i</m:t>
              </m:r>
            </m:sub>
          </m:sSub>
          <m:r>
            <m:rPr>
              <m:sty m:val="p"/>
            </m:rPr>
            <m:t>+</m:t>
          </m:r>
          <m:sSub>
            <m:e>
              <m:r>
                <m:t>α</m:t>
              </m:r>
            </m:e>
            <m:sub>
              <m:r>
                <m:t>t</m:t>
              </m:r>
            </m:sub>
          </m:sSub>
          <m:r>
            <m:rPr>
              <m:sty m:val="p"/>
            </m:rPr>
            <m:t>+</m:t>
          </m:r>
          <m:sSup>
            <m:e>
              <m:r>
                <m:rPr>
                  <m:sty m:val="b"/>
                </m:rPr>
                <m:t>β</m:t>
              </m:r>
            </m:e>
            <m:sup>
              <m:r>
                <m:rPr>
                  <m:sty m:val="p"/>
                </m:rPr>
                <m:t>′</m:t>
              </m:r>
            </m:sup>
          </m:sSup>
          <m:sSub>
            <m:e>
              <m:r>
                <m:rPr>
                  <m:sty m:val="b"/>
                </m:rPr>
                <m:t>X</m:t>
              </m:r>
            </m:e>
            <m:sub>
              <m:r>
                <m:t>i</m:t>
              </m:r>
              <m:r>
                <m:t>t</m:t>
              </m:r>
              <m:r>
                <m:rPr>
                  <m:sty m:val="p"/>
                </m:rPr>
                <m:t>−</m:t>
              </m:r>
              <m:r>
                <m:t>1</m:t>
              </m:r>
            </m:sub>
          </m:sSub>
          <m:r>
            <m:rPr>
              <m:sty m:val="p"/>
            </m:rPr>
            <m:t>+</m:t>
          </m:r>
          <m:sSub>
            <m:e>
              <m:r>
                <m:t>ε</m:t>
              </m:r>
            </m:e>
            <m:sub>
              <m:r>
                <m:t>i</m:t>
              </m:r>
              <m:r>
                <m:t>t</m:t>
              </m:r>
            </m:sub>
          </m:sSub>
        </m:oMath>
      </m:oMathPara>
    </w:p>
    <w:p>
      <w:pPr>
        <w:pStyle w:val="FirstParagraph"/>
      </w:pPr>
      <w:r>
        <w:t xml:space="preserve">where</w:t>
      </w:r>
      <w:r>
        <w:t xml:space="preserve"> </w:t>
      </w:r>
      <m:oMath>
        <m:sSub>
          <m:e>
            <m:r>
              <m:t>α</m:t>
            </m:r>
          </m:e>
          <m:sub>
            <m:r>
              <m:t>i</m:t>
            </m:r>
          </m:sub>
        </m:sSub>
      </m:oMath>
      <w:r>
        <w:t xml:space="preserve"> </w:t>
      </w:r>
      <w:r>
        <w:t xml:space="preserve">and</w:t>
      </w:r>
      <w:r>
        <w:t xml:space="preserve"> </w:t>
      </w:r>
      <m:oMath>
        <m:sSub>
          <m:e>
            <m:r>
              <m:t>α</m:t>
            </m:r>
          </m:e>
          <m:sub>
            <m:r>
              <m:t>t</m:t>
            </m:r>
          </m:sub>
        </m:sSub>
      </m:oMath>
      <w:r>
        <w:t xml:space="preserve"> </w:t>
      </w:r>
      <w:r>
        <w:t xml:space="preserve">are county and year fixed effects,</w:t>
      </w:r>
      <w:r>
        <w:t xml:space="preserve"> </w:t>
      </w:r>
      <m:oMath>
        <m:sSub>
          <m:e>
            <m:r>
              <m:rPr>
                <m:sty m:val="b"/>
              </m:rPr>
              <m:t>X</m:t>
            </m:r>
          </m:e>
          <m:sub>
            <m:r>
              <m:t>i</m:t>
            </m:r>
            <m:r>
              <m:t>t</m:t>
            </m:r>
            <m:r>
              <m:rPr>
                <m:sty m:val="p"/>
              </m:rPr>
              <m:t>−</m:t>
            </m:r>
            <m:r>
              <m:t>1</m:t>
            </m:r>
          </m:sub>
        </m:sSub>
      </m:oMath>
      <w:r>
        <w:t xml:space="preserve"> </w:t>
      </w:r>
      <w:r>
        <w:t xml:space="preserve">is a vector of standardized regressors lagged one year, and</w:t>
      </w:r>
      <w:r>
        <w:t xml:space="preserve"> </w:t>
      </w:r>
      <m:oMath>
        <m:sSub>
          <m:e>
            <m:r>
              <m:t>ε</m:t>
            </m:r>
          </m:e>
          <m:sub>
            <m:r>
              <m:t>i</m:t>
            </m:r>
            <m:r>
              <m:t>t</m:t>
            </m:r>
          </m:sub>
        </m:sSub>
      </m:oMath>
      <w:r>
        <w:t xml:space="preserve"> </w:t>
      </w:r>
      <w:r>
        <w:t xml:space="preserve">is an error term clustered at the county level.</w:t>
      </w:r>
    </w:p>
    <w:p>
      <w:pPr>
        <w:pStyle w:val="BodyText"/>
      </w:pPr>
      <w:r>
        <w:t xml:space="preserve">We reproduce Table 1 from AKCLM. All coefficients and standard errors match the original results when we retain the weighting used in AKCLM’s released code.</w:t>
      </w:r>
    </w:p>
    <w:tbl>
      <w:tblPr>
        <w:tblStyle w:val="Table"/>
        <w:tblW w:type="pct" w:w="5000"/>
        <w:tblLayout w:type="fixed"/>
        <w:tblLook w:firstRow="0" w:lastRow="0" w:firstColumn="0" w:lastColumn="0" w:noHBand="0" w:noVBand="0" w:val="0000"/>
      </w:tblPr>
      <w:tblGrid>
        <w:gridCol w:w="7920"/>
      </w:tblGrid>
      <w:tr>
        <w:tc>
          <w:tcPr/>
          <w:bookmarkStart w:id="16" w:name="tbl-table1"/>
          <w:p>
            <w:pPr>
              <w:jc w:val="center"/>
            </w:pPr>
            <w:pPr>
              <w:jc w:val="left"/>
              <w:spacing w:before="200"/>
              <w:pStyle w:val="ImageCaption"/>
            </w:pPr>
            <w:r>
              <w:t xml:space="preserve">Table 1: AKCLM and replication estimates for the level of AI intensity</w:t>
            </w:r>
          </w:p>
          <w:tbl>
            <w:tblPr>
              <w:tblStyle w:val="Table"/>
              <w:tblW w:type="pct" w:w="5000"/>
              <w:tblLayout w:type="fixed"/>
              <w:tblLook w:firstRow="1" w:lastRow="0" w:firstColumn="0" w:lastColumn="0" w:noHBand="0" w:noVBand="0" w:val="0020"/>
            </w:tblPr>
            <w:tblGrid>
              <w:gridCol w:w="1638"/>
              <w:gridCol w:w="2184"/>
              <w:gridCol w:w="1547"/>
              <w:gridCol w:w="1547"/>
              <w:gridCol w:w="1001"/>
            </w:tblGrid>
            <w:tr>
              <w:trPr>
                <w:tblHeader w:val="on"/>
              </w:trPr>
              <w:tc>
                <w:tcPr/>
                <w:p>
                  <w:pPr>
                    <w:pStyle w:val="Compact"/>
                    <w:jc w:val="left"/>
                    <w:jc w:val="center"/>
                  </w:pPr>
                  <w:r>
                    <w:t xml:space="preserve">Model</w:t>
                  </w:r>
                </w:p>
              </w:tc>
              <w:tc>
                <w:tcPr/>
                <w:p>
                  <w:pPr>
                    <w:pStyle w:val="Compact"/>
                    <w:jc w:val="left"/>
                    <w:jc w:val="center"/>
                  </w:pPr>
                  <w:r>
                    <w:t xml:space="preserve">Variable</w:t>
                  </w:r>
                </w:p>
              </w:tc>
              <w:tc>
                <w:tcPr/>
                <w:p>
                  <w:pPr>
                    <w:pStyle w:val="Compact"/>
                    <w:jc w:val="right"/>
                    <w:jc w:val="center"/>
                  </w:pPr>
                  <w:r>
                    <w:t xml:space="preserve">Original</w:t>
                  </w:r>
                </w:p>
              </w:tc>
              <w:tc>
                <w:tcPr/>
                <w:p>
                  <w:pPr>
                    <w:pStyle w:val="Compact"/>
                    <w:jc w:val="right"/>
                    <w:jc w:val="center"/>
                  </w:pPr>
                  <w:r>
                    <w:t xml:space="preserve">Replication</w:t>
                  </w:r>
                </w:p>
              </w:tc>
              <w:tc>
                <w:tcPr/>
                <w:p>
                  <w:pPr>
                    <w:pStyle w:val="Compact"/>
                    <w:jc w:val="right"/>
                    <w:jc w:val="center"/>
                  </w:pPr>
                  <w:r>
                    <w:t xml:space="preserve">Difference</w:t>
                  </w:r>
                </w:p>
              </w:tc>
            </w:tr>
            <w:tr>
              <w:tc>
                <w:tcPr/>
                <w:p>
                  <w:pPr>
                    <w:pStyle w:val="Compact"/>
                    <w:jc w:val="left"/>
                    <w:jc w:val="center"/>
                  </w:pPr>
                  <w:r>
                    <w:t xml:space="preserve">(1) Demographics</w:t>
                  </w:r>
                </w:p>
              </w:tc>
              <w:tc>
                <w:tcPr/>
                <w:p>
                  <w:pPr>
                    <w:pStyle w:val="Compact"/>
                    <w:jc w:val="left"/>
                    <w:jc w:val="center"/>
                  </w:pPr>
                  <w:r>
                    <w:t xml:space="preserve">Bachelor’s share</w:t>
                  </w:r>
                </w:p>
              </w:tc>
              <w:tc>
                <w:tcPr/>
                <w:p>
                  <w:pPr>
                    <w:pStyle w:val="Compact"/>
                    <w:jc w:val="right"/>
                    <w:jc w:val="center"/>
                  </w:pPr>
                  <w:r>
                    <w:t xml:space="preserve">0.1906 (0.0513)</w:t>
                  </w:r>
                </w:p>
              </w:tc>
              <w:tc>
                <w:tcPr/>
                <w:p>
                  <w:pPr>
                    <w:pStyle w:val="Compact"/>
                    <w:jc w:val="right"/>
                    <w:jc w:val="center"/>
                  </w:pPr>
                  <w:r>
                    <w:t xml:space="preserve">0.1906 (0.0513)</w:t>
                  </w:r>
                </w:p>
              </w:tc>
              <w:tc>
                <w:tcPr/>
                <w:p>
                  <w:pPr>
                    <w:pStyle w:val="Compact"/>
                    <w:jc w:val="right"/>
                    <w:jc w:val="center"/>
                  </w:pPr>
                  <w:r>
                    <w:t xml:space="preserve">0.0000</w:t>
                  </w:r>
                </w:p>
              </w:tc>
            </w:tr>
            <w:tr>
              <w:tc>
                <w:tcPr/>
                <w:p>
                  <w:pPr>
                    <w:pStyle w:val="Compact"/>
                    <w:jc w:val="left"/>
                    <w:jc w:val="center"/>
                  </w:pPr>
                  <w:r>
                    <w:t xml:space="preserve">(1) Demographics</w:t>
                  </w:r>
                </w:p>
              </w:tc>
              <w:tc>
                <w:tcPr/>
                <w:p>
                  <w:pPr>
                    <w:pStyle w:val="Compact"/>
                    <w:jc w:val="left"/>
                    <w:jc w:val="center"/>
                  </w:pPr>
                  <w:r>
                    <w:t xml:space="preserve">House price growth</w:t>
                  </w:r>
                </w:p>
              </w:tc>
              <w:tc>
                <w:tcPr/>
                <w:p>
                  <w:pPr>
                    <w:pStyle w:val="Compact"/>
                    <w:jc w:val="right"/>
                    <w:jc w:val="center"/>
                  </w:pPr>
                  <w:r>
                    <w:t xml:space="preserve">-0.0144 (0.0080)</w:t>
                  </w:r>
                </w:p>
              </w:tc>
              <w:tc>
                <w:tcPr/>
                <w:p>
                  <w:pPr>
                    <w:pStyle w:val="Compact"/>
                    <w:jc w:val="right"/>
                    <w:jc w:val="center"/>
                  </w:pPr>
                  <w:r>
                    <w:t xml:space="preserve">-0.0144 (0.0080)</w:t>
                  </w:r>
                </w:p>
              </w:tc>
              <w:tc>
                <w:tcPr/>
                <w:p>
                  <w:pPr>
                    <w:pStyle w:val="Compact"/>
                    <w:jc w:val="right"/>
                    <w:jc w:val="center"/>
                  </w:pPr>
                  <w:r>
                    <w:t xml:space="preserve">0.0000</w:t>
                  </w:r>
                </w:p>
              </w:tc>
            </w:tr>
            <w:tr>
              <w:tc>
                <w:tcPr/>
                <w:p>
                  <w:pPr>
                    <w:pStyle w:val="Compact"/>
                    <w:jc w:val="left"/>
                    <w:jc w:val="center"/>
                  </w:pPr>
                  <w:r>
                    <w:t xml:space="preserve">(1) Demographics</w:t>
                  </w:r>
                </w:p>
              </w:tc>
              <w:tc>
                <w:tcPr/>
                <w:p>
                  <w:pPr>
                    <w:pStyle w:val="Compact"/>
                    <w:jc w:val="left"/>
                    <w:jc w:val="center"/>
                  </w:pPr>
                  <w:r>
                    <w:t xml:space="preserve">Labor tightness</w:t>
                  </w:r>
                </w:p>
              </w:tc>
              <w:tc>
                <w:tcPr/>
                <w:p>
                  <w:pPr>
                    <w:pStyle w:val="Compact"/>
                    <w:jc w:val="right"/>
                    <w:jc w:val="center"/>
                  </w:pPr>
                  <w:r>
                    <w:t xml:space="preserve">0.2780 (0.0583)</w:t>
                  </w:r>
                </w:p>
              </w:tc>
              <w:tc>
                <w:tcPr/>
                <w:p>
                  <w:pPr>
                    <w:pStyle w:val="Compact"/>
                    <w:jc w:val="right"/>
                    <w:jc w:val="center"/>
                  </w:pPr>
                  <w:r>
                    <w:t xml:space="preserve">0.2780 (0.0583)</w:t>
                  </w:r>
                </w:p>
              </w:tc>
              <w:tc>
                <w:tcPr/>
                <w:p>
                  <w:pPr>
                    <w:pStyle w:val="Compact"/>
                    <w:jc w:val="right"/>
                    <w:jc w:val="center"/>
                  </w:pPr>
                  <w:r>
                    <w:t xml:space="preserve">0.0000</w:t>
                  </w:r>
                </w:p>
              </w:tc>
            </w:tr>
            <w:tr>
              <w:tc>
                <w:tcPr/>
                <w:p>
                  <w:pPr>
                    <w:pStyle w:val="Compact"/>
                    <w:jc w:val="left"/>
                    <w:jc w:val="center"/>
                  </w:pPr>
                  <w:r>
                    <w:t xml:space="preserve">(2) Innovation</w:t>
                  </w:r>
                </w:p>
              </w:tc>
              <w:tc>
                <w:tcPr/>
                <w:p>
                  <w:pPr>
                    <w:pStyle w:val="Compact"/>
                    <w:jc w:val="left"/>
                    <w:jc w:val="center"/>
                  </w:pPr>
                  <w:r>
                    <w:t xml:space="preserve">Patents per employee</w:t>
                  </w:r>
                </w:p>
              </w:tc>
              <w:tc>
                <w:tcPr/>
                <w:p>
                  <w:pPr>
                    <w:pStyle w:val="Compact"/>
                    <w:jc w:val="right"/>
                    <w:jc w:val="center"/>
                  </w:pPr>
                  <w:r>
                    <w:t xml:space="preserve">0.0232 (0.0091)</w:t>
                  </w:r>
                </w:p>
              </w:tc>
              <w:tc>
                <w:tcPr/>
                <w:p>
                  <w:pPr>
                    <w:pStyle w:val="Compact"/>
                    <w:jc w:val="right"/>
                    <w:jc w:val="center"/>
                  </w:pPr>
                  <w:r>
                    <w:t xml:space="preserve">0.0232 (0.0091)</w:t>
                  </w:r>
                </w:p>
              </w:tc>
              <w:tc>
                <w:tcPr/>
                <w:p>
                  <w:pPr>
                    <w:pStyle w:val="Compact"/>
                    <w:jc w:val="right"/>
                    <w:jc w:val="center"/>
                  </w:pPr>
                  <w:r>
                    <w:t xml:space="preserve">0.0000</w:t>
                  </w:r>
                </w:p>
              </w:tc>
            </w:tr>
            <w:tr>
              <w:tc>
                <w:tcPr/>
                <w:p>
                  <w:pPr>
                    <w:pStyle w:val="Compact"/>
                    <w:jc w:val="left"/>
                    <w:jc w:val="center"/>
                  </w:pPr>
                  <w:r>
                    <w:t xml:space="preserve">(2) Innovation</w:t>
                  </w:r>
                </w:p>
              </w:tc>
              <w:tc>
                <w:tcPr/>
                <w:p>
                  <w:pPr>
                    <w:pStyle w:val="Compact"/>
                    <w:jc w:val="left"/>
                    <w:jc w:val="center"/>
                  </w:pPr>
                  <w:r>
                    <w:t xml:space="preserve">STEM degrees share</w:t>
                  </w:r>
                </w:p>
              </w:tc>
              <w:tc>
                <w:tcPr/>
                <w:p>
                  <w:pPr>
                    <w:pStyle w:val="Compact"/>
                    <w:jc w:val="right"/>
                    <w:jc w:val="center"/>
                  </w:pPr>
                  <w:r>
                    <w:t xml:space="preserve">0.0686 (0.0238)</w:t>
                  </w:r>
                </w:p>
              </w:tc>
              <w:tc>
                <w:tcPr/>
                <w:p>
                  <w:pPr>
                    <w:pStyle w:val="Compact"/>
                    <w:jc w:val="right"/>
                    <w:jc w:val="center"/>
                  </w:pPr>
                  <w:r>
                    <w:t xml:space="preserve">0.0686 (0.0238)</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ICT sector intensity</w:t>
                  </w:r>
                </w:p>
              </w:tc>
              <w:tc>
                <w:tcPr/>
                <w:p>
                  <w:pPr>
                    <w:pStyle w:val="Compact"/>
                    <w:jc w:val="right"/>
                    <w:jc w:val="center"/>
                  </w:pPr>
                  <w:r>
                    <w:t xml:space="preserve">0.0121 (0.0144)</w:t>
                  </w:r>
                </w:p>
              </w:tc>
              <w:tc>
                <w:tcPr/>
                <w:p>
                  <w:pPr>
                    <w:pStyle w:val="Compact"/>
                    <w:jc w:val="right"/>
                    <w:jc w:val="center"/>
                  </w:pPr>
                  <w:r>
                    <w:t xml:space="preserve">0.0121 (0.0144)</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Manufacturing intensity</w:t>
                  </w:r>
                </w:p>
              </w:tc>
              <w:tc>
                <w:tcPr/>
                <w:p>
                  <w:pPr>
                    <w:pStyle w:val="Compact"/>
                    <w:jc w:val="right"/>
                    <w:jc w:val="center"/>
                  </w:pPr>
                  <w:r>
                    <w:t xml:space="preserve">-0.0630 (0.0113)</w:t>
                  </w:r>
                </w:p>
              </w:tc>
              <w:tc>
                <w:tcPr/>
                <w:p>
                  <w:pPr>
                    <w:pStyle w:val="Compact"/>
                    <w:jc w:val="right"/>
                    <w:jc w:val="center"/>
                  </w:pPr>
                  <w:r>
                    <w:t xml:space="preserve">-0.0630 (0.0113)</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Turnover rate</w:t>
                  </w:r>
                </w:p>
              </w:tc>
              <w:tc>
                <w:tcPr/>
                <w:p>
                  <w:pPr>
                    <w:pStyle w:val="Compact"/>
                    <w:jc w:val="right"/>
                    <w:jc w:val="center"/>
                  </w:pPr>
                  <w:r>
                    <w:t xml:space="preserve">0.0345 (0.0137)</w:t>
                  </w:r>
                </w:p>
              </w:tc>
              <w:tc>
                <w:tcPr/>
                <w:p>
                  <w:pPr>
                    <w:pStyle w:val="Compact"/>
                    <w:jc w:val="right"/>
                    <w:jc w:val="center"/>
                  </w:pPr>
                  <w:r>
                    <w:t xml:space="preserve">0.0345 (0.0137)</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Bachelor’s share</w:t>
                  </w:r>
                </w:p>
              </w:tc>
              <w:tc>
                <w:tcPr/>
                <w:p>
                  <w:pPr>
                    <w:pStyle w:val="Compact"/>
                    <w:jc w:val="right"/>
                    <w:jc w:val="center"/>
                  </w:pPr>
                  <w:r>
                    <w:t xml:space="preserve">0.1817 (0.0505)</w:t>
                  </w:r>
                </w:p>
              </w:tc>
              <w:tc>
                <w:tcPr/>
                <w:p>
                  <w:pPr>
                    <w:pStyle w:val="Compact"/>
                    <w:jc w:val="right"/>
                    <w:jc w:val="center"/>
                  </w:pPr>
                  <w:r>
                    <w:t xml:space="preserve">0.1817 (0.0505)</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House price growth</w:t>
                  </w:r>
                </w:p>
              </w:tc>
              <w:tc>
                <w:tcPr/>
                <w:p>
                  <w:pPr>
                    <w:pStyle w:val="Compact"/>
                    <w:jc w:val="right"/>
                    <w:jc w:val="center"/>
                  </w:pPr>
                  <w:r>
                    <w:t xml:space="preserve">-0.0142 (0.0079)</w:t>
                  </w:r>
                </w:p>
              </w:tc>
              <w:tc>
                <w:tcPr/>
                <w:p>
                  <w:pPr>
                    <w:pStyle w:val="Compact"/>
                    <w:jc w:val="right"/>
                    <w:jc w:val="center"/>
                  </w:pPr>
                  <w:r>
                    <w:t xml:space="preserve">-0.0142 (0.0079)</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Labor tightness</w:t>
                  </w:r>
                </w:p>
              </w:tc>
              <w:tc>
                <w:tcPr/>
                <w:p>
                  <w:pPr>
                    <w:pStyle w:val="Compact"/>
                    <w:jc w:val="right"/>
                    <w:jc w:val="center"/>
                  </w:pPr>
                  <w:r>
                    <w:t xml:space="preserve">0.2765 (0.0585)</w:t>
                  </w:r>
                </w:p>
              </w:tc>
              <w:tc>
                <w:tcPr/>
                <w:p>
                  <w:pPr>
                    <w:pStyle w:val="Compact"/>
                    <w:jc w:val="right"/>
                    <w:jc w:val="center"/>
                  </w:pPr>
                  <w:r>
                    <w:t xml:space="preserve">0.2765 (0.0585)</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Patents per employee</w:t>
                  </w:r>
                </w:p>
              </w:tc>
              <w:tc>
                <w:tcPr/>
                <w:p>
                  <w:pPr>
                    <w:pStyle w:val="Compact"/>
                    <w:jc w:val="right"/>
                    <w:jc w:val="center"/>
                  </w:pPr>
                  <w:r>
                    <w:t xml:space="preserve">0.0295 (0.0113)</w:t>
                  </w:r>
                </w:p>
              </w:tc>
              <w:tc>
                <w:tcPr/>
                <w:p>
                  <w:pPr>
                    <w:pStyle w:val="Compact"/>
                    <w:jc w:val="right"/>
                    <w:jc w:val="center"/>
                  </w:pPr>
                  <w:r>
                    <w:t xml:space="preserve">0.0295 (0.0113)</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STEM degrees share</w:t>
                  </w:r>
                </w:p>
              </w:tc>
              <w:tc>
                <w:tcPr/>
                <w:p>
                  <w:pPr>
                    <w:pStyle w:val="Compact"/>
                    <w:jc w:val="right"/>
                    <w:jc w:val="center"/>
                  </w:pPr>
                  <w:r>
                    <w:t xml:space="preserve">0.0475 (0.0205)</w:t>
                  </w:r>
                </w:p>
              </w:tc>
              <w:tc>
                <w:tcPr/>
                <w:p>
                  <w:pPr>
                    <w:pStyle w:val="Compact"/>
                    <w:jc w:val="right"/>
                    <w:jc w:val="center"/>
                  </w:pPr>
                  <w:r>
                    <w:t xml:space="preserve">0.0475 (0.0205)</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ICT sector intensity</w:t>
                  </w:r>
                </w:p>
              </w:tc>
              <w:tc>
                <w:tcPr/>
                <w:p>
                  <w:pPr>
                    <w:pStyle w:val="Compact"/>
                    <w:jc w:val="right"/>
                    <w:jc w:val="center"/>
                  </w:pPr>
                  <w:r>
                    <w:t xml:space="preserve">0.0258 (0.0135)</w:t>
                  </w:r>
                </w:p>
              </w:tc>
              <w:tc>
                <w:tcPr/>
                <w:p>
                  <w:pPr>
                    <w:pStyle w:val="Compact"/>
                    <w:jc w:val="right"/>
                    <w:jc w:val="center"/>
                  </w:pPr>
                  <w:r>
                    <w:t xml:space="preserve">0.0258 (0.0135)</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Manufacturing intensity</w:t>
                  </w:r>
                </w:p>
              </w:tc>
              <w:tc>
                <w:tcPr/>
                <w:p>
                  <w:pPr>
                    <w:pStyle w:val="Compact"/>
                    <w:jc w:val="right"/>
                    <w:jc w:val="center"/>
                  </w:pPr>
                  <w:r>
                    <w:t xml:space="preserve">-0.0333 (0.0108)</w:t>
                  </w:r>
                </w:p>
              </w:tc>
              <w:tc>
                <w:tcPr/>
                <w:p>
                  <w:pPr>
                    <w:pStyle w:val="Compact"/>
                    <w:jc w:val="right"/>
                    <w:jc w:val="center"/>
                  </w:pPr>
                  <w:r>
                    <w:t xml:space="preserve">-0.0333 (0.0108)</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Turnover rate</w:t>
                  </w:r>
                </w:p>
              </w:tc>
              <w:tc>
                <w:tcPr/>
                <w:p>
                  <w:pPr>
                    <w:pStyle w:val="Compact"/>
                    <w:jc w:val="right"/>
                    <w:jc w:val="center"/>
                  </w:pPr>
                  <w:r>
                    <w:t xml:space="preserve">0.0188 (0.0137)</w:t>
                  </w:r>
                </w:p>
              </w:tc>
              <w:tc>
                <w:tcPr/>
                <w:p>
                  <w:pPr>
                    <w:pStyle w:val="Compact"/>
                    <w:jc w:val="right"/>
                    <w:jc w:val="center"/>
                  </w:pPr>
                  <w:r>
                    <w:t xml:space="preserve">0.0188 (0.0137)</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Bachelor’s share</w:t>
                  </w:r>
                </w:p>
              </w:tc>
              <w:tc>
                <w:tcPr/>
                <w:p>
                  <w:pPr>
                    <w:pStyle w:val="Compact"/>
                    <w:jc w:val="right"/>
                    <w:jc w:val="center"/>
                  </w:pPr>
                  <w:r>
                    <w:t xml:space="preserve">0.1035 (0.0459)</w:t>
                  </w:r>
                </w:p>
              </w:tc>
              <w:tc>
                <w:tcPr/>
                <w:p>
                  <w:pPr>
                    <w:pStyle w:val="Compact"/>
                    <w:jc w:val="right"/>
                    <w:jc w:val="center"/>
                  </w:pPr>
                  <w:r>
                    <w:t xml:space="preserve">0.1035 (0.0459)</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House price growth</w:t>
                  </w:r>
                </w:p>
              </w:tc>
              <w:tc>
                <w:tcPr/>
                <w:p>
                  <w:pPr>
                    <w:pStyle w:val="Compact"/>
                    <w:jc w:val="right"/>
                    <w:jc w:val="center"/>
                  </w:pPr>
                  <w:r>
                    <w:t xml:space="preserve">-0.0156 (0.0074)</w:t>
                  </w:r>
                </w:p>
              </w:tc>
              <w:tc>
                <w:tcPr/>
                <w:p>
                  <w:pPr>
                    <w:pStyle w:val="Compact"/>
                    <w:jc w:val="right"/>
                    <w:jc w:val="center"/>
                  </w:pPr>
                  <w:r>
                    <w:t xml:space="preserve">-0.0156 (0.0074)</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Labor tightness</w:t>
                  </w:r>
                </w:p>
              </w:tc>
              <w:tc>
                <w:tcPr/>
                <w:p>
                  <w:pPr>
                    <w:pStyle w:val="Compact"/>
                    <w:jc w:val="right"/>
                    <w:jc w:val="center"/>
                  </w:pPr>
                  <w:r>
                    <w:t xml:space="preserve">0.3156 (0.0643)</w:t>
                  </w:r>
                </w:p>
              </w:tc>
              <w:tc>
                <w:tcPr/>
                <w:p>
                  <w:pPr>
                    <w:pStyle w:val="Compact"/>
                    <w:jc w:val="right"/>
                    <w:jc w:val="center"/>
                  </w:pPr>
                  <w:r>
                    <w:t xml:space="preserve">0.3156 (0.0643)</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Patents per employee</w:t>
                  </w:r>
                </w:p>
              </w:tc>
              <w:tc>
                <w:tcPr/>
                <w:p>
                  <w:pPr>
                    <w:pStyle w:val="Compact"/>
                    <w:jc w:val="right"/>
                    <w:jc w:val="center"/>
                  </w:pPr>
                  <w:r>
                    <w:t xml:space="preserve">0.0312 (0.0138)</w:t>
                  </w:r>
                </w:p>
              </w:tc>
              <w:tc>
                <w:tcPr/>
                <w:p>
                  <w:pPr>
                    <w:pStyle w:val="Compact"/>
                    <w:jc w:val="right"/>
                    <w:jc w:val="center"/>
                  </w:pPr>
                  <w:r>
                    <w:t xml:space="preserve">0.0312 (0.0138)</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STEM degrees share</w:t>
                  </w:r>
                </w:p>
              </w:tc>
              <w:tc>
                <w:tcPr/>
                <w:p>
                  <w:pPr>
                    <w:pStyle w:val="Compact"/>
                    <w:jc w:val="right"/>
                    <w:jc w:val="center"/>
                  </w:pPr>
                  <w:r>
                    <w:t xml:space="preserve">0.0375 (0.0184)</w:t>
                  </w:r>
                </w:p>
              </w:tc>
              <w:tc>
                <w:tcPr/>
                <w:p>
                  <w:pPr>
                    <w:pStyle w:val="Compact"/>
                    <w:jc w:val="right"/>
                    <w:jc w:val="center"/>
                  </w:pPr>
                  <w:r>
                    <w:t xml:space="preserve">0.0375 (0.0184)</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ICT sector intensity</w:t>
                  </w:r>
                </w:p>
              </w:tc>
              <w:tc>
                <w:tcPr/>
                <w:p>
                  <w:pPr>
                    <w:pStyle w:val="Compact"/>
                    <w:jc w:val="right"/>
                    <w:jc w:val="center"/>
                  </w:pPr>
                  <w:r>
                    <w:t xml:space="preserve">0.0280 (0.0136)</w:t>
                  </w:r>
                </w:p>
              </w:tc>
              <w:tc>
                <w:tcPr/>
                <w:p>
                  <w:pPr>
                    <w:pStyle w:val="Compact"/>
                    <w:jc w:val="right"/>
                    <w:jc w:val="center"/>
                  </w:pPr>
                  <w:r>
                    <w:t xml:space="preserve">0.0280 (0.0136)</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Manufacturing intensity</w:t>
                  </w:r>
                </w:p>
              </w:tc>
              <w:tc>
                <w:tcPr/>
                <w:p>
                  <w:pPr>
                    <w:pStyle w:val="Compact"/>
                    <w:jc w:val="right"/>
                    <w:jc w:val="center"/>
                  </w:pPr>
                  <w:r>
                    <w:t xml:space="preserve">-0.0247 (0.0111)</w:t>
                  </w:r>
                </w:p>
              </w:tc>
              <w:tc>
                <w:tcPr/>
                <w:p>
                  <w:pPr>
                    <w:pStyle w:val="Compact"/>
                    <w:jc w:val="right"/>
                    <w:jc w:val="center"/>
                  </w:pPr>
                  <w:r>
                    <w:t xml:space="preserve">-0.0247 (0.0111)</w:t>
                  </w:r>
                </w:p>
              </w:tc>
              <w:tc>
                <w:tcPr/>
                <w:p>
                  <w:pPr>
                    <w:pStyle w:val="Compact"/>
                    <w:jc w:val="right"/>
                    <w:jc w:val="center"/>
                  </w:pPr>
                  <w:r>
                    <w:t xml:space="preserve">0.0000</w:t>
                  </w:r>
                </w:p>
              </w:tc>
            </w:tr>
            <w:tr>
              <w:tc>
                <w:tcPr/>
                <w:p>
                  <w:pPr>
                    <w:pStyle w:val="Compact"/>
                    <w:jc w:val="left"/>
                    <w:jc w:val="center"/>
                  </w:pPr>
                  <w:r>
                    <w:t xml:space="preserve">(5) State-year FE</w:t>
                  </w:r>
                </w:p>
              </w:tc>
              <w:tc>
                <w:tcPr/>
                <w:p>
                  <w:pPr>
                    <w:pStyle w:val="Compact"/>
                    <w:jc w:val="left"/>
                    <w:jc w:val="center"/>
                  </w:pPr>
                  <w:r>
                    <w:t xml:space="preserve">Turnover rate</w:t>
                  </w:r>
                </w:p>
              </w:tc>
              <w:tc>
                <w:tcPr/>
                <w:p>
                  <w:pPr>
                    <w:pStyle w:val="Compact"/>
                    <w:jc w:val="right"/>
                    <w:jc w:val="center"/>
                  </w:pPr>
                  <w:r>
                    <w:t xml:space="preserve">0.0154 (0.0132)</w:t>
                  </w:r>
                </w:p>
              </w:tc>
              <w:tc>
                <w:tcPr/>
                <w:p>
                  <w:pPr>
                    <w:pStyle w:val="Compact"/>
                    <w:jc w:val="right"/>
                    <w:jc w:val="center"/>
                  </w:pPr>
                  <w:r>
                    <w:t xml:space="preserve">0.0154 (0.0132)</w:t>
                  </w:r>
                </w:p>
              </w:tc>
              <w:tc>
                <w:tcPr/>
                <w:p>
                  <w:pPr>
                    <w:pStyle w:val="Compact"/>
                    <w:jc w:val="right"/>
                    <w:jc w:val="center"/>
                  </w:pPr>
                  <w:r>
                    <w:t xml:space="preserve">0.0000</w:t>
                  </w:r>
                </w:p>
              </w:tc>
            </w:tr>
          </w:tbl>
          <w:p>
            <w:pPr>
              <w:jc w:val="center"/>
            </w:pPr>
            <w:r>
              <w:rPr>
                <w:i/>
                <w:iCs/>
              </w:rPr>
              <w:t xml:space="preserve">Notes:</w:t>
            </w:r>
            <w:r>
              <w:t xml:space="preserve"> </w:t>
            </w:r>
            <w:r>
              <w:t xml:space="preserve">Each cell reports coefficient and standard error in parentheses. The original column reports published AKCLM values; the replication column reruns AKCLM’s released code and data. These estimates use AKCLM’s code weighting, log(1 + job postings), despite the published table footer describing the observations as unweighted. The dependent variable is AI intensity in percentage points. Columns 1-4 include county and year fixed effects; column 5 includes county and state-year fixed effects. All explanatory variables are standardized and lagged by one year.</w:t>
            </w:r>
          </w:p>
          <w:bookmarkEnd w:id="16"/>
        </w:tc>
      </w:tr>
    </w:tbl>
    <w:p>
      <w:pPr>
        <w:pStyle w:val="BodyText"/>
      </w:pPr>
      <w:r>
        <w:t xml:space="preserve">Table 1 presents parameter estimates for five models, each using AI intensity as the outcome, which has a mean of 0.4 percentage points and a standard deviation of 1.1 percentage points across county-year observations. All regressors are standardized. Column 4 (the preferred specification) includes the full control set with county and year fixed effects; all subsequent discussion refers to this column.</w:t>
      </w:r>
    </w:p>
    <w:p>
      <w:pPr>
        <w:pStyle w:val="BodyText"/>
      </w:pPr>
      <w:r>
        <w:t xml:space="preserve">AKCLM’s released code applies log-posting weights in every Table 1 regression (</w:t>
      </w:r>
      <w:r>
        <w:rPr>
          <w:rStyle w:val="VerbatimChar"/>
        </w:rPr>
        <w:t xml:space="preserve">weights = ~lads</w:t>
      </w:r>
      <w:r>
        <w:t xml:space="preserve">, where</w:t>
      </w:r>
      <w:r>
        <w:t xml:space="preserve"> </w:t>
      </w:r>
      <w:r>
        <w:rPr>
          <w:rStyle w:val="VerbatimChar"/>
        </w:rPr>
        <w:t xml:space="preserve">lads = log(1 + nads)</w:t>
      </w:r>
      <w:r>
        <w:t xml:space="preserve">). This contradicts the published Table 1 footer, which describes the observations as unweighted. The table below reports the impact of this discrepancy for AKCLM’s preferred Model 4. The core signs and significance patterns for bachelor’s share, labor market tightness, STEM degree share, patents per employee, and manufacturing remain intact under the estimator described in the footer. However, the unweighted magnitudes are generally smaller, and two marginal coefficients in the weighted code specification, house price growth and ICT sector intensity, are no longer statistically significant.</w:t>
      </w:r>
    </w:p>
    <w:tbl>
      <w:tblPr>
        <w:tblStyle w:val="Table"/>
        <w:tblW w:type="pct" w:w="5000"/>
        <w:tblLayout w:type="fixed"/>
        <w:tblLook w:firstRow="0" w:lastRow="0" w:firstColumn="0" w:lastColumn="0" w:noHBand="0" w:noVBand="0" w:val="0000"/>
      </w:tblPr>
      <w:tblGrid>
        <w:gridCol w:w="7920"/>
      </w:tblGrid>
      <w:tr>
        <w:tc>
          <w:tcPr/>
          <w:bookmarkStart w:id="17" w:name="tbl-table1-footer-check"/>
          <w:p>
            <w:pPr>
              <w:jc w:val="center"/>
            </w:pPr>
            <w:pPr>
              <w:jc w:val="left"/>
              <w:spacing w:before="200"/>
              <w:pStyle w:val="ImageCaption"/>
            </w:pPr>
            <w:r>
              <w:t xml:space="preserve">Table 2: AKCLM Table 1 Model 4: log(postings) weighted versus unweighted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jc w:val="center"/>
                  </w:pPr>
                  <w:r>
                    <w:t xml:space="preserve">Variable</w:t>
                  </w:r>
                </w:p>
              </w:tc>
              <w:tc>
                <w:tcPr/>
                <w:p>
                  <w:pPr>
                    <w:pStyle w:val="Compact"/>
                    <w:jc w:val="right"/>
                    <w:jc w:val="center"/>
                  </w:pPr>
                  <w:r>
                    <w:t xml:space="preserve">Log(postings) weighted</w:t>
                  </w:r>
                </w:p>
              </w:tc>
              <w:tc>
                <w:tcPr/>
                <w:p>
                  <w:pPr>
                    <w:pStyle w:val="Compact"/>
                    <w:jc w:val="right"/>
                    <w:jc w:val="center"/>
                  </w:pPr>
                  <w:r>
                    <w:t xml:space="preserve">Unweighted</w:t>
                  </w:r>
                </w:p>
              </w:tc>
            </w:tr>
            <w:tr>
              <w:tc>
                <w:tcPr/>
                <w:p>
                  <w:pPr>
                    <w:pStyle w:val="Compact"/>
                    <w:jc w:val="left"/>
                    <w:jc w:val="center"/>
                  </w:pPr>
                  <w:r>
                    <w:t xml:space="preserve">Bachelor’s share</w:t>
                  </w:r>
                </w:p>
              </w:tc>
              <w:tc>
                <w:tcPr/>
                <w:p>
                  <w:pPr>
                    <w:pStyle w:val="Compact"/>
                    <w:jc w:val="right"/>
                    <w:jc w:val="center"/>
                  </w:pPr>
                  <w:r>
                    <w:t xml:space="preserve">0.1817 (0.0505)</w:t>
                  </w:r>
                </w:p>
              </w:tc>
              <w:tc>
                <w:tcPr/>
                <w:p>
                  <w:pPr>
                    <w:pStyle w:val="Compact"/>
                    <w:jc w:val="right"/>
                    <w:jc w:val="center"/>
                  </w:pPr>
                  <w:r>
                    <w:t xml:space="preserve">0.1457 (0.0448)</w:t>
                  </w:r>
                </w:p>
              </w:tc>
            </w:tr>
            <w:tr>
              <w:tc>
                <w:tcPr/>
                <w:p>
                  <w:pPr>
                    <w:pStyle w:val="Compact"/>
                    <w:jc w:val="left"/>
                    <w:jc w:val="center"/>
                  </w:pPr>
                  <w:r>
                    <w:t xml:space="preserve">Labor tightness</w:t>
                  </w:r>
                </w:p>
              </w:tc>
              <w:tc>
                <w:tcPr/>
                <w:p>
                  <w:pPr>
                    <w:pStyle w:val="Compact"/>
                    <w:jc w:val="right"/>
                    <w:jc w:val="center"/>
                  </w:pPr>
                  <w:r>
                    <w:t xml:space="preserve">0.2765 (0.0585)</w:t>
                  </w:r>
                </w:p>
              </w:tc>
              <w:tc>
                <w:tcPr/>
                <w:p>
                  <w:pPr>
                    <w:pStyle w:val="Compact"/>
                    <w:jc w:val="right"/>
                    <w:jc w:val="center"/>
                  </w:pPr>
                  <w:r>
                    <w:t xml:space="preserve">0.2717 (0.0576)</w:t>
                  </w:r>
                </w:p>
              </w:tc>
            </w:tr>
            <w:tr>
              <w:tc>
                <w:tcPr/>
                <w:p>
                  <w:pPr>
                    <w:pStyle w:val="Compact"/>
                    <w:jc w:val="left"/>
                    <w:jc w:val="center"/>
                  </w:pPr>
                  <w:r>
                    <w:t xml:space="preserve">STEM degrees share</w:t>
                  </w:r>
                </w:p>
              </w:tc>
              <w:tc>
                <w:tcPr/>
                <w:p>
                  <w:pPr>
                    <w:pStyle w:val="Compact"/>
                    <w:jc w:val="right"/>
                    <w:jc w:val="center"/>
                  </w:pPr>
                  <w:r>
                    <w:t xml:space="preserve">0.0475 (0.0205)</w:t>
                  </w:r>
                </w:p>
              </w:tc>
              <w:tc>
                <w:tcPr/>
                <w:p>
                  <w:pPr>
                    <w:pStyle w:val="Compact"/>
                    <w:jc w:val="right"/>
                    <w:jc w:val="center"/>
                  </w:pPr>
                  <w:r>
                    <w:t xml:space="preserve">0.0377 (0.0178)</w:t>
                  </w:r>
                </w:p>
              </w:tc>
            </w:tr>
            <w:tr>
              <w:tc>
                <w:tcPr/>
                <w:p>
                  <w:pPr>
                    <w:pStyle w:val="Compact"/>
                    <w:jc w:val="left"/>
                    <w:jc w:val="center"/>
                  </w:pPr>
                  <w:r>
                    <w:t xml:space="preserve">Patents per employee</w:t>
                  </w:r>
                </w:p>
              </w:tc>
              <w:tc>
                <w:tcPr/>
                <w:p>
                  <w:pPr>
                    <w:pStyle w:val="Compact"/>
                    <w:jc w:val="right"/>
                    <w:jc w:val="center"/>
                  </w:pPr>
                  <w:r>
                    <w:t xml:space="preserve">0.0295 (0.0113)</w:t>
                  </w:r>
                </w:p>
              </w:tc>
              <w:tc>
                <w:tcPr/>
                <w:p>
                  <w:pPr>
                    <w:pStyle w:val="Compact"/>
                    <w:jc w:val="right"/>
                    <w:jc w:val="center"/>
                  </w:pPr>
                  <w:r>
                    <w:t xml:space="preserve">0.0241 (0.0087)</w:t>
                  </w:r>
                </w:p>
              </w:tc>
            </w:tr>
            <w:tr>
              <w:tc>
                <w:tcPr/>
                <w:p>
                  <w:pPr>
                    <w:pStyle w:val="Compact"/>
                    <w:jc w:val="left"/>
                    <w:jc w:val="center"/>
                  </w:pPr>
                  <w:r>
                    <w:t xml:space="preserve">Manufacturing intensity</w:t>
                  </w:r>
                </w:p>
              </w:tc>
              <w:tc>
                <w:tcPr/>
                <w:p>
                  <w:pPr>
                    <w:pStyle w:val="Compact"/>
                    <w:jc w:val="right"/>
                    <w:jc w:val="center"/>
                  </w:pPr>
                  <w:r>
                    <w:t xml:space="preserve">-0.0333 (0.0108)</w:t>
                  </w:r>
                </w:p>
              </w:tc>
              <w:tc>
                <w:tcPr/>
                <w:p>
                  <w:pPr>
                    <w:pStyle w:val="Compact"/>
                    <w:jc w:val="right"/>
                    <w:jc w:val="center"/>
                  </w:pPr>
                  <w:r>
                    <w:t xml:space="preserve">-0.0273 (0.0104)</w:t>
                  </w:r>
                </w:p>
              </w:tc>
            </w:tr>
            <w:tr>
              <w:tc>
                <w:tcPr/>
                <w:p>
                  <w:pPr>
                    <w:pStyle w:val="Compact"/>
                    <w:jc w:val="left"/>
                    <w:jc w:val="center"/>
                  </w:pPr>
                  <w:r>
                    <w:t xml:space="preserve">House price growth</w:t>
                  </w:r>
                </w:p>
              </w:tc>
              <w:tc>
                <w:tcPr/>
                <w:p>
                  <w:pPr>
                    <w:pStyle w:val="Compact"/>
                    <w:jc w:val="right"/>
                    <w:jc w:val="center"/>
                  </w:pPr>
                  <w:r>
                    <w:t xml:space="preserve">-0.0142 (0.0079)</w:t>
                  </w:r>
                </w:p>
              </w:tc>
              <w:tc>
                <w:tcPr/>
                <w:p>
                  <w:pPr>
                    <w:pStyle w:val="Compact"/>
                    <w:jc w:val="right"/>
                    <w:jc w:val="center"/>
                  </w:pPr>
                  <w:r>
                    <w:t xml:space="preserve">-0.0029 (0.0067)</w:t>
                  </w:r>
                </w:p>
              </w:tc>
            </w:tr>
            <w:tr>
              <w:tc>
                <w:tcPr/>
                <w:p>
                  <w:pPr>
                    <w:pStyle w:val="Compact"/>
                    <w:jc w:val="left"/>
                    <w:jc w:val="center"/>
                  </w:pPr>
                  <w:r>
                    <w:t xml:space="preserve">ICT sector intensity</w:t>
                  </w:r>
                </w:p>
              </w:tc>
              <w:tc>
                <w:tcPr/>
                <w:p>
                  <w:pPr>
                    <w:pStyle w:val="Compact"/>
                    <w:jc w:val="right"/>
                    <w:jc w:val="center"/>
                  </w:pPr>
                  <w:r>
                    <w:t xml:space="preserve">0.0258 (0.0135)</w:t>
                  </w:r>
                </w:p>
              </w:tc>
              <w:tc>
                <w:tcPr/>
                <w:p>
                  <w:pPr>
                    <w:pStyle w:val="Compact"/>
                    <w:jc w:val="right"/>
                    <w:jc w:val="center"/>
                  </w:pPr>
                  <w:r>
                    <w:t xml:space="preserve">0.0161 (0.0113)</w:t>
                  </w:r>
                </w:p>
              </w:tc>
            </w:tr>
          </w:tbl>
          <w:bookmarkEnd w:id="17"/>
          <w:p/>
        </w:tc>
      </w:tr>
    </w:tbl>
    <w:p>
      <w:pPr>
        <w:pStyle w:val="BodyText"/>
      </w:pPr>
      <w:r>
        <w:t xml:space="preserve">The denominator-contamination concern is about labor market tightness specifically. To quantify whether that concern changes the other preferred Model 4 estimates, the table below compares AKCLM’s code-weighted preferred Model 4 with the same model after removing only labor market tightness. The largest absolute movement is for bachelor’s share, which changes from 0.1817 to 0.2512. The other highlighted coefficients move less in absolute terms: patents per employee changes from 0.0295 to 0.0272, STEM degree share from 0.0475 to 0.0585, ICT intensity from 0.0258 to 0.0173, manufacturing from -0.0333 to -0.0453, and turnover from 0.0188 to 0.0345. Thus, removing tightness changes some magnitudes but does not overturn the main non-tightness associations in AKCLM’s preferred levels model.</w:t>
      </w:r>
    </w:p>
    <w:tbl>
      <w:tblPr>
        <w:tblStyle w:val="Table"/>
        <w:tblW w:type="pct" w:w="5000"/>
        <w:tblLayout w:type="fixed"/>
        <w:tblLook w:firstRow="0" w:lastRow="0" w:firstColumn="0" w:lastColumn="0" w:noHBand="0" w:noVBand="0" w:val="0000"/>
      </w:tblPr>
      <w:tblGrid>
        <w:gridCol w:w="7920"/>
      </w:tblGrid>
      <w:tr>
        <w:tc>
          <w:tcPr/>
          <w:bookmarkStart w:id="18" w:name="tbl-tightness-removal"/>
          <w:p>
            <w:pPr>
              <w:jc w:val="center"/>
            </w:pPr>
            <w:pPr>
              <w:jc w:val="left"/>
              <w:spacing w:before="200"/>
              <w:pStyle w:val="ImageCaption"/>
            </w:pPr>
            <w:r>
              <w:t xml:space="preserve">Table 3: AKCLM Table 1 Model 4 with and without labor market tightness</w:t>
            </w:r>
          </w:p>
          <w:tbl>
            <w:tblPr>
              <w:tblStyle w:val="Table"/>
              <w:tblW w:type="pct" w:w="5000"/>
              <w:tblLayout w:type="fixed"/>
              <w:tblLook w:firstRow="1" w:lastRow="0" w:firstColumn="0" w:lastColumn="0" w:noHBand="0" w:noVBand="0" w:val="0020"/>
            </w:tblPr>
            <w:tblGrid>
              <w:gridCol w:w="2436"/>
              <w:gridCol w:w="1726"/>
              <w:gridCol w:w="1827"/>
              <w:gridCol w:w="1929"/>
            </w:tblGrid>
            <w:tr>
              <w:trPr>
                <w:tblHeader w:val="on"/>
              </w:trPr>
              <w:tc>
                <w:tcPr/>
                <w:p>
                  <w:pPr>
                    <w:pStyle w:val="Compact"/>
                    <w:jc w:val="left"/>
                    <w:jc w:val="center"/>
                  </w:pPr>
                  <w:r>
                    <w:t xml:space="preserve">Variable</w:t>
                  </w:r>
                </w:p>
              </w:tc>
              <w:tc>
                <w:tcPr/>
                <w:p>
                  <w:pPr>
                    <w:pStyle w:val="Compact"/>
                    <w:jc w:val="right"/>
                    <w:jc w:val="center"/>
                  </w:pPr>
                  <w:r>
                    <w:t xml:space="preserve">With tightness</w:t>
                  </w:r>
                </w:p>
              </w:tc>
              <w:tc>
                <w:tcPr/>
                <w:p>
                  <w:pPr>
                    <w:pStyle w:val="Compact"/>
                    <w:jc w:val="right"/>
                    <w:jc w:val="center"/>
                  </w:pPr>
                  <w:r>
                    <w:t xml:space="preserve">Without tightness</w:t>
                  </w:r>
                </w:p>
              </w:tc>
              <w:tc>
                <w:tcPr/>
                <w:p>
                  <w:pPr>
                    <w:pStyle w:val="Compact"/>
                    <w:jc w:val="right"/>
                    <w:jc w:val="center"/>
                  </w:pPr>
                  <w:r>
                    <w:t xml:space="preserve">Coefficient change</w:t>
                  </w:r>
                </w:p>
              </w:tc>
            </w:tr>
            <w:tr>
              <w:tc>
                <w:tcPr/>
                <w:p>
                  <w:pPr>
                    <w:pStyle w:val="Compact"/>
                    <w:jc w:val="left"/>
                    <w:jc w:val="center"/>
                  </w:pPr>
                  <w:r>
                    <w:t xml:space="preserve">Bachelor’s share</w:t>
                  </w:r>
                </w:p>
              </w:tc>
              <w:tc>
                <w:tcPr/>
                <w:p>
                  <w:pPr>
                    <w:pStyle w:val="Compact"/>
                    <w:jc w:val="right"/>
                    <w:jc w:val="center"/>
                  </w:pPr>
                  <w:r>
                    <w:t xml:space="preserve">0.1817 (0.0505)</w:t>
                  </w:r>
                </w:p>
              </w:tc>
              <w:tc>
                <w:tcPr/>
                <w:p>
                  <w:pPr>
                    <w:pStyle w:val="Compact"/>
                    <w:jc w:val="right"/>
                    <w:jc w:val="center"/>
                  </w:pPr>
                  <w:r>
                    <w:t xml:space="preserve">0.2512 (0.0503)</w:t>
                  </w:r>
                </w:p>
              </w:tc>
              <w:tc>
                <w:tcPr/>
                <w:p>
                  <w:pPr>
                    <w:pStyle w:val="Compact"/>
                    <w:jc w:val="right"/>
                    <w:jc w:val="center"/>
                  </w:pPr>
                  <w:r>
                    <w:t xml:space="preserve">0.0696</w:t>
                  </w:r>
                </w:p>
              </w:tc>
            </w:tr>
            <w:tr>
              <w:tc>
                <w:tcPr/>
                <w:p>
                  <w:pPr>
                    <w:pStyle w:val="Compact"/>
                    <w:jc w:val="left"/>
                    <w:jc w:val="center"/>
                  </w:pPr>
                  <w:r>
                    <w:t xml:space="preserve">STEM degrees share</w:t>
                  </w:r>
                </w:p>
              </w:tc>
              <w:tc>
                <w:tcPr/>
                <w:p>
                  <w:pPr>
                    <w:pStyle w:val="Compact"/>
                    <w:jc w:val="right"/>
                    <w:jc w:val="center"/>
                  </w:pPr>
                  <w:r>
                    <w:t xml:space="preserve">0.0475 (0.0205)</w:t>
                  </w:r>
                </w:p>
              </w:tc>
              <w:tc>
                <w:tcPr/>
                <w:p>
                  <w:pPr>
                    <w:pStyle w:val="Compact"/>
                    <w:jc w:val="right"/>
                    <w:jc w:val="center"/>
                  </w:pPr>
                  <w:r>
                    <w:t xml:space="preserve">0.0585 (0.0224)</w:t>
                  </w:r>
                </w:p>
              </w:tc>
              <w:tc>
                <w:tcPr/>
                <w:p>
                  <w:pPr>
                    <w:pStyle w:val="Compact"/>
                    <w:jc w:val="right"/>
                    <w:jc w:val="center"/>
                  </w:pPr>
                  <w:r>
                    <w:t xml:space="preserve">0.0110</w:t>
                  </w:r>
                </w:p>
              </w:tc>
            </w:tr>
            <w:tr>
              <w:tc>
                <w:tcPr/>
                <w:p>
                  <w:pPr>
                    <w:pStyle w:val="Compact"/>
                    <w:jc w:val="left"/>
                    <w:jc w:val="center"/>
                  </w:pPr>
                  <w:r>
                    <w:t xml:space="preserve">Patents per employee</w:t>
                  </w:r>
                </w:p>
              </w:tc>
              <w:tc>
                <w:tcPr/>
                <w:p>
                  <w:pPr>
                    <w:pStyle w:val="Compact"/>
                    <w:jc w:val="right"/>
                    <w:jc w:val="center"/>
                  </w:pPr>
                  <w:r>
                    <w:t xml:space="preserve">0.0295 (0.0113)</w:t>
                  </w:r>
                </w:p>
              </w:tc>
              <w:tc>
                <w:tcPr/>
                <w:p>
                  <w:pPr>
                    <w:pStyle w:val="Compact"/>
                    <w:jc w:val="right"/>
                    <w:jc w:val="center"/>
                  </w:pPr>
                  <w:r>
                    <w:t xml:space="preserve">0.0272 (0.0100)</w:t>
                  </w:r>
                </w:p>
              </w:tc>
              <w:tc>
                <w:tcPr/>
                <w:p>
                  <w:pPr>
                    <w:pStyle w:val="Compact"/>
                    <w:jc w:val="right"/>
                    <w:jc w:val="center"/>
                  </w:pPr>
                  <w:r>
                    <w:t xml:space="preserve">-0.0023</w:t>
                  </w:r>
                </w:p>
              </w:tc>
            </w:tr>
            <w:tr>
              <w:tc>
                <w:tcPr/>
                <w:p>
                  <w:pPr>
                    <w:pStyle w:val="Compact"/>
                    <w:jc w:val="left"/>
                    <w:jc w:val="center"/>
                  </w:pPr>
                  <w:r>
                    <w:t xml:space="preserve">Manufacturing intensity</w:t>
                  </w:r>
                </w:p>
              </w:tc>
              <w:tc>
                <w:tcPr/>
                <w:p>
                  <w:pPr>
                    <w:pStyle w:val="Compact"/>
                    <w:jc w:val="right"/>
                    <w:jc w:val="center"/>
                  </w:pPr>
                  <w:r>
                    <w:t xml:space="preserve">-0.0333 (0.0108)</w:t>
                  </w:r>
                </w:p>
              </w:tc>
              <w:tc>
                <w:tcPr/>
                <w:p>
                  <w:pPr>
                    <w:pStyle w:val="Compact"/>
                    <w:jc w:val="right"/>
                    <w:jc w:val="center"/>
                  </w:pPr>
                  <w:r>
                    <w:t xml:space="preserve">-0.0453 (0.0111)</w:t>
                  </w:r>
                </w:p>
              </w:tc>
              <w:tc>
                <w:tcPr/>
                <w:p>
                  <w:pPr>
                    <w:pStyle w:val="Compact"/>
                    <w:jc w:val="right"/>
                    <w:jc w:val="center"/>
                  </w:pPr>
                  <w:r>
                    <w:t xml:space="preserve">-0.0120</w:t>
                  </w:r>
                </w:p>
              </w:tc>
            </w:tr>
            <w:tr>
              <w:tc>
                <w:tcPr/>
                <w:p>
                  <w:pPr>
                    <w:pStyle w:val="Compact"/>
                    <w:jc w:val="left"/>
                    <w:jc w:val="center"/>
                  </w:pPr>
                  <w:r>
                    <w:t xml:space="preserve">House price growth</w:t>
                  </w:r>
                </w:p>
              </w:tc>
              <w:tc>
                <w:tcPr/>
                <w:p>
                  <w:pPr>
                    <w:pStyle w:val="Compact"/>
                    <w:jc w:val="right"/>
                    <w:jc w:val="center"/>
                  </w:pPr>
                  <w:r>
                    <w:t xml:space="preserve">-0.0142 (0.0079)</w:t>
                  </w:r>
                </w:p>
              </w:tc>
              <w:tc>
                <w:tcPr/>
                <w:p>
                  <w:pPr>
                    <w:pStyle w:val="Compact"/>
                    <w:jc w:val="right"/>
                    <w:jc w:val="center"/>
                  </w:pPr>
                  <w:r>
                    <w:t xml:space="preserve">-0.0167 (0.0081)</w:t>
                  </w:r>
                </w:p>
              </w:tc>
              <w:tc>
                <w:tcPr/>
                <w:p>
                  <w:pPr>
                    <w:pStyle w:val="Compact"/>
                    <w:jc w:val="right"/>
                    <w:jc w:val="center"/>
                  </w:pPr>
                  <w:r>
                    <w:t xml:space="preserve">-0.0026</w:t>
                  </w:r>
                </w:p>
              </w:tc>
            </w:tr>
            <w:tr>
              <w:tc>
                <w:tcPr/>
                <w:p>
                  <w:pPr>
                    <w:pStyle w:val="Compact"/>
                    <w:jc w:val="left"/>
                    <w:jc w:val="center"/>
                  </w:pPr>
                  <w:r>
                    <w:t xml:space="preserve">ICT sector intensity</w:t>
                  </w:r>
                </w:p>
              </w:tc>
              <w:tc>
                <w:tcPr/>
                <w:p>
                  <w:pPr>
                    <w:pStyle w:val="Compact"/>
                    <w:jc w:val="right"/>
                    <w:jc w:val="center"/>
                  </w:pPr>
                  <w:r>
                    <w:t xml:space="preserve">0.0258 (0.0135)</w:t>
                  </w:r>
                </w:p>
              </w:tc>
              <w:tc>
                <w:tcPr/>
                <w:p>
                  <w:pPr>
                    <w:pStyle w:val="Compact"/>
                    <w:jc w:val="right"/>
                    <w:jc w:val="center"/>
                  </w:pPr>
                  <w:r>
                    <w:t xml:space="preserve">0.0173 (0.0140)</w:t>
                  </w:r>
                </w:p>
              </w:tc>
              <w:tc>
                <w:tcPr/>
                <w:p>
                  <w:pPr>
                    <w:pStyle w:val="Compact"/>
                    <w:jc w:val="right"/>
                    <w:jc w:val="center"/>
                  </w:pPr>
                  <w:r>
                    <w:t xml:space="preserve">-0.0085</w:t>
                  </w:r>
                </w:p>
              </w:tc>
            </w:tr>
            <w:tr>
              <w:tc>
                <w:tcPr/>
                <w:p>
                  <w:pPr>
                    <w:pStyle w:val="Compact"/>
                    <w:jc w:val="left"/>
                    <w:jc w:val="center"/>
                  </w:pPr>
                  <w:r>
                    <w:t xml:space="preserve">Turnover rate</w:t>
                  </w:r>
                </w:p>
              </w:tc>
              <w:tc>
                <w:tcPr/>
                <w:p>
                  <w:pPr>
                    <w:pStyle w:val="Compact"/>
                    <w:jc w:val="right"/>
                    <w:jc w:val="center"/>
                  </w:pPr>
                  <w:r>
                    <w:t xml:space="preserve">0.0188 (0.0137)</w:t>
                  </w:r>
                </w:p>
              </w:tc>
              <w:tc>
                <w:tcPr/>
                <w:p>
                  <w:pPr>
                    <w:pStyle w:val="Compact"/>
                    <w:jc w:val="right"/>
                    <w:jc w:val="center"/>
                  </w:pPr>
                  <w:r>
                    <w:t xml:space="preserve">0.0345 (0.0136)</w:t>
                  </w:r>
                </w:p>
              </w:tc>
              <w:tc>
                <w:tcPr/>
                <w:p>
                  <w:pPr>
                    <w:pStyle w:val="Compact"/>
                    <w:jc w:val="right"/>
                    <w:jc w:val="center"/>
                  </w:pPr>
                  <w:r>
                    <w:t xml:space="preserve">0.0157</w:t>
                  </w:r>
                </w:p>
              </w:tc>
            </w:tr>
          </w:tbl>
          <w:p>
            <w:pPr>
              <w:jc w:val="center"/>
            </w:pPr>
            <w:r>
              <w:rPr>
                <w:i/>
                <w:iCs/>
              </w:rPr>
              <w:t xml:space="preserve">Notes:</w:t>
            </w:r>
            <w:r>
              <w:t xml:space="preserve"> </w:t>
            </w:r>
            <w:r>
              <w:t xml:space="preserve">Both models use AKCLM’s released-code log-posting weights, county fixed effects, and year fixed effects. The table reports the movement in other highlighted coefficients when labor market tightness is removed from the preferred levels specification.</w:t>
            </w:r>
          </w:p>
          <w:bookmarkEnd w:id="18"/>
        </w:tc>
      </w:tr>
    </w:tbl>
    <w:p>
      <w:pPr>
        <w:pStyle w:val="BodyText"/>
      </w:pPr>
      <w:r>
        <w:t xml:space="preserve">Bachelor’s share (0.18, p &lt; 0.001) is the largest demographic predictor of AI intensity. Two counties differing by one standard deviation in bachelor’s share are expected to differ by 0.18 percentage points in AI intensity, which is 42% of the mean and 16% of the standard deviation.</w:t>
      </w:r>
    </w:p>
    <w:p>
      <w:pPr>
        <w:pStyle w:val="BodyText"/>
      </w:pPr>
      <w:r>
        <w:t xml:space="preserve">Among the innovation variables, STEM degree share (0.048, p &lt; 0.05) carries a coefficient 62% larger than patents per employee (0.029, p &lt; 0.01). Two counties differing by one standard deviation in STEM degree share are expected to differ by 0.048 percentage points in AI intensity (11% of the mean and 4% of the standard deviation), compared with 0.029 percentage points for patents per employee (7% of the mean, 3% of the standard deviation).</w:t>
      </w:r>
    </w:p>
    <w:p>
      <w:pPr>
        <w:pStyle w:val="BodyText"/>
      </w:pPr>
      <w:r>
        <w:t xml:space="preserve">Among industry variables, ICT intensity (0.026, p = 0.058) and manufacturing intensity (−0.033, p &lt; 0.01) exhibit similar effect sizes but opposite signs. Two counties differing by one standard deviation in manufacturing intensity are expected to differ by 0.033 percentage points (8% of the standard deviation), compared with 0.026 percentage points for ICT intensity (6% of the standard deviation).</w:t>
      </w:r>
    </w:p>
    <w:bookmarkEnd w:id="19"/>
    <w:bookmarkStart w:id="26" w:name="akclm-table-2-growth-of-ai-intensity"/>
    <w:p>
      <w:pPr>
        <w:pStyle w:val="Heading3"/>
      </w:pPr>
      <w:r>
        <w:t xml:space="preserve">AKCLM Table 2: Growth of AI Intensity</w:t>
      </w:r>
    </w:p>
    <w:p>
      <w:pPr>
        <w:pStyle w:val="FirstParagraph"/>
      </w:pPr>
      <w:r>
        <w:t xml:space="preserve">For the growth of AI intensity, we estimate a cross-sectional OLS regression with no fixed effects:</w:t>
      </w:r>
    </w:p>
    <w:p>
      <w:pPr>
        <w:pStyle w:val="BodyText"/>
      </w:pPr>
      <m:oMathPara>
        <m:oMathParaPr>
          <m:jc m:val="center"/>
        </m:oMathParaPr>
        <m:oMath>
          <m:r>
            <m:rPr>
              <m:sty m:val="p"/>
            </m:rPr>
            <m:t>Δ</m:t>
          </m:r>
          <m:r>
            <m:t>A</m:t>
          </m:r>
          <m:sSub>
            <m:e>
              <m:r>
                <m:t>I</m:t>
              </m:r>
            </m:e>
            <m:sub>
              <m:r>
                <m:t>i</m:t>
              </m:r>
            </m:sub>
          </m:sSub>
          <m:r>
            <m:rPr>
              <m:sty m:val="p"/>
            </m:rPr>
            <m:t>=</m:t>
          </m:r>
          <m:sSub>
            <m:e>
              <m:r>
                <m:t>β</m:t>
              </m:r>
            </m:e>
            <m:sub>
              <m:r>
                <m:t>0</m:t>
              </m:r>
            </m:sub>
          </m:sSub>
          <m:r>
            <m:rPr>
              <m:sty m:val="p"/>
            </m:rPr>
            <m:t>+</m:t>
          </m:r>
          <m:sSup>
            <m:e>
              <m:r>
                <m:rPr>
                  <m:sty m:val="b"/>
                </m:rPr>
                <m:t>β</m:t>
              </m:r>
            </m:e>
            <m:sup>
              <m:r>
                <m:rPr>
                  <m:sty m:val="p"/>
                </m:rPr>
                <m:t>′</m:t>
              </m:r>
            </m:sup>
          </m:sSup>
          <m:sSub>
            <m:e>
              <m:r>
                <m:rPr>
                  <m:sty m:val="b"/>
                </m:rPr>
                <m:t>X</m:t>
              </m:r>
            </m:e>
            <m:sub>
              <m:r>
                <m:t>i</m:t>
              </m:r>
              <m:r>
                <m:rPr>
                  <m:sty m:val="p"/>
                </m:rPr>
                <m:t>,</m:t>
              </m:r>
              <m:r>
                <m:t>2017</m:t>
              </m:r>
            </m:sub>
          </m:sSub>
          <m:r>
            <m:rPr>
              <m:sty m:val="p"/>
            </m:rPr>
            <m:t>+</m:t>
          </m:r>
          <m:sSub>
            <m:e>
              <m:r>
                <m:t>ε</m:t>
              </m:r>
            </m:e>
            <m:sub>
              <m:r>
                <m:t>i</m:t>
              </m:r>
            </m:sub>
          </m:sSub>
        </m:oMath>
      </m:oMathPara>
    </w:p>
    <w:p>
      <w:pPr>
        <w:pStyle w:val="FirstParagraph"/>
      </w:pPr>
      <w:r>
        <w:t xml:space="preserve">where</w:t>
      </w:r>
      <w:r>
        <w:t xml:space="preserve"> </w:t>
      </w:r>
      <m:oMath>
        <m:r>
          <m:rPr>
            <m:sty m:val="p"/>
          </m:rPr>
          <m:t>Δ</m:t>
        </m:r>
        <m:r>
          <m:t>A</m:t>
        </m:r>
        <m:sSub>
          <m:e>
            <m:r>
              <m:t>I</m:t>
            </m:r>
          </m:e>
          <m:sub>
            <m:r>
              <m:t>i</m:t>
            </m:r>
          </m:sub>
        </m:sSub>
      </m:oMath>
      <w:r>
        <w:t xml:space="preserve"> </w:t>
      </w:r>
      <w:r>
        <w:t xml:space="preserve">is the percentage point change in AI intensity between the 2017–2018 and 2022–2023 averages,</w:t>
      </w:r>
      <w:r>
        <w:t xml:space="preserve"> </w:t>
      </w:r>
      <m:oMath>
        <m:sSub>
          <m:e>
            <m:r>
              <m:t>β</m:t>
            </m:r>
          </m:e>
          <m:sub>
            <m:r>
              <m:t>0</m:t>
            </m:r>
          </m:sub>
        </m:sSub>
      </m:oMath>
      <w:r>
        <w:t xml:space="preserve"> </w:t>
      </w:r>
      <w:r>
        <w:t xml:space="preserve">is a constant term representing expected AI intensity growth when all predictors are at their mean,</w:t>
      </w:r>
      <w:r>
        <w:t xml:space="preserve"> </w:t>
      </w:r>
      <m:oMath>
        <m:sSub>
          <m:e>
            <m:r>
              <m:rPr>
                <m:sty m:val="b"/>
              </m:rPr>
              <m:t>X</m:t>
            </m:r>
          </m:e>
          <m:sub>
            <m:r>
              <m:t>i</m:t>
            </m:r>
            <m:r>
              <m:rPr>
                <m:sty m:val="p"/>
              </m:rPr>
              <m:t>,</m:t>
            </m:r>
            <m:r>
              <m:t>2017</m:t>
            </m:r>
          </m:sub>
        </m:sSub>
      </m:oMath>
      <w:r>
        <w:t xml:space="preserve"> </w:t>
      </w:r>
      <w:r>
        <w:t xml:space="preserve">is a vector of standardized regressors measured in 2017, and</w:t>
      </w:r>
      <w:r>
        <w:t xml:space="preserve"> </w:t>
      </w:r>
      <m:oMath>
        <m:sSub>
          <m:e>
            <m:r>
              <m:t>ε</m:t>
            </m:r>
          </m:e>
          <m:sub>
            <m:r>
              <m:t>i</m:t>
            </m:r>
          </m:sub>
        </m:sSub>
      </m:oMath>
      <w:r>
        <w:t xml:space="preserve"> </w:t>
      </w:r>
      <w:r>
        <w:t xml:space="preserve">is an error term clustered at the county level. Unlike equation (3), there is no time subscript</w:t>
      </w:r>
      <w:r>
        <w:t xml:space="preserve"> </w:t>
      </w:r>
      <m:oMath>
        <m:r>
          <m:t>t</m:t>
        </m:r>
      </m:oMath>
      <w:r>
        <w:t xml:space="preserve"> </w:t>
      </w:r>
      <w:r>
        <w:t xml:space="preserve">because the growth of AI intensity is a single observation per county — the change between two pooled periods — rather than a panel. This model does not include county or year fixed effects, as the outcome is already a first difference across counties.</w:t>
      </w:r>
    </w:p>
    <w:p>
      <w:pPr>
        <w:pStyle w:val="BodyText"/>
      </w:pPr>
      <w:r>
        <w:t xml:space="preserve">We reproduce AKCLM’s Table 2 by rerunning the released code with AKCLM’s released</w:t>
      </w:r>
      <w:r>
        <w:t xml:space="preserve"> </w:t>
      </w:r>
      <w:r>
        <w:rPr>
          <w:rStyle w:val="VerbatimChar"/>
        </w:rPr>
        <w:t xml:space="preserve">data.csv</w:t>
      </w:r>
      <w:r>
        <w:t xml:space="preserve">. The growth replication table below labels the two sources separately: the</w:t>
      </w:r>
      <w:r>
        <w:t xml:space="preserve"> </w:t>
      </w:r>
      <w:r>
        <w:t xml:space="preserve">“Original”</w:t>
      </w:r>
      <w:r>
        <w:t xml:space="preserve"> </w:t>
      </w:r>
      <w:r>
        <w:t xml:space="preserve">column transcribes the published version of record —</w:t>
      </w:r>
      <w:r>
        <w:t xml:space="preserve"> </w:t>
      </w:r>
      <w:r>
        <w:t xml:space="preserve">Andreadis et al. (</w:t>
      </w:r>
      <w:hyperlink w:anchor="ref-andreadis2025">
        <w:r>
          <w:rPr>
            <w:rStyle w:val="Hyperlink"/>
          </w:rPr>
          <w:t xml:space="preserve">2025</w:t>
        </w:r>
      </w:hyperlink>
      <w:r>
        <w:t xml:space="preserve">)</w:t>
      </w:r>
      <w:r>
        <w:t xml:space="preserve">,</w:t>
      </w:r>
      <w:r>
        <w:t xml:space="preserve"> </w:t>
      </w:r>
      <w:r>
        <w:rPr>
          <w:i/>
          <w:iCs/>
        </w:rPr>
        <w:t xml:space="preserve">AEA Papers and Proceedings</w:t>
      </w:r>
      <w:r>
        <w:t xml:space="preserve"> </w:t>
      </w:r>
      <w:r>
        <w:t xml:space="preserve">115: 29–34, DOI 10.1257/pandp.20251001, Table 2 on page 33 — while the</w:t>
      </w:r>
      <w:r>
        <w:t xml:space="preserve"> </w:t>
      </w:r>
      <w:r>
        <w:t xml:space="preserve">“Replication”</w:t>
      </w:r>
      <w:r>
        <w:t xml:space="preserve"> </w:t>
      </w:r>
      <w:r>
        <w:t xml:space="preserve">column reports our rerun of AKCLM’s released code and data. A page image of that published table is reproduced in the appendix as</w:t>
      </w:r>
      <w:r>
        <w:t xml:space="preserve"> </w:t>
      </w:r>
      <w:hyperlink w:anchor="fig-akclm-published-table2">
        <w:r>
          <w:rPr>
            <w:rStyle w:val="Hyperlink"/>
          </w:rPr>
          <w:t xml:space="preserve">Figure 6</w:t>
        </w:r>
      </w:hyperlink>
      <w:r>
        <w:t xml:space="preserve">. Identifying the version matters here, because AKCLM circulated in more than one form and the bachelor’s-share row differs between them; we return to this below. The bachelor’s-share variable used here is read directly from AKCLM’s released</w:t>
      </w:r>
      <w:r>
        <w:t xml:space="preserve"> </w:t>
      </w:r>
      <w:r>
        <w:rPr>
          <w:rStyle w:val="VerbatimChar"/>
        </w:rPr>
        <w:t xml:space="preserve">data.csv</w:t>
      </w:r>
      <w:r>
        <w:t xml:space="preserve">; we do not rebuild it from ACS tables. In the released data, the 2017 raw</w:t>
      </w:r>
      <w:r>
        <w:t xml:space="preserve"> </w:t>
      </w:r>
      <w:r>
        <w:rPr>
          <w:rStyle w:val="VerbatimChar"/>
        </w:rPr>
        <w:t xml:space="preserve">share_bac</w:t>
      </w:r>
      <w:r>
        <w:t xml:space="preserve"> </w:t>
      </w:r>
      <w:r>
        <w:t xml:space="preserve">variable has 3,130 county observations, a mean of 0.2076, and a standard deviation of 0.0911. The AKCLM Table 2 sample follows AKCLM’s code restriction that keeps counties with growth in AI intensity between -5 and 10 percentage points before applying the complete-case restrictions. After AKCLM’s z-scoring and AKCLM Table 2 sample restrictions, the regression sample has 2,473 observations, with mean 0.0442 and standard deviation 0.9938 for standardized</w:t>
      </w:r>
      <w:r>
        <w:t xml:space="preserve"> </w:t>
      </w:r>
      <w:r>
        <w:rPr>
          <w:rStyle w:val="VerbatimChar"/>
        </w:rPr>
        <w:t xml:space="preserve">share_bac14</w:t>
      </w:r>
      <w:r>
        <w:t xml:space="preserve">.</w:t>
      </w:r>
    </w:p>
    <w:p>
      <w:pPr>
        <w:pStyle w:val="BodyText"/>
      </w:pPr>
      <w:r>
        <w:t xml:space="preserve">All rerun results match the published table except for the coefficient and standard error for bachelor’s share in the models where it appears. In columns 1, 4, and 5 the published version of record reports 0.0022 (0.0027), -0.0035 (0.0032), and -0.0044 (0.0029), while rerunning the released code gives 0.0196 (0.0250), -0.0322 (0.0292), and -0.0401 (0.0263).</w:t>
      </w:r>
    </w:p>
    <w:p>
      <w:pPr>
        <w:pStyle w:val="BodyText"/>
      </w:pPr>
      <w:r>
        <w:t xml:space="preserve">This difference is specific to the published article, and it is worth stating which document each figure comes from. The preprint distributed through the AEA conference program, marked</w:t>
      </w:r>
      <w:r>
        <w:t xml:space="preserve"> </w:t>
      </w:r>
      <w:r>
        <w:t xml:space="preserve">“Forthcoming in AEA P&amp;P 2025”</w:t>
      </w:r>
      <w:r>
        <w:t xml:space="preserve">, reports 0.0196 (0.0250), -0.0322 (0.0292), and -0.0401 (0.0263) in the corresponding row of its Table 2. Those are exactly the values the released code produces. In the preprint, therefore, table and code agree and no discrepancy arises; the same is true of the SSRN version. A reader working from either of those documents will not reproduce the finding reported here. The discrepancy is between the published version of record and the released replication code. Both versions of the row are reproduced in the appendix,</w:t>
      </w:r>
      <w:r>
        <w:t xml:space="preserve"> </w:t>
      </w:r>
      <w:hyperlink w:anchor="fig-akclm-published-table2">
        <w:r>
          <w:rPr>
            <w:rStyle w:val="Hyperlink"/>
          </w:rPr>
          <w:t xml:space="preserve">Figure 6</w:t>
        </w:r>
      </w:hyperlink>
      <w:r>
        <w:t xml:space="preserve"> </w:t>
      </w:r>
      <w:r>
        <w:t xml:space="preserve">and</w:t>
      </w:r>
      <w:r>
        <w:t xml:space="preserve"> </w:t>
      </w:r>
      <w:hyperlink w:anchor="fig-akclm-preprint-table2">
        <w:r>
          <w:rPr>
            <w:rStyle w:val="Hyperlink"/>
          </w:rPr>
          <w:t xml:space="preserve">Figure 7</w:t>
        </w:r>
      </w:hyperlink>
      <w:r>
        <w:t xml:space="preserve">.</w:t>
      </w:r>
    </w:p>
    <w:p>
      <w:pPr>
        <w:pStyle w:val="BodyText"/>
      </w:pPr>
      <w:r>
        <w:t xml:space="preserve">The mechanical source of the difference is a change of scale. In the released</w:t>
      </w:r>
      <w:r>
        <w:t xml:space="preserve"> </w:t>
      </w:r>
      <w:r>
        <w:rPr>
          <w:rStyle w:val="VerbatimChar"/>
        </w:rPr>
        <w:t xml:space="preserve">data.csv</w:t>
      </w:r>
      <w:r>
        <w:t xml:space="preserve"> </w:t>
      </w:r>
      <w:r>
        <w:t xml:space="preserve">the 2017</w:t>
      </w:r>
      <w:r>
        <w:t xml:space="preserve"> </w:t>
      </w:r>
      <w:r>
        <w:rPr>
          <w:rStyle w:val="VerbatimChar"/>
        </w:rPr>
        <w:t xml:space="preserve">share_bac</w:t>
      </w:r>
      <w:r>
        <w:t xml:space="preserve"> </w:t>
      </w:r>
      <w:r>
        <w:t xml:space="preserve">variable has a standard deviation of 0.0911, or 9.114 percentage points. Dividing each preprint coefficient by 9.114 returns the published coefficient in every column: 0.0196 gives 0.00215 against a published 0.0022, -0.0322 gives -0.00353 against -0.0035, and -0.0401 gives -0.00440 against -0.0044. The agreement holds to the displayed precision in all three columns. The published row is therefore expressed per percentage point of bachelor’s share, whereas the released code z-scores</w:t>
      </w:r>
      <w:r>
        <w:t xml:space="preserve"> </w:t>
      </w:r>
      <w:r>
        <w:rPr>
          <w:rStyle w:val="VerbatimChar"/>
        </w:rPr>
        <w:t xml:space="preserve">share_bac14</w:t>
      </w:r>
      <w:r>
        <w:t xml:space="preserve"> </w:t>
      </w:r>
      <w:r>
        <w:t xml:space="preserve">and the preprint row is expressed per standard deviation. The row label reads</w:t>
      </w:r>
      <w:r>
        <w:t xml:space="preserve"> </w:t>
      </w:r>
      <w:r>
        <w:t xml:space="preserve">“Bachelor’s share, z-score in 2017”</w:t>
      </w:r>
      <w:r>
        <w:t xml:space="preserve"> </w:t>
      </w:r>
      <w:r>
        <w:t xml:space="preserve">in the published table, as it did in the preprint, so the published coefficient is reported on a different scale from the one its own label describes and from the one used by every other row of that table. Random spot checks of the 2017</w:t>
      </w:r>
      <w:r>
        <w:t xml:space="preserve"> </w:t>
      </w:r>
      <w:r>
        <w:rPr>
          <w:rStyle w:val="VerbatimChar"/>
        </w:rPr>
        <w:t xml:space="preserve">share_bac</w:t>
      </w:r>
      <w:r>
        <w:t xml:space="preserve"> </w:t>
      </w:r>
      <w:r>
        <w:t xml:space="preserve">values in</w:t>
      </w:r>
      <w:r>
        <w:t xml:space="preserve"> </w:t>
      </w:r>
      <w:r>
        <w:rPr>
          <w:rStyle w:val="VerbatimChar"/>
        </w:rPr>
        <w:t xml:space="preserve">data.csv</w:t>
      </w:r>
      <w:r>
        <w:t xml:space="preserve"> </w:t>
      </w:r>
      <w:r>
        <w:t xml:space="preserve">produced plausible county proportions, so the underlying data file appears correct to us. We do not claim to know how the rescaling occurred, and the authors did not respond to our question about this point; our interpretation is simply that the published row and the released code cannot both describe the same specification.</w:t>
      </w:r>
    </w:p>
    <w:p>
      <w:pPr>
        <w:pStyle w:val="BodyText"/>
      </w:pPr>
      <w:r>
        <w:t xml:space="preserve">AKCLM’s released Table 2 code also uses log-posting weights (</w:t>
      </w:r>
      <w:r>
        <w:rPr>
          <w:rStyle w:val="VerbatimChar"/>
        </w:rPr>
        <w:t xml:space="preserve">weights = ~lads14</w:t>
      </w:r>
      <w:r>
        <w:t xml:space="preserve">), although the published Table 2 footer describes the observations as unweighted.</w:t>
      </w:r>
    </w:p>
    <w:tbl>
      <w:tblPr>
        <w:tblStyle w:val="Table"/>
        <w:tblW w:type="pct" w:w="5000"/>
        <w:tblLayout w:type="fixed"/>
        <w:tblLook w:firstRow="0" w:lastRow="0" w:firstColumn="0" w:lastColumn="0" w:noHBand="0" w:noVBand="0" w:val="0000"/>
      </w:tblPr>
      <w:tblGrid>
        <w:gridCol w:w="7920"/>
      </w:tblGrid>
      <w:tr>
        <w:tc>
          <w:tcPr/>
          <w:bookmarkStart w:id="20" w:name="tbl-table2"/>
          <w:p>
            <w:pPr>
              <w:jc w:val="center"/>
            </w:pPr>
            <w:pPr>
              <w:jc w:val="left"/>
              <w:spacing w:before="200"/>
              <w:pStyle w:val="ImageCaption"/>
            </w:pPr>
            <w:r>
              <w:t xml:space="preserve">Table 4: AKCLM and replication estimates for the growth of AI intensity</w:t>
            </w:r>
          </w:p>
          <w:tbl>
            <w:tblPr>
              <w:tblStyle w:val="Table"/>
              <w:tblW w:type="pct" w:w="5000"/>
              <w:tblLayout w:type="fixed"/>
              <w:tblLook w:firstRow="1" w:lastRow="0" w:firstColumn="0" w:lastColumn="0" w:noHBand="0" w:noVBand="0" w:val="0020"/>
            </w:tblPr>
            <w:tblGrid>
              <w:gridCol w:w="1565"/>
              <w:gridCol w:w="2210"/>
              <w:gridCol w:w="1565"/>
              <w:gridCol w:w="1565"/>
              <w:gridCol w:w="1013"/>
            </w:tblGrid>
            <w:tr>
              <w:trPr>
                <w:tblHeader w:val="on"/>
              </w:trPr>
              <w:tc>
                <w:tcPr/>
                <w:p>
                  <w:pPr>
                    <w:pStyle w:val="Compact"/>
                    <w:jc w:val="left"/>
                    <w:jc w:val="center"/>
                  </w:pPr>
                  <w:r>
                    <w:t xml:space="preserve">Model</w:t>
                  </w:r>
                </w:p>
              </w:tc>
              <w:tc>
                <w:tcPr/>
                <w:p>
                  <w:pPr>
                    <w:pStyle w:val="Compact"/>
                    <w:jc w:val="left"/>
                    <w:jc w:val="center"/>
                  </w:pPr>
                  <w:r>
                    <w:t xml:space="preserve">Variable</w:t>
                  </w:r>
                </w:p>
              </w:tc>
              <w:tc>
                <w:tcPr/>
                <w:p>
                  <w:pPr>
                    <w:pStyle w:val="Compact"/>
                    <w:jc w:val="right"/>
                    <w:jc w:val="center"/>
                  </w:pPr>
                  <w:r>
                    <w:t xml:space="preserve">Original</w:t>
                  </w:r>
                </w:p>
              </w:tc>
              <w:tc>
                <w:tcPr/>
                <w:p>
                  <w:pPr>
                    <w:pStyle w:val="Compact"/>
                    <w:jc w:val="right"/>
                    <w:jc w:val="center"/>
                  </w:pPr>
                  <w:r>
                    <w:t xml:space="preserve">Replication</w:t>
                  </w:r>
                </w:p>
              </w:tc>
              <w:tc>
                <w:tcPr/>
                <w:p>
                  <w:pPr>
                    <w:pStyle w:val="Compact"/>
                    <w:jc w:val="right"/>
                    <w:jc w:val="center"/>
                  </w:pPr>
                  <w:r>
                    <w:t xml:space="preserve">Difference</w:t>
                  </w:r>
                </w:p>
              </w:tc>
            </w:tr>
            <w:tr>
              <w:tc>
                <w:tcPr/>
                <w:p>
                  <w:pPr>
                    <w:pStyle w:val="Compact"/>
                    <w:jc w:val="left"/>
                    <w:jc w:val="center"/>
                  </w:pPr>
                  <w:r>
                    <w:t xml:space="preserve">(1) Demographics</w:t>
                  </w:r>
                </w:p>
              </w:tc>
              <w:tc>
                <w:tcPr/>
                <w:p>
                  <w:pPr>
                    <w:pStyle w:val="Compact"/>
                    <w:jc w:val="left"/>
                    <w:jc w:val="center"/>
                  </w:pPr>
                  <w:r>
                    <w:t xml:space="preserve">Bachelor’s share</w:t>
                  </w:r>
                </w:p>
              </w:tc>
              <w:tc>
                <w:tcPr/>
                <w:p>
                  <w:pPr>
                    <w:pStyle w:val="Compact"/>
                    <w:jc w:val="right"/>
                    <w:jc w:val="center"/>
                  </w:pPr>
                  <w:r>
                    <w:t xml:space="preserve">0.0022 (0.0027)</w:t>
                  </w:r>
                </w:p>
              </w:tc>
              <w:tc>
                <w:tcPr/>
                <w:p>
                  <w:pPr>
                    <w:pStyle w:val="Compact"/>
                    <w:jc w:val="right"/>
                    <w:jc w:val="center"/>
                  </w:pPr>
                  <w:r>
                    <w:t xml:space="preserve">0.0196 (0.0250)</w:t>
                  </w:r>
                </w:p>
              </w:tc>
              <w:tc>
                <w:tcPr/>
                <w:p>
                  <w:pPr>
                    <w:pStyle w:val="Compact"/>
                    <w:jc w:val="right"/>
                    <w:jc w:val="center"/>
                  </w:pPr>
                  <w:r>
                    <w:t xml:space="preserve">0.0174</w:t>
                  </w:r>
                </w:p>
              </w:tc>
            </w:tr>
            <w:tr>
              <w:tc>
                <w:tcPr/>
                <w:p>
                  <w:pPr>
                    <w:pStyle w:val="Compact"/>
                    <w:jc w:val="left"/>
                    <w:jc w:val="center"/>
                  </w:pPr>
                  <w:r>
                    <w:t xml:space="preserve">(1) Demographics</w:t>
                  </w:r>
                </w:p>
              </w:tc>
              <w:tc>
                <w:tcPr/>
                <w:p>
                  <w:pPr>
                    <w:pStyle w:val="Compact"/>
                    <w:jc w:val="left"/>
                    <w:jc w:val="center"/>
                  </w:pPr>
                  <w:r>
                    <w:t xml:space="preserve">Income, log</w:t>
                  </w:r>
                </w:p>
              </w:tc>
              <w:tc>
                <w:tcPr/>
                <w:p>
                  <w:pPr>
                    <w:pStyle w:val="Compact"/>
                    <w:jc w:val="right"/>
                    <w:jc w:val="center"/>
                  </w:pPr>
                  <w:r>
                    <w:t xml:space="preserve">0.0784 (0.0382)</w:t>
                  </w:r>
                </w:p>
              </w:tc>
              <w:tc>
                <w:tcPr/>
                <w:p>
                  <w:pPr>
                    <w:pStyle w:val="Compact"/>
                    <w:jc w:val="right"/>
                    <w:jc w:val="center"/>
                  </w:pPr>
                  <w:r>
                    <w:t xml:space="preserve">0.0784 (0.0382)</w:t>
                  </w:r>
                </w:p>
              </w:tc>
              <w:tc>
                <w:tcPr/>
                <w:p>
                  <w:pPr>
                    <w:pStyle w:val="Compact"/>
                    <w:jc w:val="right"/>
                    <w:jc w:val="center"/>
                  </w:pPr>
                  <w:r>
                    <w:t xml:space="preserve">0.0000</w:t>
                  </w:r>
                </w:p>
              </w:tc>
            </w:tr>
            <w:tr>
              <w:tc>
                <w:tcPr/>
                <w:p>
                  <w:pPr>
                    <w:pStyle w:val="Compact"/>
                    <w:jc w:val="left"/>
                    <w:jc w:val="center"/>
                  </w:pPr>
                  <w:r>
                    <w:t xml:space="preserve">(1) Demographics</w:t>
                  </w:r>
                </w:p>
              </w:tc>
              <w:tc>
                <w:tcPr/>
                <w:p>
                  <w:pPr>
                    <w:pStyle w:val="Compact"/>
                    <w:jc w:val="left"/>
                    <w:jc w:val="center"/>
                  </w:pPr>
                  <w:r>
                    <w:t xml:space="preserve">Labor tightness</w:t>
                  </w:r>
                </w:p>
              </w:tc>
              <w:tc>
                <w:tcPr/>
                <w:p>
                  <w:pPr>
                    <w:pStyle w:val="Compact"/>
                    <w:jc w:val="right"/>
                    <w:jc w:val="center"/>
                  </w:pPr>
                  <w:r>
                    <w:t xml:space="preserve">0.0744 (0.0215)</w:t>
                  </w:r>
                </w:p>
              </w:tc>
              <w:tc>
                <w:tcPr/>
                <w:p>
                  <w:pPr>
                    <w:pStyle w:val="Compact"/>
                    <w:jc w:val="right"/>
                    <w:jc w:val="center"/>
                  </w:pPr>
                  <w:r>
                    <w:t xml:space="preserve">0.0744 (0.0215)</w:t>
                  </w:r>
                </w:p>
              </w:tc>
              <w:tc>
                <w:tcPr/>
                <w:p>
                  <w:pPr>
                    <w:pStyle w:val="Compact"/>
                    <w:jc w:val="right"/>
                    <w:jc w:val="center"/>
                  </w:pPr>
                  <w:r>
                    <w:t xml:space="preserve">0.0000</w:t>
                  </w:r>
                </w:p>
              </w:tc>
            </w:tr>
            <w:tr>
              <w:tc>
                <w:tcPr/>
                <w:p>
                  <w:pPr>
                    <w:pStyle w:val="Compact"/>
                    <w:jc w:val="left"/>
                    <w:jc w:val="center"/>
                  </w:pPr>
                  <w:r>
                    <w:t xml:space="preserve">(2) Innovation</w:t>
                  </w:r>
                </w:p>
              </w:tc>
              <w:tc>
                <w:tcPr/>
                <w:p>
                  <w:pPr>
                    <w:pStyle w:val="Compact"/>
                    <w:jc w:val="left"/>
                    <w:jc w:val="center"/>
                  </w:pPr>
                  <w:r>
                    <w:t xml:space="preserve">STEM degrees share</w:t>
                  </w:r>
                </w:p>
              </w:tc>
              <w:tc>
                <w:tcPr/>
                <w:p>
                  <w:pPr>
                    <w:pStyle w:val="Compact"/>
                    <w:jc w:val="right"/>
                    <w:jc w:val="center"/>
                  </w:pPr>
                  <w:r>
                    <w:t xml:space="preserve">0.0742 (0.0151)</w:t>
                  </w:r>
                </w:p>
              </w:tc>
              <w:tc>
                <w:tcPr/>
                <w:p>
                  <w:pPr>
                    <w:pStyle w:val="Compact"/>
                    <w:jc w:val="right"/>
                    <w:jc w:val="center"/>
                  </w:pPr>
                  <w:r>
                    <w:t xml:space="preserve">0.0742 (0.0151)</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Large establishments</w:t>
                  </w:r>
                </w:p>
              </w:tc>
              <w:tc>
                <w:tcPr/>
                <w:p>
                  <w:pPr>
                    <w:pStyle w:val="Compact"/>
                    <w:jc w:val="right"/>
                    <w:jc w:val="center"/>
                  </w:pPr>
                  <w:r>
                    <w:t xml:space="preserve">0.0411 (0.0183)</w:t>
                  </w:r>
                </w:p>
              </w:tc>
              <w:tc>
                <w:tcPr/>
                <w:p>
                  <w:pPr>
                    <w:pStyle w:val="Compact"/>
                    <w:jc w:val="right"/>
                    <w:jc w:val="center"/>
                  </w:pPr>
                  <w:r>
                    <w:t xml:space="preserve">0.0411 (0.0183)</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ICT sector intensity</w:t>
                  </w:r>
                </w:p>
              </w:tc>
              <w:tc>
                <w:tcPr/>
                <w:p>
                  <w:pPr>
                    <w:pStyle w:val="Compact"/>
                    <w:jc w:val="right"/>
                    <w:jc w:val="center"/>
                  </w:pPr>
                  <w:r>
                    <w:t xml:space="preserve">0.0401 (0.0153)</w:t>
                  </w:r>
                </w:p>
              </w:tc>
              <w:tc>
                <w:tcPr/>
                <w:p>
                  <w:pPr>
                    <w:pStyle w:val="Compact"/>
                    <w:jc w:val="right"/>
                    <w:jc w:val="center"/>
                  </w:pPr>
                  <w:r>
                    <w:t xml:space="preserve">0.0401 (0.0153)</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Manufacturing intensity</w:t>
                  </w:r>
                </w:p>
              </w:tc>
              <w:tc>
                <w:tcPr/>
                <w:p>
                  <w:pPr>
                    <w:pStyle w:val="Compact"/>
                    <w:jc w:val="right"/>
                    <w:jc w:val="center"/>
                  </w:pPr>
                  <w:r>
                    <w:t xml:space="preserve">-0.0447 (0.0166)</w:t>
                  </w:r>
                </w:p>
              </w:tc>
              <w:tc>
                <w:tcPr/>
                <w:p>
                  <w:pPr>
                    <w:pStyle w:val="Compact"/>
                    <w:jc w:val="right"/>
                    <w:jc w:val="center"/>
                  </w:pPr>
                  <w:r>
                    <w:t xml:space="preserve">-0.0447 (0.0166)</w:t>
                  </w:r>
                </w:p>
              </w:tc>
              <w:tc>
                <w:tcPr/>
                <w:p>
                  <w:pPr>
                    <w:pStyle w:val="Compact"/>
                    <w:jc w:val="right"/>
                    <w:jc w:val="center"/>
                  </w:pPr>
                  <w:r>
                    <w:t xml:space="preserve">0.0000</w:t>
                  </w:r>
                </w:p>
              </w:tc>
            </w:tr>
            <w:tr>
              <w:tc>
                <w:tcPr/>
                <w:p>
                  <w:pPr>
                    <w:pStyle w:val="Compact"/>
                    <w:jc w:val="left"/>
                    <w:jc w:val="center"/>
                  </w:pPr>
                  <w:r>
                    <w:t xml:space="preserve">(3) Industry</w:t>
                  </w:r>
                </w:p>
              </w:tc>
              <w:tc>
                <w:tcPr/>
                <w:p>
                  <w:pPr>
                    <w:pStyle w:val="Compact"/>
                    <w:jc w:val="left"/>
                    <w:jc w:val="center"/>
                  </w:pPr>
                  <w:r>
                    <w:t xml:space="preserve">Turnover rate</w:t>
                  </w:r>
                </w:p>
              </w:tc>
              <w:tc>
                <w:tcPr/>
                <w:p>
                  <w:pPr>
                    <w:pStyle w:val="Compact"/>
                    <w:jc w:val="right"/>
                    <w:jc w:val="center"/>
                  </w:pPr>
                  <w:r>
                    <w:t xml:space="preserve">-0.0556 (0.0222)</w:t>
                  </w:r>
                </w:p>
              </w:tc>
              <w:tc>
                <w:tcPr/>
                <w:p>
                  <w:pPr>
                    <w:pStyle w:val="Compact"/>
                    <w:jc w:val="right"/>
                    <w:jc w:val="center"/>
                  </w:pPr>
                  <w:r>
                    <w:t xml:space="preserve">-0.0556 (0.0222)</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Bachelor’s share</w:t>
                  </w:r>
                </w:p>
              </w:tc>
              <w:tc>
                <w:tcPr/>
                <w:p>
                  <w:pPr>
                    <w:pStyle w:val="Compact"/>
                    <w:jc w:val="right"/>
                    <w:jc w:val="center"/>
                  </w:pPr>
                  <w:r>
                    <w:t xml:space="preserve">-0.0035 (0.0032)</w:t>
                  </w:r>
                </w:p>
              </w:tc>
              <w:tc>
                <w:tcPr/>
                <w:p>
                  <w:pPr>
                    <w:pStyle w:val="Compact"/>
                    <w:jc w:val="right"/>
                    <w:jc w:val="center"/>
                  </w:pPr>
                  <w:r>
                    <w:t xml:space="preserve">-0.0322 (0.0292)</w:t>
                  </w:r>
                </w:p>
              </w:tc>
              <w:tc>
                <w:tcPr/>
                <w:p>
                  <w:pPr>
                    <w:pStyle w:val="Compact"/>
                    <w:jc w:val="right"/>
                    <w:jc w:val="center"/>
                  </w:pPr>
                  <w:r>
                    <w:t xml:space="preserve">-0.0287</w:t>
                  </w:r>
                </w:p>
              </w:tc>
            </w:tr>
            <w:tr>
              <w:tc>
                <w:tcPr/>
                <w:p>
                  <w:pPr>
                    <w:pStyle w:val="Compact"/>
                    <w:jc w:val="left"/>
                    <w:jc w:val="center"/>
                  </w:pPr>
                  <w:r>
                    <w:t xml:space="preserve">(4) All controls</w:t>
                  </w:r>
                </w:p>
              </w:tc>
              <w:tc>
                <w:tcPr/>
                <w:p>
                  <w:pPr>
                    <w:pStyle w:val="Compact"/>
                    <w:jc w:val="left"/>
                    <w:jc w:val="center"/>
                  </w:pPr>
                  <w:r>
                    <w:t xml:space="preserve">Income, log</w:t>
                  </w:r>
                </w:p>
              </w:tc>
              <w:tc>
                <w:tcPr/>
                <w:p>
                  <w:pPr>
                    <w:pStyle w:val="Compact"/>
                    <w:jc w:val="right"/>
                    <w:jc w:val="center"/>
                  </w:pPr>
                  <w:r>
                    <w:t xml:space="preserve">0.0695 (0.0391)</w:t>
                  </w:r>
                </w:p>
              </w:tc>
              <w:tc>
                <w:tcPr/>
                <w:p>
                  <w:pPr>
                    <w:pStyle w:val="Compact"/>
                    <w:jc w:val="right"/>
                    <w:jc w:val="center"/>
                  </w:pPr>
                  <w:r>
                    <w:t xml:space="preserve">0.0695 (0.0391)</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Labor tightness</w:t>
                  </w:r>
                </w:p>
              </w:tc>
              <w:tc>
                <w:tcPr/>
                <w:p>
                  <w:pPr>
                    <w:pStyle w:val="Compact"/>
                    <w:jc w:val="right"/>
                    <w:jc w:val="center"/>
                  </w:pPr>
                  <w:r>
                    <w:t xml:space="preserve">0.0732 (0.0237)</w:t>
                  </w:r>
                </w:p>
              </w:tc>
              <w:tc>
                <w:tcPr/>
                <w:p>
                  <w:pPr>
                    <w:pStyle w:val="Compact"/>
                    <w:jc w:val="right"/>
                    <w:jc w:val="center"/>
                  </w:pPr>
                  <w:r>
                    <w:t xml:space="preserve">0.0732 (0.0237)</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STEM degrees share</w:t>
                  </w:r>
                </w:p>
              </w:tc>
              <w:tc>
                <w:tcPr/>
                <w:p>
                  <w:pPr>
                    <w:pStyle w:val="Compact"/>
                    <w:jc w:val="right"/>
                    <w:jc w:val="center"/>
                  </w:pPr>
                  <w:r>
                    <w:t xml:space="preserve">0.0539 (0.0163)</w:t>
                  </w:r>
                </w:p>
              </w:tc>
              <w:tc>
                <w:tcPr/>
                <w:p>
                  <w:pPr>
                    <w:pStyle w:val="Compact"/>
                    <w:jc w:val="right"/>
                    <w:jc w:val="center"/>
                  </w:pPr>
                  <w:r>
                    <w:t xml:space="preserve">0.0539 (0.0163)</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Large establishments</w:t>
                  </w:r>
                </w:p>
              </w:tc>
              <w:tc>
                <w:tcPr/>
                <w:p>
                  <w:pPr>
                    <w:pStyle w:val="Compact"/>
                    <w:jc w:val="right"/>
                    <w:jc w:val="center"/>
                  </w:pPr>
                  <w:r>
                    <w:t xml:space="preserve">-0.0158 (0.0219)</w:t>
                  </w:r>
                </w:p>
              </w:tc>
              <w:tc>
                <w:tcPr/>
                <w:p>
                  <w:pPr>
                    <w:pStyle w:val="Compact"/>
                    <w:jc w:val="right"/>
                    <w:jc w:val="center"/>
                  </w:pPr>
                  <w:r>
                    <w:t xml:space="preserve">-0.0158 (0.0219)</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ICT sector intensity</w:t>
                  </w:r>
                </w:p>
              </w:tc>
              <w:tc>
                <w:tcPr/>
                <w:p>
                  <w:pPr>
                    <w:pStyle w:val="Compact"/>
                    <w:jc w:val="right"/>
                    <w:jc w:val="center"/>
                  </w:pPr>
                  <w:r>
                    <w:t xml:space="preserve">0.0137 (0.0170)</w:t>
                  </w:r>
                </w:p>
              </w:tc>
              <w:tc>
                <w:tcPr/>
                <w:p>
                  <w:pPr>
                    <w:pStyle w:val="Compact"/>
                    <w:jc w:val="right"/>
                    <w:jc w:val="center"/>
                  </w:pPr>
                  <w:r>
                    <w:t xml:space="preserve">0.0137 (0.0170)</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Manufacturing intensity</w:t>
                  </w:r>
                </w:p>
              </w:tc>
              <w:tc>
                <w:tcPr/>
                <w:p>
                  <w:pPr>
                    <w:pStyle w:val="Compact"/>
                    <w:jc w:val="right"/>
                    <w:jc w:val="center"/>
                  </w:pPr>
                  <w:r>
                    <w:t xml:space="preserve">-0.0128 (0.0181)</w:t>
                  </w:r>
                </w:p>
              </w:tc>
              <w:tc>
                <w:tcPr/>
                <w:p>
                  <w:pPr>
                    <w:pStyle w:val="Compact"/>
                    <w:jc w:val="right"/>
                    <w:jc w:val="center"/>
                  </w:pPr>
                  <w:r>
                    <w:t xml:space="preserve">-0.0128 (0.0181)</w:t>
                  </w:r>
                </w:p>
              </w:tc>
              <w:tc>
                <w:tcPr/>
                <w:p>
                  <w:pPr>
                    <w:pStyle w:val="Compact"/>
                    <w:jc w:val="right"/>
                    <w:jc w:val="center"/>
                  </w:pPr>
                  <w:r>
                    <w:t xml:space="preserve">0.0000</w:t>
                  </w:r>
                </w:p>
              </w:tc>
            </w:tr>
            <w:tr>
              <w:tc>
                <w:tcPr/>
                <w:p>
                  <w:pPr>
                    <w:pStyle w:val="Compact"/>
                    <w:jc w:val="left"/>
                    <w:jc w:val="center"/>
                  </w:pPr>
                  <w:r>
                    <w:t xml:space="preserve">(4) All controls</w:t>
                  </w:r>
                </w:p>
              </w:tc>
              <w:tc>
                <w:tcPr/>
                <w:p>
                  <w:pPr>
                    <w:pStyle w:val="Compact"/>
                    <w:jc w:val="left"/>
                    <w:jc w:val="center"/>
                  </w:pPr>
                  <w:r>
                    <w:t xml:space="preserve">Turnover rate</w:t>
                  </w:r>
                </w:p>
              </w:tc>
              <w:tc>
                <w:tcPr/>
                <w:p>
                  <w:pPr>
                    <w:pStyle w:val="Compact"/>
                    <w:jc w:val="right"/>
                    <w:jc w:val="center"/>
                  </w:pPr>
                  <w:r>
                    <w:t xml:space="preserve">-0.0419 (0.0233)</w:t>
                  </w:r>
                </w:p>
              </w:tc>
              <w:tc>
                <w:tcPr/>
                <w:p>
                  <w:pPr>
                    <w:pStyle w:val="Compact"/>
                    <w:jc w:val="right"/>
                    <w:jc w:val="center"/>
                  </w:pPr>
                  <w:r>
                    <w:t xml:space="preserve">-0.0419 (0.0233)</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Bachelor’s share</w:t>
                  </w:r>
                </w:p>
              </w:tc>
              <w:tc>
                <w:tcPr/>
                <w:p>
                  <w:pPr>
                    <w:pStyle w:val="Compact"/>
                    <w:jc w:val="right"/>
                    <w:jc w:val="center"/>
                  </w:pPr>
                  <w:r>
                    <w:t xml:space="preserve">-0.0044 (0.0029)</w:t>
                  </w:r>
                </w:p>
              </w:tc>
              <w:tc>
                <w:tcPr/>
                <w:p>
                  <w:pPr>
                    <w:pStyle w:val="Compact"/>
                    <w:jc w:val="right"/>
                    <w:jc w:val="center"/>
                  </w:pPr>
                  <w:r>
                    <w:t xml:space="preserve">-0.0401 (0.0263)</w:t>
                  </w:r>
                </w:p>
              </w:tc>
              <w:tc>
                <w:tcPr/>
                <w:p>
                  <w:pPr>
                    <w:pStyle w:val="Compact"/>
                    <w:jc w:val="right"/>
                    <w:jc w:val="center"/>
                  </w:pPr>
                  <w:r>
                    <w:t xml:space="preserve">-0.0357</w:t>
                  </w:r>
                </w:p>
              </w:tc>
            </w:tr>
            <w:tr>
              <w:tc>
                <w:tcPr/>
                <w:p>
                  <w:pPr>
                    <w:pStyle w:val="Compact"/>
                    <w:jc w:val="left"/>
                    <w:jc w:val="center"/>
                  </w:pPr>
                  <w:r>
                    <w:t xml:space="preserve">(5) State FE</w:t>
                  </w:r>
                </w:p>
              </w:tc>
              <w:tc>
                <w:tcPr/>
                <w:p>
                  <w:pPr>
                    <w:pStyle w:val="Compact"/>
                    <w:jc w:val="left"/>
                    <w:jc w:val="center"/>
                  </w:pPr>
                  <w:r>
                    <w:t xml:space="preserve">Income, log</w:t>
                  </w:r>
                </w:p>
              </w:tc>
              <w:tc>
                <w:tcPr/>
                <w:p>
                  <w:pPr>
                    <w:pStyle w:val="Compact"/>
                    <w:jc w:val="right"/>
                    <w:jc w:val="center"/>
                  </w:pPr>
                  <w:r>
                    <w:t xml:space="preserve">0.0614 (0.0442)</w:t>
                  </w:r>
                </w:p>
              </w:tc>
              <w:tc>
                <w:tcPr/>
                <w:p>
                  <w:pPr>
                    <w:pStyle w:val="Compact"/>
                    <w:jc w:val="right"/>
                    <w:jc w:val="center"/>
                  </w:pPr>
                  <w:r>
                    <w:t xml:space="preserve">0.0614 (0.0442)</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Labor tightness</w:t>
                  </w:r>
                </w:p>
              </w:tc>
              <w:tc>
                <w:tcPr/>
                <w:p>
                  <w:pPr>
                    <w:pStyle w:val="Compact"/>
                    <w:jc w:val="right"/>
                    <w:jc w:val="center"/>
                  </w:pPr>
                  <w:r>
                    <w:t xml:space="preserve">0.0726 (0.0352)</w:t>
                  </w:r>
                </w:p>
              </w:tc>
              <w:tc>
                <w:tcPr/>
                <w:p>
                  <w:pPr>
                    <w:pStyle w:val="Compact"/>
                    <w:jc w:val="right"/>
                    <w:jc w:val="center"/>
                  </w:pPr>
                  <w:r>
                    <w:t xml:space="preserve">0.0726 (0.0352)</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STEM degrees share</w:t>
                  </w:r>
                </w:p>
              </w:tc>
              <w:tc>
                <w:tcPr/>
                <w:p>
                  <w:pPr>
                    <w:pStyle w:val="Compact"/>
                    <w:jc w:val="right"/>
                    <w:jc w:val="center"/>
                  </w:pPr>
                  <w:r>
                    <w:t xml:space="preserve">0.0455 (0.0184)</w:t>
                  </w:r>
                </w:p>
              </w:tc>
              <w:tc>
                <w:tcPr/>
                <w:p>
                  <w:pPr>
                    <w:pStyle w:val="Compact"/>
                    <w:jc w:val="right"/>
                    <w:jc w:val="center"/>
                  </w:pPr>
                  <w:r>
                    <w:t xml:space="preserve">0.0455 (0.0184)</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Large establishments</w:t>
                  </w:r>
                </w:p>
              </w:tc>
              <w:tc>
                <w:tcPr/>
                <w:p>
                  <w:pPr>
                    <w:pStyle w:val="Compact"/>
                    <w:jc w:val="right"/>
                    <w:jc w:val="center"/>
                  </w:pPr>
                  <w:r>
                    <w:t xml:space="preserve">-0.0165 (0.0198)</w:t>
                  </w:r>
                </w:p>
              </w:tc>
              <w:tc>
                <w:tcPr/>
                <w:p>
                  <w:pPr>
                    <w:pStyle w:val="Compact"/>
                    <w:jc w:val="right"/>
                    <w:jc w:val="center"/>
                  </w:pPr>
                  <w:r>
                    <w:t xml:space="preserve">-0.0165 (0.0198)</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ICT sector intensity</w:t>
                  </w:r>
                </w:p>
              </w:tc>
              <w:tc>
                <w:tcPr/>
                <w:p>
                  <w:pPr>
                    <w:pStyle w:val="Compact"/>
                    <w:jc w:val="right"/>
                    <w:jc w:val="center"/>
                  </w:pPr>
                  <w:r>
                    <w:t xml:space="preserve">0.0219 (0.0182)</w:t>
                  </w:r>
                </w:p>
              </w:tc>
              <w:tc>
                <w:tcPr/>
                <w:p>
                  <w:pPr>
                    <w:pStyle w:val="Compact"/>
                    <w:jc w:val="right"/>
                    <w:jc w:val="center"/>
                  </w:pPr>
                  <w:r>
                    <w:t xml:space="preserve">0.0219 (0.0182)</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Manufacturing intensity</w:t>
                  </w:r>
                </w:p>
              </w:tc>
              <w:tc>
                <w:tcPr/>
                <w:p>
                  <w:pPr>
                    <w:pStyle w:val="Compact"/>
                    <w:jc w:val="right"/>
                    <w:jc w:val="center"/>
                  </w:pPr>
                  <w:r>
                    <w:t xml:space="preserve">0.0001 (0.0203)</w:t>
                  </w:r>
                </w:p>
              </w:tc>
              <w:tc>
                <w:tcPr/>
                <w:p>
                  <w:pPr>
                    <w:pStyle w:val="Compact"/>
                    <w:jc w:val="right"/>
                    <w:jc w:val="center"/>
                  </w:pPr>
                  <w:r>
                    <w:t xml:space="preserve">0.0001 (0.0203)</w:t>
                  </w:r>
                </w:p>
              </w:tc>
              <w:tc>
                <w:tcPr/>
                <w:p>
                  <w:pPr>
                    <w:pStyle w:val="Compact"/>
                    <w:jc w:val="right"/>
                    <w:jc w:val="center"/>
                  </w:pPr>
                  <w:r>
                    <w:t xml:space="preserve">0.0000</w:t>
                  </w:r>
                </w:p>
              </w:tc>
            </w:tr>
            <w:tr>
              <w:tc>
                <w:tcPr/>
                <w:p>
                  <w:pPr>
                    <w:pStyle w:val="Compact"/>
                    <w:jc w:val="left"/>
                    <w:jc w:val="center"/>
                  </w:pPr>
                  <w:r>
                    <w:t xml:space="preserve">(5) State FE</w:t>
                  </w:r>
                </w:p>
              </w:tc>
              <w:tc>
                <w:tcPr/>
                <w:p>
                  <w:pPr>
                    <w:pStyle w:val="Compact"/>
                    <w:jc w:val="left"/>
                    <w:jc w:val="center"/>
                  </w:pPr>
                  <w:r>
                    <w:t xml:space="preserve">Turnover rate</w:t>
                  </w:r>
                </w:p>
              </w:tc>
              <w:tc>
                <w:tcPr/>
                <w:p>
                  <w:pPr>
                    <w:pStyle w:val="Compact"/>
                    <w:jc w:val="right"/>
                    <w:jc w:val="center"/>
                  </w:pPr>
                  <w:r>
                    <w:t xml:space="preserve">-0.0389 (0.0271)</w:t>
                  </w:r>
                </w:p>
              </w:tc>
              <w:tc>
                <w:tcPr/>
                <w:p>
                  <w:pPr>
                    <w:pStyle w:val="Compact"/>
                    <w:jc w:val="right"/>
                    <w:jc w:val="center"/>
                  </w:pPr>
                  <w:r>
                    <w:t xml:space="preserve">-0.0389 (0.0271)</w:t>
                  </w:r>
                </w:p>
              </w:tc>
              <w:tc>
                <w:tcPr/>
                <w:p>
                  <w:pPr>
                    <w:pStyle w:val="Compact"/>
                    <w:jc w:val="right"/>
                    <w:jc w:val="center"/>
                  </w:pPr>
                  <w:r>
                    <w:t xml:space="preserve">0.0000</w:t>
                  </w:r>
                </w:p>
              </w:tc>
            </w:tr>
          </w:tbl>
          <w:p>
            <w:pPr>
              <w:jc w:val="center"/>
            </w:pPr>
            <w:r>
              <w:rPr>
                <w:i/>
                <w:iCs/>
              </w:rPr>
              <w:t xml:space="preserve">Notes:</w:t>
            </w:r>
            <w:r>
              <w:t xml:space="preserve"> </w:t>
            </w:r>
            <w:r>
              <w:t xml:space="preserve">Each cell reports coefficient and standard error in parentheses. The original column transcribes the published version of record (Andreadis et al. 2025, AEA Papers and Proceedings 115: 29-34, DOI 10.1257/pandp.20251001, Table 2, page 33); the replication column reports estimates from the released replication code and data. The AEA conference preprint and the SSRN version report the same bachelor’s-share values as the released code, so the discrepancy shown here arises only against the published version. The displayed discrepancy is confined to bachelor’s share in columns 1, 4, and 5. The replication estimates use AKCLM’s code weighting, log(1 + 2017 job postings), despite the published table footer describing the observations as unweighted. The dependent variable is the percentage-point change in AI intensity between the 2017-2018 and 2022-2023 averages. Columns 1-4 have no fixed effects; column 5 includes state fixed effects.</w:t>
            </w:r>
          </w:p>
          <w:bookmarkEnd w:id="20"/>
        </w:tc>
      </w:tr>
    </w:tbl>
    <w:p>
      <w:pPr>
        <w:pStyle w:val="BodyText"/>
      </w:pPr>
      <w:r>
        <w:t xml:space="preserve">AKCLM’s Table 2 analyzes predictors of the growth of AI intensity between 2017–2018 and 2022–2023; in this paper, those results appear in the growth replication table above. All regressors are standardized, with explanatory variables measured in 2017. Column 4 includes the full control set and serves as the preferred specification; all subsequent discussion refers to this column.</w:t>
      </w:r>
    </w:p>
    <w:p>
      <w:pPr>
        <w:pStyle w:val="BodyText"/>
      </w:pPr>
      <w:r>
        <w:t xml:space="preserve">STEM degree share (0.054, p &lt; 0.01) is the largest statistically significant predictor of AI intensity growth in the preferred specification. Two counties differing by one standard deviation in STEM degree share are expected to differ by 0.054 percentage points in AI intensity growth, equivalent to 61% of the median of 0.088 percentage points.</w:t>
      </w:r>
    </w:p>
    <w:p>
      <w:pPr>
        <w:pStyle w:val="BodyText"/>
      </w:pPr>
      <w:r>
        <w:t xml:space="preserve">Among labor market variables, turnover rate (−0.042, p &lt; 0.01) carries a coefficient 2.7 times larger in magnitude than large establishment share (−0.016, p = 0.47). Two counties differing by one standard deviation in turnover rate are expected to differ by 0.042 percentage points in AI intensity growth (48% of the median), compared with 0.016 percentage points for large establishment share (18% of the median).</w:t>
      </w:r>
    </w:p>
    <w:tbl>
      <w:tblPr>
        <w:tblStyle w:val="Table"/>
        <w:tblW w:type="pct" w:w="5000"/>
        <w:tblLayout w:type="fixed"/>
        <w:tblLook w:firstRow="0" w:lastRow="0" w:firstColumn="0" w:lastColumn="0" w:noHBand="0" w:noVBand="0" w:val="0000"/>
      </w:tblPr>
      <w:tblGrid>
        <w:gridCol w:w="7920"/>
      </w:tblGrid>
      <w:tr>
        <w:tc>
          <w:tcPr/>
          <w:bookmarkStart w:id="24" w:name="fig-map-side-by-side"/>
          <w:p>
            <w:pPr>
              <w:jc w:val="center"/>
            </w:pPr>
            <w:pPr>
              <w:jc w:val="left"/>
              <w:spacing w:before="200"/>
              <w:pStyle w:val="ImageCaption"/>
            </w:pPr>
            <w:r>
              <w:t xml:space="preserve">Figure 1: Published and reconstructed county maps of AI intensity</w:t>
            </w:r>
          </w:p>
          <w:p>
            <w:pPr>
              <w:pStyle w:val="Compact"/>
              <w:jc w:val="center"/>
            </w:pPr>
            <w:r>
              <w:drawing>
                <wp:inline>
                  <wp:extent cx="5334000" cy="3789947"/>
                  <wp:effectExtent b="0" l="0" r="0" t="0"/>
                  <wp:docPr descr="" title="" id="22" name="Picture"/>
                  <a:graphic>
                    <a:graphicData uri="http://schemas.openxmlformats.org/drawingml/2006/picture">
                      <pic:pic>
                        <pic:nvPicPr>
                          <pic:cNvPr descr="replication_files/figure-docx/fig-map-side-by-side-1.png" id="23" name="Picture"/>
                          <pic:cNvPicPr>
                            <a:picLocks noChangeArrowheads="1" noChangeAspect="1"/>
                          </pic:cNvPicPr>
                        </pic:nvPicPr>
                        <pic:blipFill>
                          <a:blip r:embed="rId21"/>
                          <a:stretch>
                            <a:fillRect/>
                          </a:stretch>
                        </pic:blipFill>
                        <pic:spPr bwMode="auto">
                          <a:xfrm>
                            <a:off x="0" y="0"/>
                            <a:ext cx="5334000" cy="3789947"/>
                          </a:xfrm>
                          <a:prstGeom prst="rect">
                            <a:avLst/>
                          </a:prstGeom>
                          <a:noFill/>
                          <a:ln w="9525">
                            <a:noFill/>
                            <a:headEnd/>
                            <a:tailEnd/>
                          </a:ln>
                        </pic:spPr>
                      </pic:pic>
                    </a:graphicData>
                  </a:graphic>
                </wp:inline>
              </w:drawing>
            </w:r>
          </w:p>
          <w:bookmarkEnd w:id="24"/>
        </w:tc>
      </w:tr>
    </w:tbl>
    <w:p>
      <w:pPr>
        <w:pStyle w:val="BodyText"/>
      </w:pPr>
      <w:r>
        <w:rPr>
          <w:i/>
          <w:iCs/>
        </w:rPr>
        <w:t xml:space="preserve">Notes:</w:t>
      </w:r>
      <w:r>
        <w:t xml:space="preserve"> </w:t>
      </w:r>
      <w:r>
        <w:t xml:space="preserve">Panels A and B show average AI intensity from 2014 to 2023; Panels C and D show the change in AI intensity. The left column reproduces the published AKCLM Figure 1 panels as images extracted from the published article. The right column shows maps generated from the replication data and definitions. Our replication Panel B uses the change in AI intensity between 2017–2018 and 2022–2023, while AKCLM’s published figure labels Panel B as the 2018–2023 change. Connecticut appears with N/A values because AKCLM’s released</w:t>
      </w:r>
      <w:r>
        <w:t xml:space="preserve"> </w:t>
      </w:r>
      <w:r>
        <w:rPr>
          <w:rStyle w:val="VerbatimChar"/>
        </w:rPr>
        <w:t xml:space="preserve">data.csv</w:t>
      </w:r>
      <w:r>
        <w:t xml:space="preserve"> </w:t>
      </w:r>
      <w:r>
        <w:t xml:space="preserve">contains no Connecticut county rows. The available archive does not include code that directly generates these maps, so the source of the published-image discrepancy remains unresolved.</w:t>
      </w:r>
    </w:p>
    <w:p>
      <w:pPr>
        <w:pStyle w:val="BodyText"/>
      </w:pPr>
      <w:r>
        <w:t xml:space="preserve">Figure 1 displays the spatial distribution and evolution of AI intensity across U.S. counties from 2014 to 2023. We used AKCLM’s public archive file</w:t>
      </w:r>
      <w:r>
        <w:t xml:space="preserve"> </w:t>
      </w:r>
      <w:r>
        <w:rPr>
          <w:rStyle w:val="VerbatimChar"/>
        </w:rPr>
        <w:t xml:space="preserve">228344-V1.zip</w:t>
      </w:r>
      <w:r>
        <w:t xml:space="preserve">, which contains</w:t>
      </w:r>
      <w:r>
        <w:t xml:space="preserve"> </w:t>
      </w:r>
      <w:r>
        <w:rPr>
          <w:rStyle w:val="VerbatimChar"/>
        </w:rPr>
        <w:t xml:space="preserve">README.pdf</w:t>
      </w:r>
      <w:r>
        <w:t xml:space="preserve">,</w:t>
      </w:r>
      <w:r>
        <w:t xml:space="preserve"> </w:t>
      </w:r>
      <w:r>
        <w:rPr>
          <w:rStyle w:val="VerbatimChar"/>
        </w:rPr>
        <w:t xml:space="preserve">data.csv</w:t>
      </w:r>
      <w:r>
        <w:t xml:space="preserve">,</w:t>
      </w:r>
      <w:r>
        <w:t xml:space="preserve"> </w:t>
      </w:r>
      <w:r>
        <w:rPr>
          <w:rStyle w:val="VerbatimChar"/>
        </w:rPr>
        <w:t xml:space="preserve">data_code_ai.Rproj</w:t>
      </w:r>
      <w:r>
        <w:t xml:space="preserve">,</w:t>
      </w:r>
      <w:r>
        <w:t xml:space="preserve"> </w:t>
      </w:r>
      <w:r>
        <w:rPr>
          <w:rStyle w:val="VerbatimChar"/>
        </w:rPr>
        <w:t xml:space="preserve">readme_ai.md</w:t>
      </w:r>
      <w:r>
        <w:t xml:space="preserve">, and</w:t>
      </w:r>
      <w:r>
        <w:t xml:space="preserve"> </w:t>
      </w:r>
      <w:r>
        <w:rPr>
          <w:rStyle w:val="VerbatimChar"/>
        </w:rPr>
        <w:t xml:space="preserve">replication_code.R</w:t>
      </w:r>
      <w:r>
        <w:t xml:space="preserve">; it does not contain a separate mapping script or county-level file for the published map panels. We also consulted the authors’ available GitHub repository to check whether map-construction materials were available outside the AEA/openICPSR archive. We could not recover the exact data underlying the published maps from those materials. We therefore reconstructed the maps as closely as possible from the released</w:t>
      </w:r>
      <w:r>
        <w:t xml:space="preserve"> </w:t>
      </w:r>
      <w:r>
        <w:rPr>
          <w:rStyle w:val="VerbatimChar"/>
        </w:rPr>
        <w:t xml:space="preserve">data.csv</w:t>
      </w:r>
      <w:r>
        <w:t xml:space="preserve"> </w:t>
      </w:r>
      <w:r>
        <w:t xml:space="preserve">and the definitions described in the article. This exercise reveals that the released data are not fully consistent with the published graphic: most notably,</w:t>
      </w:r>
      <w:r>
        <w:t xml:space="preserve"> </w:t>
      </w:r>
      <w:r>
        <w:rPr>
          <w:rStyle w:val="VerbatimChar"/>
        </w:rPr>
        <w:t xml:space="preserve">data.csv</w:t>
      </w:r>
      <w:r>
        <w:t xml:space="preserve"> </w:t>
      </w:r>
      <w:r>
        <w:t xml:space="preserve">contains no Connecticut county FIPS rows, even though the published map displays Connecticut as part of the county map. The unresolved discrepancy is therefore about the map inputs and construction path.</w:t>
      </w:r>
    </w:p>
    <w:tbl>
      <w:tblPr>
        <w:tblStyle w:val="Table"/>
        <w:tblW w:type="pct" w:w="5000"/>
        <w:tblLayout w:type="fixed"/>
        <w:tblLook w:firstRow="0" w:lastRow="0" w:firstColumn="0" w:lastColumn="0" w:noHBand="0" w:noVBand="0" w:val="0000"/>
      </w:tblPr>
      <w:tblGrid>
        <w:gridCol w:w="7920"/>
      </w:tblGrid>
      <w:tr>
        <w:tc>
          <w:tcPr/>
          <w:bookmarkStart w:id="25" w:name="tbl-figure1-reproducibility"/>
          <w:p>
            <w:pPr>
              <w:jc w:val="center"/>
            </w:pPr>
            <w:pPr>
              <w:jc w:val="left"/>
              <w:spacing w:before="200"/>
              <w:pStyle w:val="ImageCaption"/>
            </w:pPr>
            <w:r>
              <w:t xml:space="preserve">Table 5: Figure 1 map-construction reproducibility issues</w:t>
            </w:r>
          </w:p>
          <w:tbl>
            <w:tblPr>
              <w:tblStyle w:val="Table"/>
              <w:tblW w:type="pct" w:w="5000"/>
              <w:tblLayout w:type="fixed"/>
              <w:tblLook w:firstRow="1" w:lastRow="0" w:firstColumn="0" w:lastColumn="0" w:noHBand="0" w:noVBand="0" w:val="0020"/>
            </w:tblPr>
            <w:tblGrid>
              <w:gridCol w:w="633"/>
              <w:gridCol w:w="5280"/>
              <w:gridCol w:w="2006"/>
            </w:tblGrid>
            <w:tr>
              <w:trPr>
                <w:tblHeader w:val="on"/>
              </w:trPr>
              <w:tc>
                <w:tcPr/>
                <w:p>
                  <w:pPr>
                    <w:pStyle w:val="Compact"/>
                    <w:jc w:val="left"/>
                    <w:jc w:val="center"/>
                  </w:pPr>
                  <w:r>
                    <w:t xml:space="preserve">Issue</w:t>
                  </w:r>
                </w:p>
              </w:tc>
              <w:tc>
                <w:tcPr/>
                <w:p>
                  <w:pPr>
                    <w:pStyle w:val="Compact"/>
                    <w:jc w:val="left"/>
                    <w:jc w:val="center"/>
                  </w:pPr>
                  <w:r>
                    <w:t xml:space="preserve">Evidence</w:t>
                  </w:r>
                </w:p>
              </w:tc>
              <w:tc>
                <w:tcPr/>
                <w:p>
                  <w:pPr>
                    <w:pStyle w:val="Compact"/>
                    <w:jc w:val="left"/>
                    <w:jc w:val="center"/>
                  </w:pPr>
                  <w:r>
                    <w:t xml:space="preserve">Interpretation</w:t>
                  </w:r>
                </w:p>
              </w:tc>
            </w:tr>
            <w:tr>
              <w:tc>
                <w:tcPr/>
                <w:p>
                  <w:pPr>
                    <w:pStyle w:val="Compact"/>
                    <w:jc w:val="left"/>
                    <w:jc w:val="center"/>
                  </w:pPr>
                  <w:r>
                    <w:t xml:space="preserve">No direct map code</w:t>
                  </w:r>
                </w:p>
              </w:tc>
              <w:tc>
                <w:tcPr/>
                <w:p>
                  <w:pPr>
                    <w:pStyle w:val="Compact"/>
                    <w:jc w:val="left"/>
                    <w:jc w:val="center"/>
                  </w:pPr>
                  <w:r>
                    <w:t xml:space="preserve">The archive file</w:t>
                  </w:r>
                  <w:r>
                    <w:t xml:space="preserve"> </w:t>
                  </w:r>
                  <w:r>
                    <w:rPr>
                      <w:rStyle w:val="VerbatimChar"/>
                    </w:rPr>
                    <w:t xml:space="preserve">228344-V1.zip</w:t>
                  </w:r>
                  <w:r>
                    <w:t xml:space="preserve"> </w:t>
                  </w:r>
                  <w:r>
                    <w:t xml:space="preserve">contains</w:t>
                  </w:r>
                  <w:r>
                    <w:t xml:space="preserve"> </w:t>
                  </w:r>
                  <w:r>
                    <w:rPr>
                      <w:rStyle w:val="VerbatimChar"/>
                    </w:rPr>
                    <w:t xml:space="preserve">README.pdf</w:t>
                  </w:r>
                  <w:r>
                    <w:t xml:space="preserve">,</w:t>
                  </w:r>
                  <w:r>
                    <w:t xml:space="preserve"> </w:t>
                  </w:r>
                  <w:r>
                    <w:rPr>
                      <w:rStyle w:val="VerbatimChar"/>
                    </w:rPr>
                    <w:t xml:space="preserve">data.csv</w:t>
                  </w:r>
                  <w:r>
                    <w:t xml:space="preserve">,</w:t>
                  </w:r>
                  <w:r>
                    <w:t xml:space="preserve"> </w:t>
                  </w:r>
                  <w:r>
                    <w:rPr>
                      <w:rStyle w:val="VerbatimChar"/>
                    </w:rPr>
                    <w:t xml:space="preserve">data_code_ai.Rproj</w:t>
                  </w:r>
                  <w:r>
                    <w:t xml:space="preserve">,</w:t>
                  </w:r>
                  <w:r>
                    <w:t xml:space="preserve"> </w:t>
                  </w:r>
                  <w:r>
                    <w:rPr>
                      <w:rStyle w:val="VerbatimChar"/>
                    </w:rPr>
                    <w:t xml:space="preserve">readme_ai.md</w:t>
                  </w:r>
                  <w:r>
                    <w:t xml:space="preserve">, and</w:t>
                  </w:r>
                  <w:r>
                    <w:t xml:space="preserve"> </w:t>
                  </w:r>
                  <w:r>
                    <w:rPr>
                      <w:rStyle w:val="VerbatimChar"/>
                    </w:rPr>
                    <w:t xml:space="preserve">replication_code.R</w:t>
                  </w:r>
                  <w:r>
                    <w:t xml:space="preserve">, but no script that directly constructs the published Figure 1 maps.</w:t>
                  </w:r>
                </w:p>
              </w:tc>
              <w:tc>
                <w:tcPr/>
                <w:p>
                  <w:pPr>
                    <w:pStyle w:val="Compact"/>
                    <w:jc w:val="left"/>
                    <w:jc w:val="center"/>
                  </w:pPr>
                  <w:r>
                    <w:t xml:space="preserve">The published maps are not push-button reproducible from the archived code.</w:t>
                  </w:r>
                </w:p>
              </w:tc>
            </w:tr>
            <w:tr>
              <w:tc>
                <w:tcPr/>
                <w:p>
                  <w:pPr>
                    <w:pStyle w:val="Compact"/>
                    <w:jc w:val="left"/>
                    <w:jc w:val="center"/>
                  </w:pPr>
                  <w:r>
                    <w:t xml:space="preserve">Connecticut county rows</w:t>
                  </w:r>
                </w:p>
              </w:tc>
              <w:tc>
                <w:tcPr/>
                <w:p>
                  <w:pPr>
                    <w:pStyle w:val="Compact"/>
                    <w:jc w:val="left"/>
                    <w:jc w:val="center"/>
                  </w:pPr>
                  <w:r>
                    <w:rPr>
                      <w:rStyle w:val="VerbatimChar"/>
                    </w:rPr>
                    <w:t xml:space="preserve">data.csv</w:t>
                  </w:r>
                  <w:r>
                    <w:t xml:space="preserve"> </w:t>
                  </w:r>
                  <w:r>
                    <w:t xml:space="preserve">contains no Connecticut county FIPS rows, while Connecticut appears in the published county map.</w:t>
                  </w:r>
                </w:p>
              </w:tc>
              <w:tc>
                <w:tcPr/>
                <w:p>
                  <w:pPr>
                    <w:pStyle w:val="Compact"/>
                    <w:jc w:val="left"/>
                    <w:jc w:val="center"/>
                  </w:pPr>
                  <w:r>
                    <w:t xml:space="preserve">The published map likely used a different or supplemented map input.</w:t>
                  </w:r>
                </w:p>
              </w:tc>
            </w:tr>
            <w:tr>
              <w:tc>
                <w:tcPr/>
                <w:p>
                  <w:pPr>
                    <w:pStyle w:val="Compact"/>
                    <w:jc w:val="left"/>
                    <w:jc w:val="center"/>
                  </w:pPr>
                  <w:r>
                    <w:t xml:space="preserve">Panel B window</w:t>
                  </w:r>
                </w:p>
              </w:tc>
              <w:tc>
                <w:tcPr/>
                <w:p>
                  <w:pPr>
                    <w:pStyle w:val="Compact"/>
                    <w:jc w:val="left"/>
                    <w:jc w:val="center"/>
                  </w:pPr>
                  <w:r>
                    <w:t xml:space="preserve">The published figure labels Panel B as the 2018-2023 change, while our reconstruction uses the article’s comparison of 2017-2018 with 2022-2023.</w:t>
                  </w:r>
                </w:p>
              </w:tc>
              <w:tc>
                <w:tcPr/>
                <w:p>
                  <w:pPr>
                    <w:pStyle w:val="Compact"/>
                    <w:jc w:val="left"/>
                    <w:jc w:val="center"/>
                  </w:pPr>
                  <w:r>
                    <w:t xml:space="preserve">This points to a possible definition or construction-path mismatch.</w:t>
                  </w:r>
                </w:p>
              </w:tc>
            </w:tr>
          </w:tbl>
          <w:bookmarkEnd w:id="25"/>
          <w:p/>
        </w:tc>
      </w:tr>
    </w:tbl>
    <w:p>
      <w:pPr>
        <w:pStyle w:val="BodyText"/>
      </w:pPr>
      <w:r>
        <w:t xml:space="preserve">We therefore do not claim a county-by-county numeric discrepancy relative to the published raster image. The reproducibility issue is narrower: the archive does not include code that generates the published maps, and the released regression dataset omits Connecticut county rows even though Connecticut appears in the published county map.</w:t>
      </w:r>
    </w:p>
    <w:p>
      <w:pPr>
        <w:pStyle w:val="BodyText"/>
      </w:pPr>
      <w:r>
        <w:t xml:space="preserve">We assess robustness by re-estimating AKCLM’s preferred specifications with and without log-population weights after removing labor market tightness from both models. This extension is separate from the AKCLM code-weight reproduction above: AKCLM’s released tables use log-posting weights, while the extension compares a truly unweighted no-tightness specification with a log-population-weighted no-tightness specification. We interpret the resulting coefficient changes descriptively rather than as evidence that relationships are necessarily stronger or weaker in particular county-size groups.</w:t>
      </w:r>
    </w:p>
    <w:bookmarkEnd w:id="26"/>
    <w:bookmarkEnd w:id="27"/>
    <w:bookmarkStart w:id="45" w:name="X6c7466d39827278af27a1c20457a80f5dd97f5a"/>
    <w:p>
      <w:pPr>
        <w:pStyle w:val="Heading2"/>
      </w:pPr>
      <w:r>
        <w:t xml:space="preserve">Extension: Log-Population Weighting Analysis</w:t>
      </w:r>
    </w:p>
    <w:p>
      <w:pPr>
        <w:pStyle w:val="FirstParagraph"/>
      </w:pPr>
      <w:r>
        <w:t xml:space="preserve">The purpose of the weighting extension is to test whether AKCLM’s county-level correlations are driven primarily by small counties, where AI-posting shares may be noisier because posting denominators are smaller. An unweighted specification gives each county equal influence, while a log-population-weighted specification gives more influence to larger labor markets without allowing the largest counties to dominate as much as raw population weights would. If the reported associations are driven mainly by small, high-variance counties, coefficients should attenuate under log-population weighting. If the associations reflect a broader cross-county pattern, signs and significance should be relatively stable.</w:t>
      </w:r>
    </w:p>
    <w:p>
      <w:pPr>
        <w:pStyle w:val="BodyText"/>
      </w:pPr>
      <w:r>
        <w:t xml:space="preserve">Solon, Haider, and Wooldridge (</w:t>
      </w:r>
      <w:hyperlink w:anchor="ref-solon2015">
        <w:r>
          <w:rPr>
            <w:rStyle w:val="Hyperlink"/>
          </w:rPr>
          <w:t xml:space="preserve">2015</w:t>
        </w:r>
      </w:hyperlink>
      <w:r>
        <w:t xml:space="preserve">)</w:t>
      </w:r>
      <w:r>
        <w:t xml:space="preserve"> </w:t>
      </w:r>
      <w:r>
        <w:t xml:space="preserve">distinguish three motives for weighting when estimating causal effects — correcting for heteroskedasticity, correcting for endogenous sampling, and identifying average partial effects under unmodelled heterogeneity — and observe that each motive often fails to apply in the situations where practitioners assume it does. None of the three is our motive here: our purpose is descriptive sensitivity rather than correction for a known sampling scheme or a known error structure. Following their advice that it</w:t>
      </w:r>
      <w:r>
        <w:t xml:space="preserve"> </w:t>
      </w:r>
      <w:r>
        <w:t xml:space="preserve">“often is good practice to report both weighted and unweighted estimates,”</w:t>
      </w:r>
      <w:r>
        <w:t xml:space="preserve"> </w:t>
      </w:r>
      <w:r>
        <w:t xml:space="preserve">we report the two side by side. They further note that, under model misspecification, weighted and unweighted estimators have different probability limits, so the contrast between them serves as a diagnostic for misspecification — of which failure to model heterogeneous effects is one example. We read the divergence reported below in that spirit, and the population-quartile split is our direct check on whether heterogeneity across county sizes accounts for it.</w:t>
      </w:r>
    </w:p>
    <w:p>
      <w:pPr>
        <w:pStyle w:val="BodyText"/>
      </w:pPr>
      <w:r>
        <w:t xml:space="preserve">To assess this robustness question, we re-estimate all models using log-population weights. Because labor market tightness shares total job postings with the denominator of AI intensity, we omit labor market tightness from both the unweighted and log-population-weighted extension models. The weighting comparison therefore holds the specification fixed and changes only the weighting scheme. For comparability with AKCLM, the extension figures follow AKCLM’s selected-reporting convention; full unselected regression output appears in the appendix. Log-population weights give more weight to populous counties relative to the unweighted specification, where each county receives the same weight regardless of population size.</w:t>
      </w:r>
    </w:p>
    <w:tbl>
      <w:tblPr>
        <w:tblStyle w:val="Table"/>
        <w:tblW w:type="pct" w:w="5000"/>
        <w:tblLayout w:type="fixed"/>
        <w:tblLook w:firstRow="0" w:lastRow="0" w:firstColumn="0" w:lastColumn="0" w:noHBand="0" w:noVBand="0" w:val="0000"/>
      </w:tblPr>
      <w:tblGrid>
        <w:gridCol w:w="7920"/>
      </w:tblGrid>
      <w:tr>
        <w:tc>
          <w:tcPr/>
          <w:bookmarkStart w:id="31" w:name="fig-table1-coefs-models1-3"/>
          <w:p>
            <w:pPr>
              <w:jc w:val="center"/>
            </w:pPr>
            <w:pPr>
              <w:jc w:val="left"/>
              <w:spacing w:before="200"/>
              <w:pStyle w:val="ImageCaption"/>
            </w:pPr>
            <w:r>
              <w:t xml:space="preserve">Figure 2: Extension of Table 1 from Andreadis et al. (2025) — Coefficients under Unweighted vs Log-Population weights (Models 1-3)</w:t>
            </w:r>
          </w:p>
          <w:p>
            <w:pPr>
              <w:pStyle w:val="Compact"/>
              <w:jc w:val="center"/>
            </w:pPr>
            <w:r>
              <w:drawing>
                <wp:inline>
                  <wp:extent cx="5334000" cy="3809999"/>
                  <wp:effectExtent b="0" l="0" r="0" t="0"/>
                  <wp:docPr descr="" title="" id="29" name="Picture"/>
                  <a:graphic>
                    <a:graphicData uri="http://schemas.openxmlformats.org/drawingml/2006/picture">
                      <pic:pic>
                        <pic:nvPicPr>
                          <pic:cNvPr descr="replication_files/figure-docx/fig-table1-coefs-models1-3-1.png" id="30" name="Picture"/>
                          <pic:cNvPicPr>
                            <a:picLocks noChangeArrowheads="1" noChangeAspect="1"/>
                          </pic:cNvPicPr>
                        </pic:nvPicPr>
                        <pic:blipFill>
                          <a:blip r:embed="rId28"/>
                          <a:stretch>
                            <a:fillRect/>
                          </a:stretch>
                        </pic:blipFill>
                        <pic:spPr bwMode="auto">
                          <a:xfrm>
                            <a:off x="0" y="0"/>
                            <a:ext cx="5334000" cy="3809999"/>
                          </a:xfrm>
                          <a:prstGeom prst="rect">
                            <a:avLst/>
                          </a:prstGeom>
                          <a:noFill/>
                          <a:ln w="9525">
                            <a:noFill/>
                            <a:headEnd/>
                            <a:tailEnd/>
                          </a:ln>
                        </pic:spPr>
                      </pic:pic>
                    </a:graphicData>
                  </a:graphic>
                </wp:inline>
              </w:drawing>
            </w:r>
          </w:p>
          <w:bookmarkEnd w:id="31"/>
        </w:tc>
      </w:tr>
    </w:tbl>
    <w:p>
      <w:pPr>
        <w:pStyle w:val="BodyText"/>
      </w:pPr>
      <w:r>
        <w:rPr>
          <w:i/>
          <w:iCs/>
        </w:rPr>
        <w:t xml:space="preserve">Notes:</w:t>
      </w:r>
      <w:r>
        <w:t xml:space="preserve"> </w:t>
      </w:r>
      <w:r>
        <w:t xml:space="preserve">This figure compares coefficient estimates from unweighted regressions versus log-population-weighted regressions for Models 1–3 of Table 1. These models examine AI intensity as the outcome variable. Model 1 (Demographics) includes bachelor’s share and house price growth. Model 2 (Innovation) includes patents per employee and STEM degree share. Model 3 (Industry) includes manufacturing intensity, ICT intensity, and turnover rate. All models include county and year fixed effects. Labor market tightness is omitted from both unweighted and log-population-weighted models due to denominator contamination. All variables are standardized, so coefficients represent the change in AI intensity in percentage points associated with a one-standard-deviation increase in each predictor, holding other variables constant. Confidence intervals represent 95% levels. Green points indicate unweighted estimates and red points indicate log-population-weighted estimates.</w:t>
      </w:r>
    </w:p>
    <w:tbl>
      <w:tblPr>
        <w:tblStyle w:val="Table"/>
        <w:tblW w:type="pct" w:w="5000"/>
        <w:tblLayout w:type="fixed"/>
        <w:tblLook w:firstRow="0" w:lastRow="0" w:firstColumn="0" w:lastColumn="0" w:noHBand="0" w:noVBand="0" w:val="0000"/>
      </w:tblPr>
      <w:tblGrid>
        <w:gridCol w:w="7920"/>
      </w:tblGrid>
      <w:tr>
        <w:tc>
          <w:tcPr/>
          <w:bookmarkStart w:id="35" w:name="fig-table1-coefs-models4-5"/>
          <w:p>
            <w:pPr>
              <w:jc w:val="center"/>
            </w:pPr>
            <w:pPr>
              <w:jc w:val="left"/>
              <w:spacing w:before="200"/>
              <w:pStyle w:val="ImageCaption"/>
            </w:pPr>
            <w:r>
              <w:t xml:space="preserve">Figure 3: Extension of Table 1 from Andreadis et al. (2025) — Coefficients under Unweighted vs Log-Population weights (Models 4-5)</w:t>
            </w:r>
          </w:p>
          <w:p>
            <w:pPr>
              <w:pStyle w:val="Compact"/>
              <w:jc w:val="center"/>
            </w:pPr>
            <w:r>
              <w:drawing>
                <wp:inline>
                  <wp:extent cx="5334000" cy="4572000"/>
                  <wp:effectExtent b="0" l="0" r="0" t="0"/>
                  <wp:docPr descr="" title="" id="33" name="Picture"/>
                  <a:graphic>
                    <a:graphicData uri="http://schemas.openxmlformats.org/drawingml/2006/picture">
                      <pic:pic>
                        <pic:nvPicPr>
                          <pic:cNvPr descr="replication_files/figure-docx/fig-table1-coefs-models4-5-1.png" id="34" name="Picture"/>
                          <pic:cNvPicPr>
                            <a:picLocks noChangeArrowheads="1" noChangeAspect="1"/>
                          </pic:cNvPicPr>
                        </pic:nvPicPr>
                        <pic:blipFill>
                          <a:blip r:embed="rId32"/>
                          <a:stretch>
                            <a:fillRect/>
                          </a:stretch>
                        </pic:blipFill>
                        <pic:spPr bwMode="auto">
                          <a:xfrm>
                            <a:off x="0" y="0"/>
                            <a:ext cx="5334000" cy="4572000"/>
                          </a:xfrm>
                          <a:prstGeom prst="rect">
                            <a:avLst/>
                          </a:prstGeom>
                          <a:noFill/>
                          <a:ln w="9525">
                            <a:noFill/>
                            <a:headEnd/>
                            <a:tailEnd/>
                          </a:ln>
                        </pic:spPr>
                      </pic:pic>
                    </a:graphicData>
                  </a:graphic>
                </wp:inline>
              </w:drawing>
            </w:r>
          </w:p>
          <w:bookmarkEnd w:id="35"/>
        </w:tc>
      </w:tr>
    </w:tbl>
    <w:p>
      <w:pPr>
        <w:pStyle w:val="BodyText"/>
      </w:pPr>
      <w:r>
        <w:rPr>
          <w:i/>
          <w:iCs/>
        </w:rPr>
        <w:t xml:space="preserve">Notes:</w:t>
      </w:r>
      <w:r>
        <w:t xml:space="preserve"> </w:t>
      </w:r>
      <w:r>
        <w:t xml:space="preserve">This figure compares coefficient estimates from unweighted regressions versus log-population-weighted regressions for Models 4–5 of Table 1. These models examine AI intensity as the outcome variable. Model 4 (All Controls) includes all demographic, innovation, and industry variables with county and year fixed effects. Model 5 (All + State FE) replaces year fixed effects with state-year fixed effects. Both models include bachelor’s share, house price growth, patents per employee, STEM degree share, ICT intensity, manufacturing intensity, and turnover rate. Labor market tightness is omitted from both unweighted and log-population-weighted models due to denominator contamination. All variables are standardized, so coefficients represent the change in AI intensity in percentage points associated with a one-standard-deviation increase in each predictor, holding all other variables constant. Confidence intervals represent 95% levels. Green points indicate unweighted estimates and red points indicate log-population-weighted estimates.</w:t>
      </w:r>
    </w:p>
    <w:p>
      <w:pPr>
        <w:pStyle w:val="BodyText"/>
      </w:pPr>
      <w:r>
        <w:t xml:space="preserve">In Model 4, coefficient estimates remain positive for bachelor’s share, patents per employee, STEM degree share, ICT intensity, and turnover rate, while manufacturing remains negative. Bachelor’s share is associated with approximately a 0.18 percentage point increase in AI intensity per standard deviation under the unweighted no-tightness specification and is smaller under log-population weighting. Patents per employee and STEM degree share are positive in both specifications. Among industry variables, manufacturing intensity remains negative, while ICT intensity and turnover rate remain positive but attenuate under log-population weighting.</w:t>
      </w:r>
    </w:p>
    <w:tbl>
      <w:tblPr>
        <w:tblStyle w:val="Table"/>
        <w:tblW w:type="pct" w:w="5000"/>
        <w:tblLayout w:type="fixed"/>
        <w:tblLook w:firstRow="0" w:lastRow="0" w:firstColumn="0" w:lastColumn="0" w:noHBand="0" w:noVBand="0" w:val="0000"/>
      </w:tblPr>
      <w:tblGrid>
        <w:gridCol w:w="7920"/>
      </w:tblGrid>
      <w:tr>
        <w:tc>
          <w:tcPr/>
          <w:bookmarkStart w:id="39" w:name="fig-table2-coefs-models1-3"/>
          <w:p>
            <w:pPr>
              <w:jc w:val="center"/>
            </w:pPr>
            <w:pPr>
              <w:jc w:val="left"/>
              <w:spacing w:before="200"/>
              <w:pStyle w:val="ImageCaption"/>
            </w:pPr>
            <w:r>
              <w:t xml:space="preserve">Figure 4: Extension of AKCLM Table 2 — Change in AI share under Unweighted vs Log-Population weights (Models 1-3)</w:t>
            </w:r>
          </w:p>
          <w:p>
            <w:pPr>
              <w:pStyle w:val="Compact"/>
              <w:jc w:val="center"/>
            </w:pPr>
            <w:r>
              <w:drawing>
                <wp:inline>
                  <wp:extent cx="5334000" cy="3809999"/>
                  <wp:effectExtent b="0" l="0" r="0" t="0"/>
                  <wp:docPr descr="" title="" id="37" name="Picture"/>
                  <a:graphic>
                    <a:graphicData uri="http://schemas.openxmlformats.org/drawingml/2006/picture">
                      <pic:pic>
                        <pic:nvPicPr>
                          <pic:cNvPr descr="replication_files/figure-docx/fig-table2-coefs-models1-3-1.png" id="38" name="Picture"/>
                          <pic:cNvPicPr>
                            <a:picLocks noChangeArrowheads="1" noChangeAspect="1"/>
                          </pic:cNvPicPr>
                        </pic:nvPicPr>
                        <pic:blipFill>
                          <a:blip r:embed="rId36"/>
                          <a:stretch>
                            <a:fillRect/>
                          </a:stretch>
                        </pic:blipFill>
                        <pic:spPr bwMode="auto">
                          <a:xfrm>
                            <a:off x="0" y="0"/>
                            <a:ext cx="5334000" cy="3809999"/>
                          </a:xfrm>
                          <a:prstGeom prst="rect">
                            <a:avLst/>
                          </a:prstGeom>
                          <a:noFill/>
                          <a:ln w="9525">
                            <a:noFill/>
                            <a:headEnd/>
                            <a:tailEnd/>
                          </a:ln>
                        </pic:spPr>
                      </pic:pic>
                    </a:graphicData>
                  </a:graphic>
                </wp:inline>
              </w:drawing>
            </w:r>
          </w:p>
          <w:bookmarkEnd w:id="39"/>
        </w:tc>
      </w:tr>
    </w:tbl>
    <w:p>
      <w:pPr>
        <w:pStyle w:val="BodyText"/>
      </w:pPr>
      <w:r>
        <w:rPr>
          <w:i/>
          <w:iCs/>
        </w:rPr>
        <w:t xml:space="preserve">Notes:</w:t>
      </w:r>
      <w:r>
        <w:t xml:space="preserve"> </w:t>
      </w:r>
      <w:r>
        <w:t xml:space="preserve">This figure compares coefficient estimates from unweighted regressions versus log-population-weighted regressions for Models 1–3 of AKCLM’s Table 2. These models examine the change in AI intensity between 2017–2018 and 2022–2023 as the outcome variable. Model 1 (Demographics) includes bachelor’s share and house price growth. Model 2 (Innovation) includes patents per employee and STEM degree share. Model 3 (Industry) includes manufacturing intensity, ICT intensity, and turnover rate. Labor market tightness is omitted from both unweighted and log-population-weighted models due to denominator contamination. All predictors are measured in 2017, the base period before the growth window. All variables are standardized, so coefficients represent the change in AI intensity growth in percentage points associated with a one-standard-deviation increase in each predictor. Confidence intervals represent 95% levels. Green points indicate unweighted estimates, red points indicate log-population-weighted estimates, and blue points show the published AKCLM bachelor’s-share coefficient, which appears only because that published value differs from the rerun of AKCLM’s released code.</w:t>
      </w:r>
    </w:p>
    <w:tbl>
      <w:tblPr>
        <w:tblStyle w:val="Table"/>
        <w:tblW w:type="pct" w:w="5000"/>
        <w:tblLayout w:type="fixed"/>
        <w:tblLook w:firstRow="0" w:lastRow="0" w:firstColumn="0" w:lastColumn="0" w:noHBand="0" w:noVBand="0" w:val="0000"/>
      </w:tblPr>
      <w:tblGrid>
        <w:gridCol w:w="7920"/>
      </w:tblGrid>
      <w:tr>
        <w:tc>
          <w:tcPr/>
          <w:bookmarkStart w:id="43" w:name="fig-table2-coefs-models4-5"/>
          <w:p>
            <w:pPr>
              <w:jc w:val="center"/>
            </w:pPr>
            <w:pPr>
              <w:jc w:val="left"/>
              <w:spacing w:before="200"/>
              <w:pStyle w:val="ImageCaption"/>
            </w:pPr>
            <w:r>
              <w:t xml:space="preserve">Figure 5: Extension of AKCLM Table 2 — Change in AI share under Unweighted vs Log-Population weights (Models 4-5)</w:t>
            </w:r>
          </w:p>
          <w:p>
            <w:pPr>
              <w:pStyle w:val="Compact"/>
              <w:jc w:val="center"/>
            </w:pPr>
            <w:r>
              <w:drawing>
                <wp:inline>
                  <wp:extent cx="5334000" cy="5334000"/>
                  <wp:effectExtent b="0" l="0" r="0" t="0"/>
                  <wp:docPr descr="" title="" id="41" name="Picture"/>
                  <a:graphic>
                    <a:graphicData uri="http://schemas.openxmlformats.org/drawingml/2006/picture">
                      <pic:pic>
                        <pic:nvPicPr>
                          <pic:cNvPr descr="replication_files/figure-docx/fig-table2-coefs-models4-5-1.png" id="42" name="Picture"/>
                          <pic:cNvPicPr>
                            <a:picLocks noChangeArrowheads="1" noChangeAspect="1"/>
                          </pic:cNvPicPr>
                        </pic:nvPicPr>
                        <pic:blipFill>
                          <a:blip r:embed="rId40"/>
                          <a:stretch>
                            <a:fillRect/>
                          </a:stretch>
                        </pic:blipFill>
                        <pic:spPr bwMode="auto">
                          <a:xfrm>
                            <a:off x="0" y="0"/>
                            <a:ext cx="5334000" cy="5334000"/>
                          </a:xfrm>
                          <a:prstGeom prst="rect">
                            <a:avLst/>
                          </a:prstGeom>
                          <a:noFill/>
                          <a:ln w="9525">
                            <a:noFill/>
                            <a:headEnd/>
                            <a:tailEnd/>
                          </a:ln>
                        </pic:spPr>
                      </pic:pic>
                    </a:graphicData>
                  </a:graphic>
                </wp:inline>
              </w:drawing>
            </w:r>
          </w:p>
          <w:bookmarkEnd w:id="43"/>
        </w:tc>
      </w:tr>
    </w:tbl>
    <w:p>
      <w:pPr>
        <w:pStyle w:val="BodyText"/>
      </w:pPr>
      <w:r>
        <w:rPr>
          <w:i/>
          <w:iCs/>
        </w:rPr>
        <w:t xml:space="preserve">Notes:</w:t>
      </w:r>
      <w:r>
        <w:t xml:space="preserve"> </w:t>
      </w:r>
      <w:r>
        <w:t xml:space="preserve">This figure compares coefficient estimates from unweighted regressions versus log-population-weighted regressions for Models 4–5 of AKCLM’s Table 2. These models examine the change in AI intensity between 2017–2018 and 2022–2023 as the outcome variable. Model 4 (All Controls) includes all demographic, innovation, and industry variables with no fixed effects. Model 5 (All + State FE) adds state fixed effects to Model 4. Labor market tightness is omitted from both unweighted and log-population-weighted models due to denominator contamination. All predictors are measured in 2017, the base period before the growth window. All variables are standardized, so coefficients represent the change in AI intensity growth in percentage points associated with a one-standard-deviation increase in each predictor, holding all other variables constant. Confidence intervals represent 95% levels. Green points indicate unweighted estimates, red points indicate log-population-weighted estimates, and blue points show the published AKCLM bachelor’s-share coefficients, which appear only because those published values differ from the rerun of AKCLM’s released code.</w:t>
      </w:r>
    </w:p>
    <w:p>
      <w:pPr>
        <w:pStyle w:val="BodyText"/>
      </w:pPr>
      <w:r>
        <w:t xml:space="preserve">In the fully specified Model 4, bachelor’s share shows a small negative association with the growth of AI intensity under both extension specifications. House price growth shows minimal independent effect. Among innovation variables, patents per employee declines from 0.06 percentage points under the unweighted specification to 0.04 under log-population weights, while STEM degree share declines from 0.08 to 0.05 percentage points. Among industry variables, manufacturing intensity shows a negative association of approximately 0.03–0.04 percentage points, ICT intensity declines from 0.12 to 0.07 percentage points, and turnover rate declines from 0.17–0.18 to 0.11 percentage points.</w:t>
      </w:r>
    </w:p>
    <w:p>
      <w:pPr>
        <w:pStyle w:val="BodyText"/>
      </w:pPr>
      <w:r>
        <w:t xml:space="preserve">Of the coefficients highlighted by AKCLM in their preferred levels specification, several decrease in absolute value under log-population weighting. STEM degree share is comparatively stable across weighting schemes, while bachelor’s share, turnover rate, and manufacturing intensity weaken under population weighting. ICT intensity and patents per employee are exceptions, becoming slightly larger under population weighting. We do not interpret these shifts as proof that relationships are systematically stronger in smaller counties; attenuation under population weighting could also reflect high-variance observations or outliers among less-populous counties.</w:t>
      </w:r>
    </w:p>
    <w:p>
      <w:pPr>
        <w:pStyle w:val="BodyText"/>
      </w:pPr>
      <w:r>
        <w:t xml:space="preserve">To test this mechanism more directly, we re-estimate the preferred no-tightness specifications separately for counties in the bottom and top quartiles of population. For the levels model, quartiles are based on each county’s average population in the panel. For the growth model, quartiles are based on 2017 county population. This split provides a descriptive check on whether coefficient differences are broad-based across county size groups rather than an artifact of reweighting.</w:t>
      </w:r>
    </w:p>
    <w:tbl>
      <w:tblPr>
        <w:tblStyle w:val="Table"/>
        <w:tblW w:type="pct" w:w="5000"/>
        <w:tblLayout w:type="fixed"/>
        <w:tblLook w:firstRow="0" w:lastRow="0" w:firstColumn="0" w:lastColumn="0" w:noHBand="0" w:noVBand="0" w:val="0000"/>
      </w:tblPr>
      <w:tblGrid>
        <w:gridCol w:w="7920"/>
      </w:tblGrid>
      <w:tr>
        <w:tc>
          <w:tcPr/>
          <w:bookmarkStart w:id="44" w:name="tbl-pop-quartiles"/>
          <w:p>
            <w:pPr>
              <w:jc w:val="center"/>
            </w:pPr>
            <w:pPr>
              <w:jc w:val="left"/>
              <w:spacing w:before="200"/>
              <w:pStyle w:val="ImageCaption"/>
            </w:pPr>
            <w:r>
              <w:t xml:space="preserve">Table 6: Preferred no-tightness specifications by population quartile</w:t>
            </w:r>
          </w:p>
          <w:tbl>
            <w:tblPr>
              <w:tblStyle w:val="Table"/>
              <w:tblW w:type="pct" w:w="5000"/>
              <w:tblLayout w:type="fixed"/>
              <w:tblLook w:firstRow="1" w:lastRow="0" w:firstColumn="0" w:lastColumn="0" w:noHBand="0" w:noVBand="0" w:val="0020"/>
            </w:tblPr>
            <w:tblGrid>
              <w:gridCol w:w="1800"/>
              <w:gridCol w:w="2430"/>
              <w:gridCol w:w="2160"/>
              <w:gridCol w:w="1530"/>
            </w:tblGrid>
            <w:tr>
              <w:trPr>
                <w:tblHeader w:val="on"/>
              </w:trPr>
              <w:tc>
                <w:tcPr/>
                <w:p>
                  <w:pPr>
                    <w:pStyle w:val="Compact"/>
                    <w:jc w:val="left"/>
                    <w:jc w:val="center"/>
                  </w:pPr>
                  <w:r>
                    <w:t xml:space="preserve">Outcome</w:t>
                  </w:r>
                </w:p>
              </w:tc>
              <w:tc>
                <w:tcPr/>
                <w:p>
                  <w:pPr>
                    <w:pStyle w:val="Compact"/>
                    <w:jc w:val="left"/>
                    <w:jc w:val="center"/>
                  </w:pPr>
                  <w:r>
                    <w:t xml:space="preserve">Group</w:t>
                  </w:r>
                </w:p>
              </w:tc>
              <w:tc>
                <w:tcPr/>
                <w:p>
                  <w:pPr>
                    <w:pStyle w:val="Compact"/>
                    <w:jc w:val="left"/>
                    <w:jc w:val="center"/>
                  </w:pPr>
                  <w:r>
                    <w:t xml:space="preserve">Variable</w:t>
                  </w:r>
                </w:p>
              </w:tc>
              <w:tc>
                <w:tcPr/>
                <w:p>
                  <w:pPr>
                    <w:pStyle w:val="Compact"/>
                    <w:jc w:val="right"/>
                    <w:jc w:val="center"/>
                  </w:pPr>
                  <w:r>
                    <w:t xml:space="preserve">Estimate</w:t>
                  </w:r>
                </w:p>
              </w:tc>
            </w:tr>
            <w:tr>
              <w:tc>
                <w:tcPr/>
                <w:p>
                  <w:pPr>
                    <w:pStyle w:val="Compact"/>
                    <w:jc w:val="left"/>
                    <w:jc w:val="center"/>
                  </w:pPr>
                  <w:r>
                    <w:t xml:space="preserve">AI intensity level</w:t>
                  </w:r>
                </w:p>
              </w:tc>
              <w:tc>
                <w:tcPr/>
                <w:p>
                  <w:pPr>
                    <w:pStyle w:val="Compact"/>
                    <w:jc w:val="left"/>
                    <w:jc w:val="center"/>
                  </w:pPr>
                  <w:r>
                    <w:t xml:space="preserve">Bottom population quartile</w:t>
                  </w:r>
                </w:p>
              </w:tc>
              <w:tc>
                <w:tcPr/>
                <w:p>
                  <w:pPr>
                    <w:pStyle w:val="Compact"/>
                    <w:jc w:val="left"/>
                    <w:jc w:val="center"/>
                  </w:pPr>
                  <w:r>
                    <w:t xml:space="preserve">Bachelor’s share</w:t>
                  </w:r>
                </w:p>
              </w:tc>
              <w:tc>
                <w:tcPr/>
                <w:p>
                  <w:pPr>
                    <w:pStyle w:val="Compact"/>
                    <w:jc w:val="right"/>
                    <w:jc w:val="center"/>
                  </w:pPr>
                  <w:r>
                    <w:t xml:space="preserve">0.1304 (0.0809)</w:t>
                  </w:r>
                </w:p>
              </w:tc>
            </w:tr>
            <w:tr>
              <w:tc>
                <w:tcPr/>
                <w:p>
                  <w:pPr>
                    <w:pStyle w:val="Compact"/>
                    <w:jc w:val="left"/>
                    <w:jc w:val="center"/>
                  </w:pPr>
                  <w:r>
                    <w:t xml:space="preserve">AI intensity level</w:t>
                  </w:r>
                </w:p>
              </w:tc>
              <w:tc>
                <w:tcPr/>
                <w:p>
                  <w:pPr>
                    <w:pStyle w:val="Compact"/>
                    <w:jc w:val="left"/>
                    <w:jc w:val="center"/>
                  </w:pPr>
                  <w:r>
                    <w:t xml:space="preserve">Bottom population quartile</w:t>
                  </w:r>
                </w:p>
              </w:tc>
              <w:tc>
                <w:tcPr/>
                <w:p>
                  <w:pPr>
                    <w:pStyle w:val="Compact"/>
                    <w:jc w:val="left"/>
                    <w:jc w:val="center"/>
                  </w:pPr>
                  <w:r>
                    <w:t xml:space="preserve">Patents per employee</w:t>
                  </w:r>
                </w:p>
              </w:tc>
              <w:tc>
                <w:tcPr/>
                <w:p>
                  <w:pPr>
                    <w:pStyle w:val="Compact"/>
                    <w:jc w:val="right"/>
                    <w:jc w:val="center"/>
                  </w:pPr>
                  <w:r>
                    <w:t xml:space="preserve">0.0303 (0.0107)</w:t>
                  </w:r>
                </w:p>
              </w:tc>
            </w:tr>
            <w:tr>
              <w:tc>
                <w:tcPr/>
                <w:p>
                  <w:pPr>
                    <w:pStyle w:val="Compact"/>
                    <w:jc w:val="left"/>
                    <w:jc w:val="center"/>
                  </w:pPr>
                  <w:r>
                    <w:t xml:space="preserve">AI intensity level</w:t>
                  </w:r>
                </w:p>
              </w:tc>
              <w:tc>
                <w:tcPr/>
                <w:p>
                  <w:pPr>
                    <w:pStyle w:val="Compact"/>
                    <w:jc w:val="left"/>
                    <w:jc w:val="center"/>
                  </w:pPr>
                  <w:r>
                    <w:t xml:space="preserve">Bottom population quartile</w:t>
                  </w:r>
                </w:p>
              </w:tc>
              <w:tc>
                <w:tcPr/>
                <w:p>
                  <w:pPr>
                    <w:pStyle w:val="Compact"/>
                    <w:jc w:val="left"/>
                    <w:jc w:val="center"/>
                  </w:pPr>
                  <w:r>
                    <w:t xml:space="preserve">STEM degrees share</w:t>
                  </w:r>
                </w:p>
              </w:tc>
              <w:tc>
                <w:tcPr/>
                <w:p>
                  <w:pPr>
                    <w:pStyle w:val="Compact"/>
                    <w:jc w:val="right"/>
                    <w:jc w:val="center"/>
                  </w:pPr>
                  <w:r>
                    <w:t xml:space="preserve">0.0113 (0.0345)</w:t>
                  </w:r>
                </w:p>
              </w:tc>
            </w:tr>
            <w:tr>
              <w:tc>
                <w:tcPr/>
                <w:p>
                  <w:pPr>
                    <w:pStyle w:val="Compact"/>
                    <w:jc w:val="left"/>
                    <w:jc w:val="center"/>
                  </w:pPr>
                  <w:r>
                    <w:t xml:space="preserve">AI intensity level</w:t>
                  </w:r>
                </w:p>
              </w:tc>
              <w:tc>
                <w:tcPr/>
                <w:p>
                  <w:pPr>
                    <w:pStyle w:val="Compact"/>
                    <w:jc w:val="left"/>
                    <w:jc w:val="center"/>
                  </w:pPr>
                  <w:r>
                    <w:t xml:space="preserve">Bottom population quartile</w:t>
                  </w:r>
                </w:p>
              </w:tc>
              <w:tc>
                <w:tcPr/>
                <w:p>
                  <w:pPr>
                    <w:pStyle w:val="Compact"/>
                    <w:jc w:val="left"/>
                    <w:jc w:val="center"/>
                  </w:pPr>
                  <w:r>
                    <w:t xml:space="preserve">ICT sector intensity</w:t>
                  </w:r>
                </w:p>
              </w:tc>
              <w:tc>
                <w:tcPr/>
                <w:p>
                  <w:pPr>
                    <w:pStyle w:val="Compact"/>
                    <w:jc w:val="right"/>
                    <w:jc w:val="center"/>
                  </w:pPr>
                  <w:r>
                    <w:t xml:space="preserve">0.0117 (0.0326)</w:t>
                  </w:r>
                </w:p>
              </w:tc>
            </w:tr>
            <w:tr>
              <w:tc>
                <w:tcPr/>
                <w:p>
                  <w:pPr>
                    <w:pStyle w:val="Compact"/>
                    <w:jc w:val="left"/>
                    <w:jc w:val="center"/>
                  </w:pPr>
                  <w:r>
                    <w:t xml:space="preserve">AI intensity level</w:t>
                  </w:r>
                </w:p>
              </w:tc>
              <w:tc>
                <w:tcPr/>
                <w:p>
                  <w:pPr>
                    <w:pStyle w:val="Compact"/>
                    <w:jc w:val="left"/>
                    <w:jc w:val="center"/>
                  </w:pPr>
                  <w:r>
                    <w:t xml:space="preserve">Bottom population quartile</w:t>
                  </w:r>
                </w:p>
              </w:tc>
              <w:tc>
                <w:tcPr/>
                <w:p>
                  <w:pPr>
                    <w:pStyle w:val="Compact"/>
                    <w:jc w:val="left"/>
                    <w:jc w:val="center"/>
                  </w:pPr>
                  <w:r>
                    <w:t xml:space="preserve">Manufacturing intensity</w:t>
                  </w:r>
                </w:p>
              </w:tc>
              <w:tc>
                <w:tcPr/>
                <w:p>
                  <w:pPr>
                    <w:pStyle w:val="Compact"/>
                    <w:jc w:val="right"/>
                    <w:jc w:val="center"/>
                  </w:pPr>
                  <w:r>
                    <w:t xml:space="preserve">-0.0213 (0.0194)</w:t>
                  </w:r>
                </w:p>
              </w:tc>
            </w:tr>
            <w:tr>
              <w:tc>
                <w:tcPr/>
                <w:p>
                  <w:pPr>
                    <w:pStyle w:val="Compact"/>
                    <w:jc w:val="left"/>
                    <w:jc w:val="center"/>
                  </w:pPr>
                  <w:r>
                    <w:t xml:space="preserve">AI intensity level</w:t>
                  </w:r>
                </w:p>
              </w:tc>
              <w:tc>
                <w:tcPr/>
                <w:p>
                  <w:pPr>
                    <w:pStyle w:val="Compact"/>
                    <w:jc w:val="left"/>
                    <w:jc w:val="center"/>
                  </w:pPr>
                  <w:r>
                    <w:t xml:space="preserve">Top population quartile</w:t>
                  </w:r>
                </w:p>
              </w:tc>
              <w:tc>
                <w:tcPr/>
                <w:p>
                  <w:pPr>
                    <w:pStyle w:val="Compact"/>
                    <w:jc w:val="left"/>
                    <w:jc w:val="center"/>
                  </w:pPr>
                  <w:r>
                    <w:t xml:space="preserve">Bachelor’s share</w:t>
                  </w:r>
                </w:p>
              </w:tc>
              <w:tc>
                <w:tcPr/>
                <w:p>
                  <w:pPr>
                    <w:pStyle w:val="Compact"/>
                    <w:jc w:val="right"/>
                    <w:jc w:val="center"/>
                  </w:pPr>
                  <w:r>
                    <w:t xml:space="preserve">0.6418 (0.1791)</w:t>
                  </w:r>
                </w:p>
              </w:tc>
            </w:tr>
            <w:tr>
              <w:tc>
                <w:tcPr/>
                <w:p>
                  <w:pPr>
                    <w:pStyle w:val="Compact"/>
                    <w:jc w:val="left"/>
                    <w:jc w:val="center"/>
                  </w:pPr>
                  <w:r>
                    <w:t xml:space="preserve">AI intensity level</w:t>
                  </w:r>
                </w:p>
              </w:tc>
              <w:tc>
                <w:tcPr/>
                <w:p>
                  <w:pPr>
                    <w:pStyle w:val="Compact"/>
                    <w:jc w:val="left"/>
                    <w:jc w:val="center"/>
                  </w:pPr>
                  <w:r>
                    <w:t xml:space="preserve">Top population quartile</w:t>
                  </w:r>
                </w:p>
              </w:tc>
              <w:tc>
                <w:tcPr/>
                <w:p>
                  <w:pPr>
                    <w:pStyle w:val="Compact"/>
                    <w:jc w:val="left"/>
                    <w:jc w:val="center"/>
                  </w:pPr>
                  <w:r>
                    <w:t xml:space="preserve">Patents per employee</w:t>
                  </w:r>
                </w:p>
              </w:tc>
              <w:tc>
                <w:tcPr/>
                <w:p>
                  <w:pPr>
                    <w:pStyle w:val="Compact"/>
                    <w:jc w:val="right"/>
                    <w:jc w:val="center"/>
                  </w:pPr>
                  <w:r>
                    <w:t xml:space="preserve">0.1899 (0.0514)</w:t>
                  </w:r>
                </w:p>
              </w:tc>
            </w:tr>
            <w:tr>
              <w:tc>
                <w:tcPr/>
                <w:p>
                  <w:pPr>
                    <w:pStyle w:val="Compact"/>
                    <w:jc w:val="left"/>
                    <w:jc w:val="center"/>
                  </w:pPr>
                  <w:r>
                    <w:t xml:space="preserve">AI intensity level</w:t>
                  </w:r>
                </w:p>
              </w:tc>
              <w:tc>
                <w:tcPr/>
                <w:p>
                  <w:pPr>
                    <w:pStyle w:val="Compact"/>
                    <w:jc w:val="left"/>
                    <w:jc w:val="center"/>
                  </w:pPr>
                  <w:r>
                    <w:t xml:space="preserve">Top population quartile</w:t>
                  </w:r>
                </w:p>
              </w:tc>
              <w:tc>
                <w:tcPr/>
                <w:p>
                  <w:pPr>
                    <w:pStyle w:val="Compact"/>
                    <w:jc w:val="left"/>
                    <w:jc w:val="center"/>
                  </w:pPr>
                  <w:r>
                    <w:t xml:space="preserve">STEM degrees share</w:t>
                  </w:r>
                </w:p>
              </w:tc>
              <w:tc>
                <w:tcPr/>
                <w:p>
                  <w:pPr>
                    <w:pStyle w:val="Compact"/>
                    <w:jc w:val="right"/>
                    <w:jc w:val="center"/>
                  </w:pPr>
                  <w:r>
                    <w:t xml:space="preserve">0.0507 (0.0261)</w:t>
                  </w:r>
                </w:p>
              </w:tc>
            </w:tr>
            <w:tr>
              <w:tc>
                <w:tcPr/>
                <w:p>
                  <w:pPr>
                    <w:pStyle w:val="Compact"/>
                    <w:jc w:val="left"/>
                    <w:jc w:val="center"/>
                  </w:pPr>
                  <w:r>
                    <w:t xml:space="preserve">AI intensity level</w:t>
                  </w:r>
                </w:p>
              </w:tc>
              <w:tc>
                <w:tcPr/>
                <w:p>
                  <w:pPr>
                    <w:pStyle w:val="Compact"/>
                    <w:jc w:val="left"/>
                    <w:jc w:val="center"/>
                  </w:pPr>
                  <w:r>
                    <w:t xml:space="preserve">Top population quartile</w:t>
                  </w:r>
                </w:p>
              </w:tc>
              <w:tc>
                <w:tcPr/>
                <w:p>
                  <w:pPr>
                    <w:pStyle w:val="Compact"/>
                    <w:jc w:val="left"/>
                    <w:jc w:val="center"/>
                  </w:pPr>
                  <w:r>
                    <w:t xml:space="preserve">ICT sector intensity</w:t>
                  </w:r>
                </w:p>
              </w:tc>
              <w:tc>
                <w:tcPr/>
                <w:p>
                  <w:pPr>
                    <w:pStyle w:val="Compact"/>
                    <w:jc w:val="right"/>
                    <w:jc w:val="center"/>
                  </w:pPr>
                  <w:r>
                    <w:t xml:space="preserve">0.1006 (0.0382)</w:t>
                  </w:r>
                </w:p>
              </w:tc>
            </w:tr>
            <w:tr>
              <w:tc>
                <w:tcPr/>
                <w:p>
                  <w:pPr>
                    <w:pStyle w:val="Compact"/>
                    <w:jc w:val="left"/>
                    <w:jc w:val="center"/>
                  </w:pPr>
                  <w:r>
                    <w:t xml:space="preserve">AI intensity level</w:t>
                  </w:r>
                </w:p>
              </w:tc>
              <w:tc>
                <w:tcPr/>
                <w:p>
                  <w:pPr>
                    <w:pStyle w:val="Compact"/>
                    <w:jc w:val="left"/>
                    <w:jc w:val="center"/>
                  </w:pPr>
                  <w:r>
                    <w:t xml:space="preserve">Top population quartile</w:t>
                  </w:r>
                </w:p>
              </w:tc>
              <w:tc>
                <w:tcPr/>
                <w:p>
                  <w:pPr>
                    <w:pStyle w:val="Compact"/>
                    <w:jc w:val="left"/>
                    <w:jc w:val="center"/>
                  </w:pPr>
                  <w:r>
                    <w:t xml:space="preserve">Manufacturing intensity</w:t>
                  </w:r>
                </w:p>
              </w:tc>
              <w:tc>
                <w:tcPr/>
                <w:p>
                  <w:pPr>
                    <w:pStyle w:val="Compact"/>
                    <w:jc w:val="right"/>
                    <w:jc w:val="center"/>
                  </w:pPr>
                  <w:r>
                    <w:t xml:space="preserve">0.0614 (0.0709)</w:t>
                  </w:r>
                </w:p>
              </w:tc>
            </w:tr>
            <w:tr>
              <w:tc>
                <w:tcPr/>
                <w:p>
                  <w:pPr>
                    <w:pStyle w:val="Compact"/>
                    <w:jc w:val="left"/>
                    <w:jc w:val="center"/>
                  </w:pPr>
                  <w:r>
                    <w:t xml:space="preserve">AI intensity growth</w:t>
                  </w:r>
                </w:p>
              </w:tc>
              <w:tc>
                <w:tcPr/>
                <w:p>
                  <w:pPr>
                    <w:pStyle w:val="Compact"/>
                    <w:jc w:val="left"/>
                    <w:jc w:val="center"/>
                  </w:pPr>
                  <w:r>
                    <w:t xml:space="preserve">Bottom population quartile</w:t>
                  </w:r>
                </w:p>
              </w:tc>
              <w:tc>
                <w:tcPr/>
                <w:p>
                  <w:pPr>
                    <w:pStyle w:val="Compact"/>
                    <w:jc w:val="left"/>
                    <w:jc w:val="center"/>
                  </w:pPr>
                  <w:r>
                    <w:t xml:space="preserve">Bachelor’s share</w:t>
                  </w:r>
                </w:p>
              </w:tc>
              <w:tc>
                <w:tcPr/>
                <w:p>
                  <w:pPr>
                    <w:pStyle w:val="Compact"/>
                    <w:jc w:val="right"/>
                    <w:jc w:val="center"/>
                  </w:pPr>
                  <w:r>
                    <w:t xml:space="preserve">0.0111 (0.0439)</w:t>
                  </w:r>
                </w:p>
              </w:tc>
            </w:tr>
            <w:tr>
              <w:tc>
                <w:tcPr/>
                <w:p>
                  <w:pPr>
                    <w:pStyle w:val="Compact"/>
                    <w:jc w:val="left"/>
                    <w:jc w:val="center"/>
                  </w:pPr>
                  <w:r>
                    <w:t xml:space="preserve">AI intensity growth</w:t>
                  </w:r>
                </w:p>
              </w:tc>
              <w:tc>
                <w:tcPr/>
                <w:p>
                  <w:pPr>
                    <w:pStyle w:val="Compact"/>
                    <w:jc w:val="left"/>
                    <w:jc w:val="center"/>
                  </w:pPr>
                  <w:r>
                    <w:t xml:space="preserve">Bottom population quartile</w:t>
                  </w:r>
                </w:p>
              </w:tc>
              <w:tc>
                <w:tcPr/>
                <w:p>
                  <w:pPr>
                    <w:pStyle w:val="Compact"/>
                    <w:jc w:val="left"/>
                    <w:jc w:val="center"/>
                  </w:pPr>
                  <w:r>
                    <w:t xml:space="preserve">Patents per employee</w:t>
                  </w:r>
                </w:p>
              </w:tc>
              <w:tc>
                <w:tcPr/>
                <w:p>
                  <w:pPr>
                    <w:pStyle w:val="Compact"/>
                    <w:jc w:val="right"/>
                    <w:jc w:val="center"/>
                  </w:pPr>
                  <w:r>
                    <w:t xml:space="preserve">-0.0114 (0.0050)</w:t>
                  </w:r>
                </w:p>
              </w:tc>
            </w:tr>
            <w:tr>
              <w:tc>
                <w:tcPr/>
                <w:p>
                  <w:pPr>
                    <w:pStyle w:val="Compact"/>
                    <w:jc w:val="left"/>
                    <w:jc w:val="center"/>
                  </w:pPr>
                  <w:r>
                    <w:t xml:space="preserve">AI intensity growth</w:t>
                  </w:r>
                </w:p>
              </w:tc>
              <w:tc>
                <w:tcPr/>
                <w:p>
                  <w:pPr>
                    <w:pStyle w:val="Compact"/>
                    <w:jc w:val="left"/>
                    <w:jc w:val="center"/>
                  </w:pPr>
                  <w:r>
                    <w:t xml:space="preserve">Bottom population quartile</w:t>
                  </w:r>
                </w:p>
              </w:tc>
              <w:tc>
                <w:tcPr/>
                <w:p>
                  <w:pPr>
                    <w:pStyle w:val="Compact"/>
                    <w:jc w:val="left"/>
                    <w:jc w:val="center"/>
                  </w:pPr>
                  <w:r>
                    <w:t xml:space="preserve">STEM degrees share</w:t>
                  </w:r>
                </w:p>
              </w:tc>
              <w:tc>
                <w:tcPr/>
                <w:p>
                  <w:pPr>
                    <w:pStyle w:val="Compact"/>
                    <w:jc w:val="right"/>
                    <w:jc w:val="center"/>
                  </w:pPr>
                  <w:r>
                    <w:t xml:space="preserve">0.0701 (0.0368)</w:t>
                  </w:r>
                </w:p>
              </w:tc>
            </w:tr>
            <w:tr>
              <w:tc>
                <w:tcPr/>
                <w:p>
                  <w:pPr>
                    <w:pStyle w:val="Compact"/>
                    <w:jc w:val="left"/>
                    <w:jc w:val="center"/>
                  </w:pPr>
                  <w:r>
                    <w:t xml:space="preserve">AI intensity growth</w:t>
                  </w:r>
                </w:p>
              </w:tc>
              <w:tc>
                <w:tcPr/>
                <w:p>
                  <w:pPr>
                    <w:pStyle w:val="Compact"/>
                    <w:jc w:val="left"/>
                    <w:jc w:val="center"/>
                  </w:pPr>
                  <w:r>
                    <w:t xml:space="preserve">Bottom population quartile</w:t>
                  </w:r>
                </w:p>
              </w:tc>
              <w:tc>
                <w:tcPr/>
                <w:p>
                  <w:pPr>
                    <w:pStyle w:val="Compact"/>
                    <w:jc w:val="left"/>
                    <w:jc w:val="center"/>
                  </w:pPr>
                  <w:r>
                    <w:t xml:space="preserve">ICT sector intensity</w:t>
                  </w:r>
                </w:p>
              </w:tc>
              <w:tc>
                <w:tcPr/>
                <w:p>
                  <w:pPr>
                    <w:pStyle w:val="Compact"/>
                    <w:jc w:val="right"/>
                    <w:jc w:val="center"/>
                  </w:pPr>
                  <w:r>
                    <w:t xml:space="preserve">-0.0043 (0.0533)</w:t>
                  </w:r>
                </w:p>
              </w:tc>
            </w:tr>
            <w:tr>
              <w:tc>
                <w:tcPr/>
                <w:p>
                  <w:pPr>
                    <w:pStyle w:val="Compact"/>
                    <w:jc w:val="left"/>
                    <w:jc w:val="center"/>
                  </w:pPr>
                  <w:r>
                    <w:t xml:space="preserve">AI intensity growth</w:t>
                  </w:r>
                </w:p>
              </w:tc>
              <w:tc>
                <w:tcPr/>
                <w:p>
                  <w:pPr>
                    <w:pStyle w:val="Compact"/>
                    <w:jc w:val="left"/>
                    <w:jc w:val="center"/>
                  </w:pPr>
                  <w:r>
                    <w:t xml:space="preserve">Bottom population quartile</w:t>
                  </w:r>
                </w:p>
              </w:tc>
              <w:tc>
                <w:tcPr/>
                <w:p>
                  <w:pPr>
                    <w:pStyle w:val="Compact"/>
                    <w:jc w:val="left"/>
                    <w:jc w:val="center"/>
                  </w:pPr>
                  <w:r>
                    <w:t xml:space="preserve">Manufacturing intensity</w:t>
                  </w:r>
                </w:p>
              </w:tc>
              <w:tc>
                <w:tcPr/>
                <w:p>
                  <w:pPr>
                    <w:pStyle w:val="Compact"/>
                    <w:jc w:val="right"/>
                    <w:jc w:val="center"/>
                  </w:pPr>
                  <w:r>
                    <w:t xml:space="preserve">-0.0138 (0.0318)</w:t>
                  </w:r>
                </w:p>
              </w:tc>
            </w:tr>
            <w:tr>
              <w:tc>
                <w:tcPr/>
                <w:p>
                  <w:pPr>
                    <w:pStyle w:val="Compact"/>
                    <w:jc w:val="left"/>
                    <w:jc w:val="center"/>
                  </w:pPr>
                  <w:r>
                    <w:t xml:space="preserve">AI intensity growth</w:t>
                  </w:r>
                </w:p>
              </w:tc>
              <w:tc>
                <w:tcPr/>
                <w:p>
                  <w:pPr>
                    <w:pStyle w:val="Compact"/>
                    <w:jc w:val="left"/>
                    <w:jc w:val="center"/>
                  </w:pPr>
                  <w:r>
                    <w:t xml:space="preserve">Top population quartile</w:t>
                  </w:r>
                </w:p>
              </w:tc>
              <w:tc>
                <w:tcPr/>
                <w:p>
                  <w:pPr>
                    <w:pStyle w:val="Compact"/>
                    <w:jc w:val="left"/>
                    <w:jc w:val="center"/>
                  </w:pPr>
                  <w:r>
                    <w:t xml:space="preserve">Bachelor’s share</w:t>
                  </w:r>
                </w:p>
              </w:tc>
              <w:tc>
                <w:tcPr/>
                <w:p>
                  <w:pPr>
                    <w:pStyle w:val="Compact"/>
                    <w:jc w:val="right"/>
                    <w:jc w:val="center"/>
                  </w:pPr>
                  <w:r>
                    <w:t xml:space="preserve">0.0442 (0.0302)</w:t>
                  </w:r>
                </w:p>
              </w:tc>
            </w:tr>
            <w:tr>
              <w:tc>
                <w:tcPr/>
                <w:p>
                  <w:pPr>
                    <w:pStyle w:val="Compact"/>
                    <w:jc w:val="left"/>
                    <w:jc w:val="center"/>
                  </w:pPr>
                  <w:r>
                    <w:t xml:space="preserve">AI intensity growth</w:t>
                  </w:r>
                </w:p>
              </w:tc>
              <w:tc>
                <w:tcPr/>
                <w:p>
                  <w:pPr>
                    <w:pStyle w:val="Compact"/>
                    <w:jc w:val="left"/>
                    <w:jc w:val="center"/>
                  </w:pPr>
                  <w:r>
                    <w:t xml:space="preserve">Top population quartile</w:t>
                  </w:r>
                </w:p>
              </w:tc>
              <w:tc>
                <w:tcPr/>
                <w:p>
                  <w:pPr>
                    <w:pStyle w:val="Compact"/>
                    <w:jc w:val="left"/>
                    <w:jc w:val="center"/>
                  </w:pPr>
                  <w:r>
                    <w:t xml:space="preserve">Patents per employee</w:t>
                  </w:r>
                </w:p>
              </w:tc>
              <w:tc>
                <w:tcPr/>
                <w:p>
                  <w:pPr>
                    <w:pStyle w:val="Compact"/>
                    <w:jc w:val="right"/>
                    <w:jc w:val="center"/>
                  </w:pPr>
                  <w:r>
                    <w:t xml:space="preserve">-0.0343 (0.0381)</w:t>
                  </w:r>
                </w:p>
              </w:tc>
            </w:tr>
            <w:tr>
              <w:tc>
                <w:tcPr/>
                <w:p>
                  <w:pPr>
                    <w:pStyle w:val="Compact"/>
                    <w:jc w:val="left"/>
                    <w:jc w:val="center"/>
                  </w:pPr>
                  <w:r>
                    <w:t xml:space="preserve">AI intensity growth</w:t>
                  </w:r>
                </w:p>
              </w:tc>
              <w:tc>
                <w:tcPr/>
                <w:p>
                  <w:pPr>
                    <w:pStyle w:val="Compact"/>
                    <w:jc w:val="left"/>
                    <w:jc w:val="center"/>
                  </w:pPr>
                  <w:r>
                    <w:t xml:space="preserve">Top population quartile</w:t>
                  </w:r>
                </w:p>
              </w:tc>
              <w:tc>
                <w:tcPr/>
                <w:p>
                  <w:pPr>
                    <w:pStyle w:val="Compact"/>
                    <w:jc w:val="left"/>
                    <w:jc w:val="center"/>
                  </w:pPr>
                  <w:r>
                    <w:t xml:space="preserve">STEM degrees share</w:t>
                  </w:r>
                </w:p>
              </w:tc>
              <w:tc>
                <w:tcPr/>
                <w:p>
                  <w:pPr>
                    <w:pStyle w:val="Compact"/>
                    <w:jc w:val="right"/>
                    <w:jc w:val="center"/>
                  </w:pPr>
                  <w:r>
                    <w:t xml:space="preserve">0.0584 (0.0279)</w:t>
                  </w:r>
                </w:p>
              </w:tc>
            </w:tr>
            <w:tr>
              <w:tc>
                <w:tcPr/>
                <w:p>
                  <w:pPr>
                    <w:pStyle w:val="Compact"/>
                    <w:jc w:val="left"/>
                    <w:jc w:val="center"/>
                  </w:pPr>
                  <w:r>
                    <w:t xml:space="preserve">AI intensity growth</w:t>
                  </w:r>
                </w:p>
              </w:tc>
              <w:tc>
                <w:tcPr/>
                <w:p>
                  <w:pPr>
                    <w:pStyle w:val="Compact"/>
                    <w:jc w:val="left"/>
                    <w:jc w:val="center"/>
                  </w:pPr>
                  <w:r>
                    <w:t xml:space="preserve">Top population quartile</w:t>
                  </w:r>
                </w:p>
              </w:tc>
              <w:tc>
                <w:tcPr/>
                <w:p>
                  <w:pPr>
                    <w:pStyle w:val="Compact"/>
                    <w:jc w:val="left"/>
                    <w:jc w:val="center"/>
                  </w:pPr>
                  <w:r>
                    <w:t xml:space="preserve">ICT sector intensity</w:t>
                  </w:r>
                </w:p>
              </w:tc>
              <w:tc>
                <w:tcPr/>
                <w:p>
                  <w:pPr>
                    <w:pStyle w:val="Compact"/>
                    <w:jc w:val="right"/>
                    <w:jc w:val="center"/>
                  </w:pPr>
                  <w:r>
                    <w:t xml:space="preserve">0.0555 (0.0320)</w:t>
                  </w:r>
                </w:p>
              </w:tc>
            </w:tr>
            <w:tr>
              <w:tc>
                <w:tcPr/>
                <w:p>
                  <w:pPr>
                    <w:pStyle w:val="Compact"/>
                    <w:jc w:val="left"/>
                    <w:jc w:val="center"/>
                  </w:pPr>
                  <w:r>
                    <w:t xml:space="preserve">AI intensity growth</w:t>
                  </w:r>
                </w:p>
              </w:tc>
              <w:tc>
                <w:tcPr/>
                <w:p>
                  <w:pPr>
                    <w:pStyle w:val="Compact"/>
                    <w:jc w:val="left"/>
                    <w:jc w:val="center"/>
                  </w:pPr>
                  <w:r>
                    <w:t xml:space="preserve">Top population quartile</w:t>
                  </w:r>
                </w:p>
              </w:tc>
              <w:tc>
                <w:tcPr/>
                <w:p>
                  <w:pPr>
                    <w:pStyle w:val="Compact"/>
                    <w:jc w:val="left"/>
                    <w:jc w:val="center"/>
                  </w:pPr>
                  <w:r>
                    <w:t xml:space="preserve">Manufacturing intensity</w:t>
                  </w:r>
                </w:p>
              </w:tc>
              <w:tc>
                <w:tcPr/>
                <w:p>
                  <w:pPr>
                    <w:pStyle w:val="Compact"/>
                    <w:jc w:val="right"/>
                    <w:jc w:val="center"/>
                  </w:pPr>
                  <w:r>
                    <w:t xml:space="preserve">-0.0432 (0.0416)</w:t>
                  </w:r>
                </w:p>
              </w:tc>
            </w:tr>
          </w:tbl>
          <w:p>
            <w:pPr>
              <w:jc w:val="center"/>
            </w:pPr>
            <w:r>
              <w:rPr>
                <w:i/>
                <w:iCs/>
              </w:rPr>
              <w:t xml:space="preserve">Notes:</w:t>
            </w:r>
            <w:r>
              <w:t xml:space="preserve"> </w:t>
            </w:r>
            <w:r>
              <w:t xml:space="preserve">Standard errors are in parentheses. The levels model uses the all-controls no-tightness specification with county and year fixed effects. The growth model uses the all-controls no-tightness specification. Population quartiles are defined using county average population in the levels panel and 2017 county population in the growth sample.</w:t>
            </w:r>
          </w:p>
          <w:bookmarkEnd w:id="44"/>
        </w:tc>
      </w:tr>
    </w:tbl>
    <w:p>
      <w:pPr>
        <w:pStyle w:val="BodyText"/>
      </w:pPr>
      <w:r>
        <w:t xml:space="preserve">The quartile split does not support a broad small-county mechanism. In fact, many level-model coefficients are larger in the top population quartile, while the growth-model pattern is mixed. We therefore interpret the weighting results as descriptive sensitivity evidence rather than proof of systematically stronger relationships in smaller counties.</w:t>
      </w:r>
    </w:p>
    <w:p>
      <w:pPr>
        <w:pStyle w:val="BodyText"/>
      </w:pPr>
      <w:r>
        <w:t xml:space="preserve">AKCLM employ language suggesting causal relationships despite using observational county-level data with fixed-effects regressions. The empirical strategy does not support causal inference</w:t>
      </w:r>
      <w:r>
        <w:t xml:space="preserve"> </w:t>
      </w:r>
      <w:r>
        <w:t xml:space="preserve">(</w:t>
      </w:r>
      <w:hyperlink w:anchor="ref-holland1986">
        <w:r>
          <w:rPr>
            <w:rStyle w:val="Hyperlink"/>
          </w:rPr>
          <w:t xml:space="preserve">Holland, 1986</w:t>
        </w:r>
      </w:hyperlink>
      <w:r>
        <w:t xml:space="preserve">)</w:t>
      </w:r>
      <w:r>
        <w:t xml:space="preserve">, yet the paper uses terminology that implies causation rather than correlation. Causal nouns such as</w:t>
      </w:r>
      <w:r>
        <w:t xml:space="preserve"> </w:t>
      </w:r>
      <w:r>
        <w:t xml:space="preserve">“drivers,”</w:t>
      </w:r>
      <w:r>
        <w:t xml:space="preserve"> </w:t>
      </w:r>
      <w:r>
        <w:t xml:space="preserve">“determinants,”</w:t>
      </w:r>
      <w:r>
        <w:t xml:space="preserve"> </w:t>
      </w:r>
      <w:r>
        <w:t xml:space="preserve">“effects,”</w:t>
      </w:r>
      <w:r>
        <w:t xml:space="preserve"> </w:t>
      </w:r>
      <w:r>
        <w:t xml:space="preserve">and</w:t>
      </w:r>
      <w:r>
        <w:t xml:space="preserve"> </w:t>
      </w:r>
      <w:r>
        <w:t xml:space="preserve">“impact”</w:t>
      </w:r>
      <w:r>
        <w:t xml:space="preserve"> </w:t>
      </w:r>
      <w:r>
        <w:t xml:space="preserve">appear throughout, alongside causal verbs such as</w:t>
      </w:r>
      <w:r>
        <w:t xml:space="preserve"> </w:t>
      </w:r>
      <w:r>
        <w:t xml:space="preserve">“drive,”</w:t>
      </w:r>
      <w:r>
        <w:t xml:space="preserve"> </w:t>
      </w:r>
      <w:r>
        <w:t xml:space="preserve">“fostering,”</w:t>
      </w:r>
      <w:r>
        <w:t xml:space="preserve"> </w:t>
      </w:r>
      <w:r>
        <w:t xml:space="preserve">and</w:t>
      </w:r>
      <w:r>
        <w:t xml:space="preserve"> </w:t>
      </w:r>
      <w:r>
        <w:t xml:space="preserve">“influence.”</w:t>
      </w:r>
      <w:r>
        <w:t xml:space="preserve"> </w:t>
      </w:r>
      <w:r>
        <w:t xml:space="preserve">For instance, the paper refers to</w:t>
      </w:r>
      <w:r>
        <w:t xml:space="preserve"> </w:t>
      </w:r>
      <w:r>
        <w:t xml:space="preserve">“key drivers of AI job intensity”</w:t>
      </w:r>
      <w:r>
        <w:t xml:space="preserve"> </w:t>
      </w:r>
      <w:r>
        <w:t xml:space="preserve">and states that labor market tightness</w:t>
      </w:r>
      <w:r>
        <w:t xml:space="preserve"> </w:t>
      </w:r>
      <w:r>
        <w:t xml:space="preserve">“emerges as a key driver,”</w:t>
      </w:r>
      <w:r>
        <w:t xml:space="preserve"> </w:t>
      </w:r>
      <w:r>
        <w:t xml:space="preserve">implying that changing these variables would directly alter AI adoption. The conclusion states that findings</w:t>
      </w:r>
      <w:r>
        <w:t xml:space="preserve"> </w:t>
      </w:r>
      <w:r>
        <w:t xml:space="preserve">“point to the role of place-based policies,”</w:t>
      </w:r>
      <w:r>
        <w:t xml:space="preserve"> </w:t>
      </w:r>
      <w:r>
        <w:t xml:space="preserve">making policy recommendations based on associations rather than identified causal effects. A policy claim of this kind would require a design that isolates plausibly exogenous variation in AI exposure, such as a shift-share design based on pre-period industry exposure to national AI shocks, an instrumental-variables strategy for AI-related labor demand, or an event-study design around a localized technology shock.</w:t>
      </w:r>
    </w:p>
    <w:bookmarkEnd w:id="45"/>
    <w:bookmarkStart w:id="46" w:name="conclusion"/>
    <w:p>
      <w:pPr>
        <w:pStyle w:val="Heading2"/>
      </w:pPr>
      <w:r>
        <w:t xml:space="preserve">Conclusion</w:t>
      </w:r>
    </w:p>
    <w:p>
      <w:pPr>
        <w:pStyle w:val="FirstParagraph"/>
      </w:pPr>
      <w:r>
        <w:t xml:space="preserve">This replication of AKCLM produces three sets of findings. First, several core regression results are reproduced. AKCLM’s Table 1 is reproduced from the released analysis-ready data and code to the displayed precision, and most coefficients from AKCLM’s Table 2 also match when the released code is rerun. These results support AKCLM’s broad descriptive claim that education, innovation, and industry variables are correlated with county-level AI intensity. However, this reproduction also reveals a reporting discrepancy in the original article: the published Table 1 and Table 2 footers describe the observations as unweighted, while the released code estimates those regressions with log-posting weights,</w:t>
      </w:r>
      <w:r>
        <w:t xml:space="preserve"> </w:t>
      </w:r>
      <w:r>
        <w:rPr>
          <w:rStyle w:val="VerbatimChar"/>
        </w:rPr>
        <w:t xml:space="preserve">log(1 + total postings)</w:t>
      </w:r>
      <w:r>
        <w:t xml:space="preserve">.</w:t>
      </w:r>
    </w:p>
    <w:p>
      <w:pPr>
        <w:pStyle w:val="BodyText"/>
      </w:pPr>
      <w:r>
        <w:t xml:space="preserve">Second, two results are only partially reproduced. In AKCLM’s Table 2, the bachelor’s-share coefficient and standard error differ systematically from the published version of record in columns 1, 4, and 5, with the rerun values approximately nine times larger than the published values. The discrepancy is specific to that version: the AEA conference preprint and the SSRN version report the same values as the released code. The difference is explained mechanically by scaling: dividing each preprint coefficient by 9.114, the 2017 bachelor’s-share standard deviation in percentage points, returns the published coefficient in all three columns, so the published row is expressed per percentage point while its label and the released code describe a z-score. We do not claim to know how the rescaling occurred. In Figure 1, we cannot recover the exact map construction from the replication archive: the released materials do not include code that directly generates the published maps, and the released</w:t>
      </w:r>
      <w:r>
        <w:t xml:space="preserve"> </w:t>
      </w:r>
      <w:r>
        <w:rPr>
          <w:rStyle w:val="VerbatimChar"/>
        </w:rPr>
        <w:t xml:space="preserve">data.csv</w:t>
      </w:r>
      <w:r>
        <w:t xml:space="preserve"> </w:t>
      </w:r>
      <w:r>
        <w:t xml:space="preserve">omits Connecticut county rows even though Connecticut appears in the published county map. The source of the map discrepancy remains unknown, but the evidence points to reporting, coding, or map-input differences rather than a complete failure of the released regression dataset.</w:t>
      </w:r>
    </w:p>
    <w:p>
      <w:pPr>
        <w:pStyle w:val="BodyText"/>
      </w:pPr>
      <w:r>
        <w:t xml:space="preserve">Third, our methodological extensions raise separate concerns. AKCLM employ causal language that the observational fixed-effects design cannot support without an explicit identification strategy</w:t>
      </w:r>
      <w:r>
        <w:t xml:space="preserve"> </w:t>
      </w:r>
      <w:r>
        <w:t xml:space="preserve">(</w:t>
      </w:r>
      <w:hyperlink w:anchor="ref-holland1986">
        <w:r>
          <w:rPr>
            <w:rStyle w:val="Hyperlink"/>
          </w:rPr>
          <w:t xml:space="preserve">Holland, 1986</w:t>
        </w:r>
      </w:hyperlink>
      <w:r>
        <w:t xml:space="preserve">)</w:t>
      </w:r>
      <w:r>
        <w:t xml:space="preserve">. In addition, labor market tightness mechanically shares total job postings with the denominator of AI intensity, creating a denominator-contamination concern. Finally, the log-population weighting and population-quartile exercises show that some coefficient magnitudes vary with county-size weighting and sample splits, but those shifts should be interpreted as descriptive robustness evidence rather than proof of systematically stronger relationships in smaller counties.</w:t>
      </w:r>
    </w:p>
    <w:p>
      <w:pPr>
        <w:pStyle w:val="BodyText"/>
      </w:pPr>
      <w:r>
        <w:t xml:space="preserve">Taken together, the core level-model associations for bachelor’s share, STEM degree share, labor market tightness, patents per employee, and manufacturing remain broadly stable across the main reproduction checks. The more fragile findings are the marginal associations for house price growth and ICT intensity, which lose significance under the unweighted estimator described in AKCLM’s published table footer. For growth in AI intensity, STEM degree share remains the most stable predictor, while the bachelor’s-share row remains unresolved because the published table and released code imply different scaling choices.</w:t>
      </w:r>
    </w:p>
    <w:bookmarkEnd w:id="46"/>
    <w:bookmarkStart w:id="59" w:name="appendix"/>
    <w:p>
      <w:pPr>
        <w:pStyle w:val="Heading2"/>
      </w:pPr>
      <w:r>
        <w:t xml:space="preserve">Appendix</w:t>
      </w:r>
    </w:p>
    <w:p>
      <w:pPr>
        <w:pStyle w:val="FirstParagraph"/>
      </w:pPr>
      <w:r>
        <w:t xml:space="preserve">For transparency, the appendix reports unselected regression output for the full reproduction models, rather than only the variables highlighted under AKCLM’s main-text reporting convention. It also reproduces the two versions of AKCLM’s Table 2 that the bachelor’s-share discussion refers to, so that the source of each figure in our comparison can be checked directly.</w:t>
      </w:r>
    </w:p>
    <w:tbl>
      <w:tblPr>
        <w:tblStyle w:val="Table"/>
        <w:tblW w:type="pct" w:w="5000"/>
        <w:tblLayout w:type="fixed"/>
        <w:tblLook w:firstRow="0" w:lastRow="0" w:firstColumn="0" w:lastColumn="0" w:noHBand="0" w:noVBand="0" w:val="0000"/>
      </w:tblPr>
      <w:tblGrid>
        <w:gridCol w:w="7920"/>
      </w:tblGrid>
      <w:tr>
        <w:tc>
          <w:tcPr/>
          <w:bookmarkStart w:id="50" w:name="fig-akclm-published-table2"/>
          <w:p>
            <w:pPr>
              <w:jc w:val="center"/>
            </w:pPr>
            <w:pPr>
              <w:jc w:val="left"/>
              <w:spacing w:before="200"/>
              <w:pStyle w:val="ImageCaption"/>
            </w:pPr>
            <w:r>
              <w:t xml:space="preserve">Figure 6: Table 2 of the published version of record. Andreadis et al. (2025),</w:t>
            </w:r>
            <w:r>
              <w:t xml:space="preserve"> </w:t>
            </w:r>
            <w:r>
              <w:rPr>
                <w:i/>
                <w:iCs/>
              </w:rPr>
              <w:t xml:space="preserve">AEA Papers and Proceedings</w:t>
            </w:r>
            <w:r>
              <w:t xml:space="preserve"> </w:t>
            </w:r>
            <w:r>
              <w:t xml:space="preserve">115: 29–34, DOI 10.1257/pandp.20251001, page 33. The running head carries the volume and page number. The row</w:t>
            </w:r>
            <w:r>
              <w:t xml:space="preserve"> </w:t>
            </w:r>
            <w:r>
              <w:t xml:space="preserve">“Bachelor’s share, z-score in 2017”</w:t>
            </w:r>
            <w:r>
              <w:t xml:space="preserve"> </w:t>
            </w:r>
            <w:r>
              <w:t xml:space="preserve">reports 0.0022, -0.0035 and -0.0044 in columns 1, 4 and 5.</w:t>
            </w:r>
          </w:p>
          <w:p>
            <w:pPr>
              <w:pStyle w:val="Compact"/>
              <w:jc w:val="center"/>
            </w:pPr>
            <w:r>
              <w:drawing>
                <wp:inline>
                  <wp:extent cx="5334000" cy="1692519"/>
                  <wp:effectExtent b="0" l="0" r="0" t="0"/>
                  <wp:docPr descr="" title="" id="48" name="Picture"/>
                  <a:graphic>
                    <a:graphicData uri="http://schemas.openxmlformats.org/drawingml/2006/picture">
                      <pic:pic>
                        <pic:nvPicPr>
                          <pic:cNvPr descr="figures/akclm_published_table2.png" id="49" name="Picture"/>
                          <pic:cNvPicPr>
                            <a:picLocks noChangeArrowheads="1" noChangeAspect="1"/>
                          </pic:cNvPicPr>
                        </pic:nvPicPr>
                        <pic:blipFill>
                          <a:blip r:embed="rId47"/>
                          <a:stretch>
                            <a:fillRect/>
                          </a:stretch>
                        </pic:blipFill>
                        <pic:spPr bwMode="auto">
                          <a:xfrm>
                            <a:off x="0" y="0"/>
                            <a:ext cx="5334000" cy="1692519"/>
                          </a:xfrm>
                          <a:prstGeom prst="rect">
                            <a:avLst/>
                          </a:prstGeom>
                          <a:noFill/>
                          <a:ln w="9525">
                            <a:noFill/>
                            <a:headEnd/>
                            <a:tailEnd/>
                          </a:ln>
                        </pic:spPr>
                      </pic:pic>
                    </a:graphicData>
                  </a:graphic>
                </wp:inline>
              </w:drawing>
            </w:r>
          </w:p>
          <w:bookmarkEnd w:id="50"/>
        </w:tc>
      </w:tr>
    </w:tbl>
    <w:tbl>
      <w:tblPr>
        <w:tblStyle w:val="Table"/>
        <w:tblW w:type="pct" w:w="5000"/>
        <w:tblLayout w:type="fixed"/>
        <w:tblLook w:firstRow="0" w:lastRow="0" w:firstColumn="0" w:lastColumn="0" w:noHBand="0" w:noVBand="0" w:val="0000"/>
      </w:tblPr>
      <w:tblGrid>
        <w:gridCol w:w="7920"/>
      </w:tblGrid>
      <w:tr>
        <w:tc>
          <w:tcPr/>
          <w:bookmarkStart w:id="54" w:name="fig-akclm-preprint-table2"/>
          <w:p>
            <w:pPr>
              <w:jc w:val="center"/>
            </w:pPr>
            <w:pPr>
              <w:jc w:val="left"/>
              <w:spacing w:before="200"/>
              <w:pStyle w:val="ImageCaption"/>
            </w:pPr>
            <w:r>
              <w:t xml:space="preserve">Figure 7: Table 2 of the preprint distributed through the AEA conference program, marked</w:t>
            </w:r>
            <w:r>
              <w:t xml:space="preserve"> </w:t>
            </w:r>
            <w:r>
              <w:t xml:space="preserve">“Forthcoming in AEA P&amp;P 2025”</w:t>
            </w:r>
            <w:r>
              <w:t xml:space="preserve">, page 11. The corresponding row,</w:t>
            </w:r>
            <w:r>
              <w:t xml:space="preserve"> </w:t>
            </w:r>
            <w:r>
              <w:t xml:space="preserve">“Bachelors,% z-score in 2017”</w:t>
            </w:r>
            <w:r>
              <w:t xml:space="preserve">, reports 0.0196, -0.0322 and -0.0401, which are the values AKCLM’s released code produces.</w:t>
            </w:r>
          </w:p>
          <w:p>
            <w:pPr>
              <w:pStyle w:val="Compact"/>
              <w:jc w:val="center"/>
            </w:pPr>
            <w:r>
              <w:drawing>
                <wp:inline>
                  <wp:extent cx="5334000" cy="1641809"/>
                  <wp:effectExtent b="0" l="0" r="0" t="0"/>
                  <wp:docPr descr="" title="" id="52" name="Picture"/>
                  <a:graphic>
                    <a:graphicData uri="http://schemas.openxmlformats.org/drawingml/2006/picture">
                      <pic:pic>
                        <pic:nvPicPr>
                          <pic:cNvPr descr="figures/akclm_preprint_table2.png" id="53" name="Picture"/>
                          <pic:cNvPicPr>
                            <a:picLocks noChangeArrowheads="1" noChangeAspect="1"/>
                          </pic:cNvPicPr>
                        </pic:nvPicPr>
                        <pic:blipFill>
                          <a:blip r:embed="rId51"/>
                          <a:stretch>
                            <a:fillRect/>
                          </a:stretch>
                        </pic:blipFill>
                        <pic:spPr bwMode="auto">
                          <a:xfrm>
                            <a:off x="0" y="0"/>
                            <a:ext cx="5334000" cy="1641809"/>
                          </a:xfrm>
                          <a:prstGeom prst="rect">
                            <a:avLst/>
                          </a:prstGeom>
                          <a:noFill/>
                          <a:ln w="9525">
                            <a:noFill/>
                            <a:headEnd/>
                            <a:tailEnd/>
                          </a:ln>
                        </pic:spPr>
                      </pic:pic>
                    </a:graphicData>
                  </a:graphic>
                </wp:inline>
              </w:drawing>
            </w:r>
          </w:p>
          <w:bookmarkEnd w:id="54"/>
        </w:tc>
      </w:tr>
    </w:tbl>
    <w:tbl>
      <w:tblPr>
        <w:tblStyle w:val="Table"/>
        <w:tblW w:type="pct" w:w="5000"/>
        <w:tblLayout w:type="fixed"/>
        <w:tblLook w:firstRow="0" w:lastRow="0" w:firstColumn="0" w:lastColumn="0" w:noHBand="0" w:noVBand="0" w:val="0000"/>
      </w:tblPr>
      <w:tblGrid>
        <w:gridCol w:w="7920"/>
      </w:tblGrid>
      <w:tr>
        <w:tc>
          <w:tcPr/>
          <w:bookmarkStart w:id="55" w:name="tbl-full-table1"/>
          <w:p>
            <w:pPr>
              <w:jc w:val="center"/>
            </w:pPr>
            <w:pPr>
              <w:jc w:val="left"/>
              <w:spacing w:before="200"/>
              <w:pStyle w:val="ImageCaption"/>
            </w:pPr>
            <w:r>
              <w:t xml:space="preserve">Table 7: Full unselected output for AKCLM Table 1 reproduction</w:t>
            </w:r>
          </w:p>
          <w:tbl>
            <w:tblPr>
              <w:tblStyle w:val="Table"/>
              <w:tblW w:type="pct" w:w="4833"/>
              <w:tblLayout w:type="fixed"/>
              <w:tblLook w:firstRow="1" w:lastRow="1" w:firstColumn="0" w:lastColumn="0" w:noHBand="0" w:noVBand="0" w:val="0020"/>
            </w:tblPr>
            <w:tblGrid>
              <w:gridCol w:w="1716"/>
              <w:gridCol w:w="1254"/>
              <w:gridCol w:w="1122"/>
              <w:gridCol w:w="990"/>
              <w:gridCol w:w="1254"/>
              <w:gridCol w:w="1320"/>
            </w:tblGrid>
            <w:tr>
              <w:trPr>
                <w:tblHeader w:val="on"/>
              </w:trPr>
              <w:tc>
                <w:tcPr/>
                <w:p>
                  <w:pPr>
                    <w:pStyle w:val="Compact"/>
                  </w:pPr>
                </w:p>
              </w:tc>
              <w:tc>
                <w:tcPr/>
                <w:p>
                  <w:pPr>
                    <w:pStyle w:val="Compact"/>
                    <w:numPr>
                      <w:ilvl w:val="0"/>
                      <w:numId w:val="1001"/>
                    </w:numPr>
                    <w:jc w:val="center"/>
                  </w:pPr>
                  <w:r>
                    <w:t xml:space="preserve">Demographics</w:t>
                  </w:r>
                </w:p>
              </w:tc>
              <w:tc>
                <w:tcPr/>
                <w:p>
                  <w:pPr>
                    <w:pStyle w:val="Compact"/>
                    <w:numPr>
                      <w:ilvl w:val="0"/>
                      <w:numId w:val="1002"/>
                    </w:numPr>
                    <w:jc w:val="center"/>
                  </w:pPr>
                  <w:r>
                    <w:t xml:space="preserve">Innovation</w:t>
                  </w:r>
                </w:p>
              </w:tc>
              <w:tc>
                <w:tcPr/>
                <w:p>
                  <w:pPr>
                    <w:pStyle w:val="Compact"/>
                    <w:numPr>
                      <w:ilvl w:val="0"/>
                      <w:numId w:val="1003"/>
                    </w:numPr>
                    <w:jc w:val="center"/>
                  </w:pPr>
                  <w:r>
                    <w:t xml:space="preserve">Industry</w:t>
                  </w:r>
                </w:p>
              </w:tc>
              <w:tc>
                <w:tcPr/>
                <w:p>
                  <w:pPr>
                    <w:pStyle w:val="Compact"/>
                    <w:numPr>
                      <w:ilvl w:val="0"/>
                      <w:numId w:val="1004"/>
                    </w:numPr>
                    <w:jc w:val="center"/>
                  </w:pPr>
                  <w:r>
                    <w:t xml:space="preserve">All controls</w:t>
                  </w:r>
                </w:p>
              </w:tc>
              <w:tc>
                <w:tcPr/>
                <w:p>
                  <w:pPr>
                    <w:pStyle w:val="Compact"/>
                    <w:numPr>
                      <w:ilvl w:val="0"/>
                      <w:numId w:val="1005"/>
                    </w:numPr>
                    <w:jc w:val="center"/>
                  </w:pPr>
                  <w:r>
                    <w:t xml:space="preserve">State-year FE</w:t>
                  </w:r>
                </w:p>
              </w:tc>
            </w:tr>
            <w:tr>
              <w:tc>
                <w:tcPr/>
                <w:p>
                  <w:pPr>
                    <w:pStyle w:val="Compact"/>
                    <w:jc w:val="center"/>
                  </w:pPr>
                  <w:r>
                    <w:t xml:space="preserve">Bachelor’s share</w:t>
                  </w:r>
                </w:p>
              </w:tc>
              <w:tc>
                <w:tcPr/>
                <w:p>
                  <w:pPr>
                    <w:pStyle w:val="Compact"/>
                    <w:jc w:val="center"/>
                  </w:pPr>
                  <w:r>
                    <w:t xml:space="preserve">0.191***</w:t>
                  </w:r>
                </w:p>
              </w:tc>
              <w:tc>
                <w:tcPr/>
                <w:p>
                  <w:pPr>
                    <w:pStyle w:val="Compact"/>
                  </w:pPr>
                </w:p>
              </w:tc>
              <w:tc>
                <w:tcPr/>
                <w:p>
                  <w:pPr>
                    <w:pStyle w:val="Compact"/>
                  </w:pPr>
                </w:p>
              </w:tc>
              <w:tc>
                <w:tcPr/>
                <w:p>
                  <w:pPr>
                    <w:pStyle w:val="Compact"/>
                    <w:jc w:val="center"/>
                  </w:pPr>
                  <w:r>
                    <w:t xml:space="preserve">0.182***</w:t>
                  </w:r>
                </w:p>
              </w:tc>
              <w:tc>
                <w:tcPr/>
                <w:p>
                  <w:pPr>
                    <w:pStyle w:val="Compact"/>
                    <w:jc w:val="center"/>
                  </w:pPr>
                  <w:r>
                    <w:t xml:space="preserve">0.103*</w:t>
                  </w:r>
                </w:p>
              </w:tc>
            </w:tr>
            <w:tr>
              <w:tc>
                <w:tcPr/>
                <w:p>
                  <w:pPr>
                    <w:pStyle w:val="Compact"/>
                  </w:pPr>
                </w:p>
              </w:tc>
              <w:tc>
                <w:tcPr/>
                <w:p>
                  <w:pPr>
                    <w:pStyle w:val="Compact"/>
                    <w:jc w:val="center"/>
                  </w:pPr>
                  <w:r>
                    <w:t xml:space="preserve">(0.051)</w:t>
                  </w:r>
                </w:p>
              </w:tc>
              <w:tc>
                <w:tcPr/>
                <w:p>
                  <w:pPr>
                    <w:pStyle w:val="Compact"/>
                  </w:pPr>
                </w:p>
              </w:tc>
              <w:tc>
                <w:tcPr/>
                <w:p>
                  <w:pPr>
                    <w:pStyle w:val="Compact"/>
                  </w:pPr>
                </w:p>
              </w:tc>
              <w:tc>
                <w:tcPr/>
                <w:p>
                  <w:pPr>
                    <w:pStyle w:val="Compact"/>
                    <w:jc w:val="center"/>
                  </w:pPr>
                  <w:r>
                    <w:t xml:space="preserve">(0.050)</w:t>
                  </w:r>
                </w:p>
              </w:tc>
              <w:tc>
                <w:tcPr/>
                <w:p>
                  <w:pPr>
                    <w:pStyle w:val="Compact"/>
                    <w:jc w:val="center"/>
                  </w:pPr>
                  <w:r>
                    <w:t xml:space="preserve">(0.046)</w:t>
                  </w:r>
                </w:p>
              </w:tc>
            </w:tr>
            <w:tr>
              <w:tc>
                <w:tcPr/>
                <w:p>
                  <w:pPr>
                    <w:pStyle w:val="Compact"/>
                    <w:jc w:val="center"/>
                  </w:pPr>
                  <w:r>
                    <w:t xml:space="preserve">Black population share</w:t>
                  </w:r>
                </w:p>
              </w:tc>
              <w:tc>
                <w:tcPr/>
                <w:p>
                  <w:pPr>
                    <w:pStyle w:val="Compact"/>
                    <w:jc w:val="center"/>
                  </w:pPr>
                  <w:r>
                    <w:t xml:space="preserve">-0.029</w:t>
                  </w:r>
                </w:p>
              </w:tc>
              <w:tc>
                <w:tcPr/>
                <w:p>
                  <w:pPr>
                    <w:pStyle w:val="Compact"/>
                  </w:pPr>
                </w:p>
              </w:tc>
              <w:tc>
                <w:tcPr/>
                <w:p>
                  <w:pPr>
                    <w:pStyle w:val="Compact"/>
                  </w:pPr>
                </w:p>
              </w:tc>
              <w:tc>
                <w:tcPr/>
                <w:p>
                  <w:pPr>
                    <w:pStyle w:val="Compact"/>
                    <w:jc w:val="center"/>
                  </w:pPr>
                  <w:r>
                    <w:t xml:space="preserve">-0.003</w:t>
                  </w:r>
                </w:p>
              </w:tc>
              <w:tc>
                <w:tcPr/>
                <w:p>
                  <w:pPr>
                    <w:pStyle w:val="Compact"/>
                    <w:jc w:val="center"/>
                  </w:pPr>
                  <w:r>
                    <w:t xml:space="preserve">0.036</w:t>
                  </w:r>
                </w:p>
              </w:tc>
            </w:tr>
            <w:tr>
              <w:tc>
                <w:tcPr/>
                <w:p>
                  <w:pPr>
                    <w:pStyle w:val="Compact"/>
                  </w:pPr>
                </w:p>
              </w:tc>
              <w:tc>
                <w:tcPr/>
                <w:p>
                  <w:pPr>
                    <w:pStyle w:val="Compact"/>
                    <w:jc w:val="center"/>
                  </w:pPr>
                  <w:r>
                    <w:t xml:space="preserve">(0.138)</w:t>
                  </w:r>
                </w:p>
              </w:tc>
              <w:tc>
                <w:tcPr/>
                <w:p>
                  <w:pPr>
                    <w:pStyle w:val="Compact"/>
                  </w:pPr>
                </w:p>
              </w:tc>
              <w:tc>
                <w:tcPr/>
                <w:p>
                  <w:pPr>
                    <w:pStyle w:val="Compact"/>
                  </w:pPr>
                </w:p>
              </w:tc>
              <w:tc>
                <w:tcPr/>
                <w:p>
                  <w:pPr>
                    <w:pStyle w:val="Compact"/>
                    <w:jc w:val="center"/>
                  </w:pPr>
                  <w:r>
                    <w:t xml:space="preserve">(0.137)</w:t>
                  </w:r>
                </w:p>
              </w:tc>
              <w:tc>
                <w:tcPr/>
                <w:p>
                  <w:pPr>
                    <w:pStyle w:val="Compact"/>
                    <w:jc w:val="center"/>
                  </w:pPr>
                  <w:r>
                    <w:t xml:space="preserve">(0.116)</w:t>
                  </w:r>
                </w:p>
              </w:tc>
            </w:tr>
            <w:tr>
              <w:tc>
                <w:tcPr/>
                <w:p>
                  <w:pPr>
                    <w:pStyle w:val="Compact"/>
                    <w:jc w:val="center"/>
                  </w:pPr>
                  <w:r>
                    <w:t xml:space="preserve">Poverty share</w:t>
                  </w:r>
                </w:p>
              </w:tc>
              <w:tc>
                <w:tcPr/>
                <w:p>
                  <w:pPr>
                    <w:pStyle w:val="Compact"/>
                    <w:jc w:val="center"/>
                  </w:pPr>
                  <w:r>
                    <w:t xml:space="preserve">0.031</w:t>
                  </w:r>
                </w:p>
              </w:tc>
              <w:tc>
                <w:tcPr/>
                <w:p>
                  <w:pPr>
                    <w:pStyle w:val="Compact"/>
                  </w:pPr>
                </w:p>
              </w:tc>
              <w:tc>
                <w:tcPr/>
                <w:p>
                  <w:pPr>
                    <w:pStyle w:val="Compact"/>
                  </w:pPr>
                </w:p>
              </w:tc>
              <w:tc>
                <w:tcPr/>
                <w:p>
                  <w:pPr>
                    <w:pStyle w:val="Compact"/>
                    <w:jc w:val="center"/>
                  </w:pPr>
                  <w:r>
                    <w:t xml:space="preserve">0.031</w:t>
                  </w:r>
                </w:p>
              </w:tc>
              <w:tc>
                <w:tcPr/>
                <w:p>
                  <w:pPr>
                    <w:pStyle w:val="Compact"/>
                    <w:jc w:val="center"/>
                  </w:pPr>
                  <w:r>
                    <w:t xml:space="preserve">-0.003</w:t>
                  </w:r>
                </w:p>
              </w:tc>
            </w:tr>
            <w:tr>
              <w:tc>
                <w:tcPr/>
                <w:p>
                  <w:pPr>
                    <w:pStyle w:val="Compact"/>
                  </w:pPr>
                </w:p>
              </w:tc>
              <w:tc>
                <w:tcPr/>
                <w:p>
                  <w:pPr>
                    <w:pStyle w:val="Compact"/>
                    <w:jc w:val="center"/>
                  </w:pPr>
                  <w:r>
                    <w:t xml:space="preserve">(0.030)</w:t>
                  </w:r>
                </w:p>
              </w:tc>
              <w:tc>
                <w:tcPr/>
                <w:p>
                  <w:pPr>
                    <w:pStyle w:val="Compact"/>
                  </w:pPr>
                </w:p>
              </w:tc>
              <w:tc>
                <w:tcPr/>
                <w:p>
                  <w:pPr>
                    <w:pStyle w:val="Compact"/>
                  </w:pPr>
                </w:p>
              </w:tc>
              <w:tc>
                <w:tcPr/>
                <w:p>
                  <w:pPr>
                    <w:pStyle w:val="Compact"/>
                    <w:jc w:val="center"/>
                  </w:pPr>
                  <w:r>
                    <w:t xml:space="preserve">(0.029)</w:t>
                  </w:r>
                </w:p>
              </w:tc>
              <w:tc>
                <w:tcPr/>
                <w:p>
                  <w:pPr>
                    <w:pStyle w:val="Compact"/>
                    <w:jc w:val="center"/>
                  </w:pPr>
                  <w:r>
                    <w:t xml:space="preserve">(0.026)</w:t>
                  </w:r>
                </w:p>
              </w:tc>
            </w:tr>
            <w:tr>
              <w:tc>
                <w:tcPr/>
                <w:p>
                  <w:pPr>
                    <w:pStyle w:val="Compact"/>
                    <w:jc w:val="center"/>
                  </w:pPr>
                  <w:r>
                    <w:t xml:space="preserve">Population, log</w:t>
                  </w:r>
                </w:p>
              </w:tc>
              <w:tc>
                <w:tcPr/>
                <w:p>
                  <w:pPr>
                    <w:pStyle w:val="Compact"/>
                    <w:jc w:val="center"/>
                  </w:pPr>
                  <w:r>
                    <w:t xml:space="preserve">0.394</w:t>
                  </w:r>
                </w:p>
              </w:tc>
              <w:tc>
                <w:tcPr/>
                <w:p>
                  <w:pPr>
                    <w:pStyle w:val="Compact"/>
                  </w:pPr>
                </w:p>
              </w:tc>
              <w:tc>
                <w:tcPr/>
                <w:p>
                  <w:pPr>
                    <w:pStyle w:val="Compact"/>
                  </w:pPr>
                </w:p>
              </w:tc>
              <w:tc>
                <w:tcPr/>
                <w:p>
                  <w:pPr>
                    <w:pStyle w:val="Compact"/>
                    <w:jc w:val="center"/>
                  </w:pPr>
                  <w:r>
                    <w:t xml:space="preserve">0.338</w:t>
                  </w:r>
                </w:p>
              </w:tc>
              <w:tc>
                <w:tcPr/>
                <w:p>
                  <w:pPr>
                    <w:pStyle w:val="Compact"/>
                    <w:jc w:val="center"/>
                  </w:pPr>
                  <w:r>
                    <w:t xml:space="preserve">0.282</w:t>
                  </w:r>
                </w:p>
              </w:tc>
            </w:tr>
            <w:tr>
              <w:tc>
                <w:tcPr/>
                <w:p>
                  <w:pPr>
                    <w:pStyle w:val="Compact"/>
                  </w:pPr>
                </w:p>
              </w:tc>
              <w:tc>
                <w:tcPr/>
                <w:p>
                  <w:pPr>
                    <w:pStyle w:val="Compact"/>
                    <w:jc w:val="center"/>
                  </w:pPr>
                  <w:r>
                    <w:t xml:space="preserve">(0.385)</w:t>
                  </w:r>
                </w:p>
              </w:tc>
              <w:tc>
                <w:tcPr/>
                <w:p>
                  <w:pPr>
                    <w:pStyle w:val="Compact"/>
                  </w:pPr>
                </w:p>
              </w:tc>
              <w:tc>
                <w:tcPr/>
                <w:p>
                  <w:pPr>
                    <w:pStyle w:val="Compact"/>
                  </w:pPr>
                </w:p>
              </w:tc>
              <w:tc>
                <w:tcPr/>
                <w:p>
                  <w:pPr>
                    <w:pStyle w:val="Compact"/>
                    <w:jc w:val="center"/>
                  </w:pPr>
                  <w:r>
                    <w:t xml:space="preserve">(0.389)</w:t>
                  </w:r>
                </w:p>
              </w:tc>
              <w:tc>
                <w:tcPr/>
                <w:p>
                  <w:pPr>
                    <w:pStyle w:val="Compact"/>
                    <w:jc w:val="center"/>
                  </w:pPr>
                  <w:r>
                    <w:t xml:space="preserve">(0.475)</w:t>
                  </w:r>
                </w:p>
              </w:tc>
            </w:tr>
            <w:tr>
              <w:tc>
                <w:tcPr/>
                <w:p>
                  <w:pPr>
                    <w:pStyle w:val="Compact"/>
                    <w:jc w:val="center"/>
                  </w:pPr>
                  <w:r>
                    <w:t xml:space="preserve">House price growth</w:t>
                  </w:r>
                </w:p>
              </w:tc>
              <w:tc>
                <w:tcPr/>
                <w:p>
                  <w:pPr>
                    <w:pStyle w:val="Compact"/>
                    <w:jc w:val="center"/>
                  </w:pPr>
                  <w:r>
                    <w:t xml:space="preserve">-0.014+</w:t>
                  </w:r>
                </w:p>
              </w:tc>
              <w:tc>
                <w:tcPr/>
                <w:p>
                  <w:pPr>
                    <w:pStyle w:val="Compact"/>
                  </w:pPr>
                </w:p>
              </w:tc>
              <w:tc>
                <w:tcPr/>
                <w:p>
                  <w:pPr>
                    <w:pStyle w:val="Compact"/>
                  </w:pPr>
                </w:p>
              </w:tc>
              <w:tc>
                <w:tcPr/>
                <w:p>
                  <w:pPr>
                    <w:pStyle w:val="Compact"/>
                    <w:jc w:val="center"/>
                  </w:pPr>
                  <w:r>
                    <w:t xml:space="preserve">-0.014+</w:t>
                  </w:r>
                </w:p>
              </w:tc>
              <w:tc>
                <w:tcPr/>
                <w:p>
                  <w:pPr>
                    <w:pStyle w:val="Compact"/>
                    <w:jc w:val="center"/>
                  </w:pPr>
                  <w:r>
                    <w:t xml:space="preserve">-0.016*</w:t>
                  </w:r>
                </w:p>
              </w:tc>
            </w:tr>
            <w:tr>
              <w:tc>
                <w:tcPr/>
                <w:p>
                  <w:pPr>
                    <w:pStyle w:val="Compact"/>
                  </w:pPr>
                </w:p>
              </w:tc>
              <w:tc>
                <w:tcPr/>
                <w:p>
                  <w:pPr>
                    <w:pStyle w:val="Compact"/>
                    <w:jc w:val="center"/>
                  </w:pPr>
                  <w:r>
                    <w:t xml:space="preserve">(0.008)</w:t>
                  </w:r>
                </w:p>
              </w:tc>
              <w:tc>
                <w:tcPr/>
                <w:p>
                  <w:pPr>
                    <w:pStyle w:val="Compact"/>
                  </w:pPr>
                </w:p>
              </w:tc>
              <w:tc>
                <w:tcPr/>
                <w:p>
                  <w:pPr>
                    <w:pStyle w:val="Compact"/>
                  </w:pPr>
                </w:p>
              </w:tc>
              <w:tc>
                <w:tcPr/>
                <w:p>
                  <w:pPr>
                    <w:pStyle w:val="Compact"/>
                    <w:jc w:val="center"/>
                  </w:pPr>
                  <w:r>
                    <w:t xml:space="preserve">(0.008)</w:t>
                  </w:r>
                </w:p>
              </w:tc>
              <w:tc>
                <w:tcPr/>
                <w:p>
                  <w:pPr>
                    <w:pStyle w:val="Compact"/>
                    <w:jc w:val="center"/>
                  </w:pPr>
                  <w:r>
                    <w:t xml:space="preserve">(0.007)</w:t>
                  </w:r>
                </w:p>
              </w:tc>
            </w:tr>
            <w:tr>
              <w:tc>
                <w:tcPr/>
                <w:p>
                  <w:pPr>
                    <w:pStyle w:val="Compact"/>
                    <w:jc w:val="center"/>
                  </w:pPr>
                  <w:r>
                    <w:t xml:space="preserve">Income, log</w:t>
                  </w:r>
                </w:p>
              </w:tc>
              <w:tc>
                <w:tcPr/>
                <w:p>
                  <w:pPr>
                    <w:pStyle w:val="Compact"/>
                    <w:jc w:val="center"/>
                  </w:pPr>
                  <w:r>
                    <w:t xml:space="preserve">-0.017</w:t>
                  </w:r>
                </w:p>
              </w:tc>
              <w:tc>
                <w:tcPr/>
                <w:p>
                  <w:pPr>
                    <w:pStyle w:val="Compact"/>
                  </w:pPr>
                </w:p>
              </w:tc>
              <w:tc>
                <w:tcPr/>
                <w:p>
                  <w:pPr>
                    <w:pStyle w:val="Compact"/>
                  </w:pPr>
                </w:p>
              </w:tc>
              <w:tc>
                <w:tcPr/>
                <w:p>
                  <w:pPr>
                    <w:pStyle w:val="Compact"/>
                    <w:jc w:val="center"/>
                  </w:pPr>
                  <w:r>
                    <w:t xml:space="preserve">-0.020</w:t>
                  </w:r>
                </w:p>
              </w:tc>
              <w:tc>
                <w:tcPr/>
                <w:p>
                  <w:pPr>
                    <w:pStyle w:val="Compact"/>
                    <w:jc w:val="center"/>
                  </w:pPr>
                  <w:r>
                    <w:t xml:space="preserve">0.004</w:t>
                  </w:r>
                </w:p>
              </w:tc>
            </w:tr>
            <w:tr>
              <w:tc>
                <w:tcPr/>
                <w:p>
                  <w:pPr>
                    <w:pStyle w:val="Compact"/>
                  </w:pPr>
                </w:p>
              </w:tc>
              <w:tc>
                <w:tcPr/>
                <w:p>
                  <w:pPr>
                    <w:pStyle w:val="Compact"/>
                    <w:jc w:val="center"/>
                  </w:pPr>
                  <w:r>
                    <w:t xml:space="preserve">(0.050)</w:t>
                  </w:r>
                </w:p>
              </w:tc>
              <w:tc>
                <w:tcPr/>
                <w:p>
                  <w:pPr>
                    <w:pStyle w:val="Compact"/>
                  </w:pPr>
                </w:p>
              </w:tc>
              <w:tc>
                <w:tcPr/>
                <w:p>
                  <w:pPr>
                    <w:pStyle w:val="Compact"/>
                  </w:pPr>
                </w:p>
              </w:tc>
              <w:tc>
                <w:tcPr/>
                <w:p>
                  <w:pPr>
                    <w:pStyle w:val="Compact"/>
                    <w:jc w:val="center"/>
                  </w:pPr>
                  <w:r>
                    <w:t xml:space="preserve">(0.050)</w:t>
                  </w:r>
                </w:p>
              </w:tc>
              <w:tc>
                <w:tcPr/>
                <w:p>
                  <w:pPr>
                    <w:pStyle w:val="Compact"/>
                    <w:jc w:val="center"/>
                  </w:pPr>
                  <w:r>
                    <w:t xml:space="preserve">(0.047)</w:t>
                  </w:r>
                </w:p>
              </w:tc>
            </w:tr>
            <w:tr>
              <w:tc>
                <w:tcPr/>
                <w:p>
                  <w:pPr>
                    <w:pStyle w:val="Compact"/>
                    <w:jc w:val="center"/>
                  </w:pPr>
                  <w:r>
                    <w:t xml:space="preserve">Labor tightness</w:t>
                  </w:r>
                </w:p>
              </w:tc>
              <w:tc>
                <w:tcPr/>
                <w:p>
                  <w:pPr>
                    <w:pStyle w:val="Compact"/>
                    <w:jc w:val="center"/>
                  </w:pPr>
                  <w:r>
                    <w:t xml:space="preserve">0.278***</w:t>
                  </w:r>
                </w:p>
              </w:tc>
              <w:tc>
                <w:tcPr/>
                <w:p>
                  <w:pPr>
                    <w:pStyle w:val="Compact"/>
                  </w:pPr>
                </w:p>
              </w:tc>
              <w:tc>
                <w:tcPr/>
                <w:p>
                  <w:pPr>
                    <w:pStyle w:val="Compact"/>
                  </w:pPr>
                </w:p>
              </w:tc>
              <w:tc>
                <w:tcPr/>
                <w:p>
                  <w:pPr>
                    <w:pStyle w:val="Compact"/>
                    <w:jc w:val="center"/>
                  </w:pPr>
                  <w:r>
                    <w:t xml:space="preserve">0.277***</w:t>
                  </w:r>
                </w:p>
              </w:tc>
              <w:tc>
                <w:tcPr/>
                <w:p>
                  <w:pPr>
                    <w:pStyle w:val="Compact"/>
                    <w:jc w:val="center"/>
                  </w:pPr>
                  <w:r>
                    <w:t xml:space="preserve">0.316***</w:t>
                  </w:r>
                </w:p>
              </w:tc>
            </w:tr>
            <w:tr>
              <w:tc>
                <w:tcPr/>
                <w:p>
                  <w:pPr>
                    <w:pStyle w:val="Compact"/>
                  </w:pPr>
                </w:p>
              </w:tc>
              <w:tc>
                <w:tcPr/>
                <w:p>
                  <w:pPr>
                    <w:pStyle w:val="Compact"/>
                    <w:jc w:val="center"/>
                  </w:pPr>
                  <w:r>
                    <w:t xml:space="preserve">(0.058)</w:t>
                  </w:r>
                </w:p>
              </w:tc>
              <w:tc>
                <w:tcPr/>
                <w:p>
                  <w:pPr>
                    <w:pStyle w:val="Compact"/>
                  </w:pPr>
                </w:p>
              </w:tc>
              <w:tc>
                <w:tcPr/>
                <w:p>
                  <w:pPr>
                    <w:pStyle w:val="Compact"/>
                  </w:pPr>
                </w:p>
              </w:tc>
              <w:tc>
                <w:tcPr/>
                <w:p>
                  <w:pPr>
                    <w:pStyle w:val="Compact"/>
                    <w:jc w:val="center"/>
                  </w:pPr>
                  <w:r>
                    <w:t xml:space="preserve">(0.058)</w:t>
                  </w:r>
                </w:p>
              </w:tc>
              <w:tc>
                <w:tcPr/>
                <w:p>
                  <w:pPr>
                    <w:pStyle w:val="Compact"/>
                    <w:jc w:val="center"/>
                  </w:pPr>
                  <w:r>
                    <w:t xml:space="preserve">(0.064)</w:t>
                  </w:r>
                </w:p>
              </w:tc>
            </w:tr>
            <w:tr>
              <w:tc>
                <w:tcPr/>
                <w:p>
                  <w:pPr>
                    <w:pStyle w:val="Compact"/>
                    <w:jc w:val="center"/>
                  </w:pPr>
                  <w:r>
                    <w:t xml:space="preserve">Patents per employee</w:t>
                  </w:r>
                </w:p>
              </w:tc>
              <w:tc>
                <w:tcPr/>
                <w:p>
                  <w:pPr>
                    <w:pStyle w:val="Compact"/>
                  </w:pPr>
                </w:p>
              </w:tc>
              <w:tc>
                <w:tcPr/>
                <w:p>
                  <w:pPr>
                    <w:pStyle w:val="Compact"/>
                    <w:jc w:val="center"/>
                  </w:pPr>
                  <w:r>
                    <w:t xml:space="preserve">0.023*</w:t>
                  </w:r>
                </w:p>
              </w:tc>
              <w:tc>
                <w:tcPr/>
                <w:p>
                  <w:pPr>
                    <w:pStyle w:val="Compact"/>
                  </w:pPr>
                </w:p>
              </w:tc>
              <w:tc>
                <w:tcPr/>
                <w:p>
                  <w:pPr>
                    <w:pStyle w:val="Compact"/>
                    <w:jc w:val="center"/>
                  </w:pPr>
                  <w:r>
                    <w:t xml:space="preserve">0.029**</w:t>
                  </w:r>
                </w:p>
              </w:tc>
              <w:tc>
                <w:tcPr/>
                <w:p>
                  <w:pPr>
                    <w:pStyle w:val="Compact"/>
                    <w:jc w:val="center"/>
                  </w:pPr>
                  <w:r>
                    <w:t xml:space="preserve">0.031*</w:t>
                  </w:r>
                </w:p>
              </w:tc>
            </w:tr>
            <w:tr>
              <w:tc>
                <w:tcPr/>
                <w:p>
                  <w:pPr>
                    <w:pStyle w:val="Compact"/>
                  </w:pPr>
                </w:p>
              </w:tc>
              <w:tc>
                <w:tcPr/>
                <w:p>
                  <w:pPr>
                    <w:pStyle w:val="Compact"/>
                  </w:pPr>
                </w:p>
              </w:tc>
              <w:tc>
                <w:tcPr/>
                <w:p>
                  <w:pPr>
                    <w:pStyle w:val="Compact"/>
                    <w:jc w:val="center"/>
                  </w:pPr>
                  <w:r>
                    <w:t xml:space="preserve">(0.009)</w:t>
                  </w:r>
                </w:p>
              </w:tc>
              <w:tc>
                <w:tcPr/>
                <w:p>
                  <w:pPr>
                    <w:pStyle w:val="Compact"/>
                  </w:pPr>
                </w:p>
              </w:tc>
              <w:tc>
                <w:tcPr/>
                <w:p>
                  <w:pPr>
                    <w:pStyle w:val="Compact"/>
                    <w:jc w:val="center"/>
                  </w:pPr>
                  <w:r>
                    <w:t xml:space="preserve">(0.011)</w:t>
                  </w:r>
                </w:p>
              </w:tc>
              <w:tc>
                <w:tcPr/>
                <w:p>
                  <w:pPr>
                    <w:pStyle w:val="Compact"/>
                    <w:jc w:val="center"/>
                  </w:pPr>
                  <w:r>
                    <w:t xml:space="preserve">(0.014)</w:t>
                  </w:r>
                </w:p>
              </w:tc>
            </w:tr>
            <w:tr>
              <w:tc>
                <w:tcPr/>
                <w:p>
                  <w:pPr>
                    <w:pStyle w:val="Compact"/>
                    <w:jc w:val="center"/>
                  </w:pPr>
                  <w:r>
                    <w:t xml:space="preserve">AI patent share</w:t>
                  </w:r>
                </w:p>
              </w:tc>
              <w:tc>
                <w:tcPr/>
                <w:p>
                  <w:pPr>
                    <w:pStyle w:val="Compact"/>
                  </w:pPr>
                </w:p>
              </w:tc>
              <w:tc>
                <w:tcPr/>
                <w:p>
                  <w:pPr>
                    <w:pStyle w:val="Compact"/>
                    <w:jc w:val="center"/>
                  </w:pPr>
                  <w:r>
                    <w:t xml:space="preserve">0.011</w:t>
                  </w:r>
                </w:p>
              </w:tc>
              <w:tc>
                <w:tcPr/>
                <w:p>
                  <w:pPr>
                    <w:pStyle w:val="Compact"/>
                  </w:pPr>
                </w:p>
              </w:tc>
              <w:tc>
                <w:tcPr/>
                <w:p>
                  <w:pPr>
                    <w:pStyle w:val="Compact"/>
                    <w:jc w:val="center"/>
                  </w:pPr>
                  <w:r>
                    <w:t xml:space="preserve">0.007</w:t>
                  </w:r>
                </w:p>
              </w:tc>
              <w:tc>
                <w:tcPr/>
                <w:p>
                  <w:pPr>
                    <w:pStyle w:val="Compact"/>
                    <w:jc w:val="center"/>
                  </w:pPr>
                  <w:r>
                    <w:t xml:space="preserve">0.004</w:t>
                  </w:r>
                </w:p>
              </w:tc>
            </w:tr>
            <w:tr>
              <w:tc>
                <w:tcPr/>
                <w:p>
                  <w:pPr>
                    <w:pStyle w:val="Compact"/>
                  </w:pPr>
                </w:p>
              </w:tc>
              <w:tc>
                <w:tcPr/>
                <w:p>
                  <w:pPr>
                    <w:pStyle w:val="Compact"/>
                  </w:pPr>
                </w:p>
              </w:tc>
              <w:tc>
                <w:tcPr/>
                <w:p>
                  <w:pPr>
                    <w:pStyle w:val="Compact"/>
                    <w:jc w:val="center"/>
                  </w:pPr>
                  <w:r>
                    <w:t xml:space="preserve">(0.007)</w:t>
                  </w:r>
                </w:p>
              </w:tc>
              <w:tc>
                <w:tcPr/>
                <w:p>
                  <w:pPr>
                    <w:pStyle w:val="Compact"/>
                  </w:pPr>
                </w:p>
              </w:tc>
              <w:tc>
                <w:tcPr/>
                <w:p>
                  <w:pPr>
                    <w:pStyle w:val="Compact"/>
                    <w:jc w:val="center"/>
                  </w:pPr>
                  <w:r>
                    <w:t xml:space="preserve">(0.005)</w:t>
                  </w:r>
                </w:p>
              </w:tc>
              <w:tc>
                <w:tcPr/>
                <w:p>
                  <w:pPr>
                    <w:pStyle w:val="Compact"/>
                    <w:jc w:val="center"/>
                  </w:pPr>
                  <w:r>
                    <w:t xml:space="preserve">(0.004)</w:t>
                  </w:r>
                </w:p>
              </w:tc>
            </w:tr>
            <w:tr>
              <w:tc>
                <w:tcPr/>
                <w:p>
                  <w:pPr>
                    <w:pStyle w:val="Compact"/>
                    <w:jc w:val="center"/>
                  </w:pPr>
                  <w:r>
                    <w:t xml:space="preserve">Degrees per employee</w:t>
                  </w:r>
                </w:p>
              </w:tc>
              <w:tc>
                <w:tcPr/>
                <w:p>
                  <w:pPr>
                    <w:pStyle w:val="Compact"/>
                  </w:pPr>
                </w:p>
              </w:tc>
              <w:tc>
                <w:tcPr/>
                <w:p>
                  <w:pPr>
                    <w:pStyle w:val="Compact"/>
                    <w:jc w:val="center"/>
                  </w:pPr>
                  <w:r>
                    <w:t xml:space="preserve">0.024</w:t>
                  </w:r>
                </w:p>
              </w:tc>
              <w:tc>
                <w:tcPr/>
                <w:p>
                  <w:pPr>
                    <w:pStyle w:val="Compact"/>
                  </w:pPr>
                </w:p>
              </w:tc>
              <w:tc>
                <w:tcPr/>
                <w:p>
                  <w:pPr>
                    <w:pStyle w:val="Compact"/>
                    <w:jc w:val="center"/>
                  </w:pPr>
                  <w:r>
                    <w:t xml:space="preserve">0.025</w:t>
                  </w:r>
                </w:p>
              </w:tc>
              <w:tc>
                <w:tcPr/>
                <w:p>
                  <w:pPr>
                    <w:pStyle w:val="Compact"/>
                    <w:jc w:val="center"/>
                  </w:pPr>
                  <w:r>
                    <w:t xml:space="preserve">0.026</w:t>
                  </w:r>
                </w:p>
              </w:tc>
            </w:tr>
            <w:tr>
              <w:tc>
                <w:tcPr/>
                <w:p>
                  <w:pPr>
                    <w:pStyle w:val="Compact"/>
                  </w:pPr>
                </w:p>
              </w:tc>
              <w:tc>
                <w:tcPr/>
                <w:p>
                  <w:pPr>
                    <w:pStyle w:val="Compact"/>
                  </w:pPr>
                </w:p>
              </w:tc>
              <w:tc>
                <w:tcPr/>
                <w:p>
                  <w:pPr>
                    <w:pStyle w:val="Compact"/>
                    <w:jc w:val="center"/>
                  </w:pPr>
                  <w:r>
                    <w:t xml:space="preserve">(0.026)</w:t>
                  </w:r>
                </w:p>
              </w:tc>
              <w:tc>
                <w:tcPr/>
                <w:p>
                  <w:pPr>
                    <w:pStyle w:val="Compact"/>
                  </w:pPr>
                </w:p>
              </w:tc>
              <w:tc>
                <w:tcPr/>
                <w:p>
                  <w:pPr>
                    <w:pStyle w:val="Compact"/>
                    <w:jc w:val="center"/>
                  </w:pPr>
                  <w:r>
                    <w:t xml:space="preserve">(0.022)</w:t>
                  </w:r>
                </w:p>
              </w:tc>
              <w:tc>
                <w:tcPr/>
                <w:p>
                  <w:pPr>
                    <w:pStyle w:val="Compact"/>
                    <w:jc w:val="center"/>
                  </w:pPr>
                  <w:r>
                    <w:t xml:space="preserve">(0.023)</w:t>
                  </w:r>
                </w:p>
              </w:tc>
            </w:tr>
            <w:tr>
              <w:tc>
                <w:tcPr/>
                <w:p>
                  <w:pPr>
                    <w:pStyle w:val="Compact"/>
                    <w:jc w:val="center"/>
                  </w:pPr>
                  <w:r>
                    <w:t xml:space="preserve">STEM degrees share</w:t>
                  </w:r>
                </w:p>
              </w:tc>
              <w:tc>
                <w:tcPr/>
                <w:p>
                  <w:pPr>
                    <w:pStyle w:val="Compact"/>
                  </w:pPr>
                </w:p>
              </w:tc>
              <w:tc>
                <w:tcPr/>
                <w:p>
                  <w:pPr>
                    <w:pStyle w:val="Compact"/>
                    <w:jc w:val="center"/>
                  </w:pPr>
                  <w:r>
                    <w:t xml:space="preserve">0.069**</w:t>
                  </w:r>
                </w:p>
              </w:tc>
              <w:tc>
                <w:tcPr/>
                <w:p>
                  <w:pPr>
                    <w:pStyle w:val="Compact"/>
                  </w:pPr>
                </w:p>
              </w:tc>
              <w:tc>
                <w:tcPr/>
                <w:p>
                  <w:pPr>
                    <w:pStyle w:val="Compact"/>
                    <w:jc w:val="center"/>
                  </w:pPr>
                  <w:r>
                    <w:t xml:space="preserve">0.047*</w:t>
                  </w:r>
                </w:p>
              </w:tc>
              <w:tc>
                <w:tcPr/>
                <w:p>
                  <w:pPr>
                    <w:pStyle w:val="Compact"/>
                    <w:jc w:val="center"/>
                  </w:pPr>
                  <w:r>
                    <w:t xml:space="preserve">0.037*</w:t>
                  </w:r>
                </w:p>
              </w:tc>
            </w:tr>
            <w:tr>
              <w:tc>
                <w:tcPr/>
                <w:p>
                  <w:pPr>
                    <w:pStyle w:val="Compact"/>
                  </w:pPr>
                </w:p>
              </w:tc>
              <w:tc>
                <w:tcPr/>
                <w:p>
                  <w:pPr>
                    <w:pStyle w:val="Compact"/>
                  </w:pPr>
                </w:p>
              </w:tc>
              <w:tc>
                <w:tcPr/>
                <w:p>
                  <w:pPr>
                    <w:pStyle w:val="Compact"/>
                    <w:jc w:val="center"/>
                  </w:pPr>
                  <w:r>
                    <w:t xml:space="preserve">(0.024)</w:t>
                  </w:r>
                </w:p>
              </w:tc>
              <w:tc>
                <w:tcPr/>
                <w:p>
                  <w:pPr>
                    <w:pStyle w:val="Compact"/>
                  </w:pPr>
                </w:p>
              </w:tc>
              <w:tc>
                <w:tcPr/>
                <w:p>
                  <w:pPr>
                    <w:pStyle w:val="Compact"/>
                    <w:jc w:val="center"/>
                  </w:pPr>
                  <w:r>
                    <w:t xml:space="preserve">(0.021)</w:t>
                  </w:r>
                </w:p>
              </w:tc>
              <w:tc>
                <w:tcPr/>
                <w:p>
                  <w:pPr>
                    <w:pStyle w:val="Compact"/>
                    <w:jc w:val="center"/>
                  </w:pPr>
                  <w:r>
                    <w:t xml:space="preserve">(0.018)</w:t>
                  </w:r>
                </w:p>
              </w:tc>
            </w:tr>
            <w:tr>
              <w:tc>
                <w:tcPr/>
                <w:p>
                  <w:pPr>
                    <w:pStyle w:val="Compact"/>
                    <w:jc w:val="center"/>
                  </w:pPr>
                  <w:r>
                    <w:t xml:space="preserve">Large establishments</w:t>
                  </w:r>
                </w:p>
              </w:tc>
              <w:tc>
                <w:tcPr/>
                <w:p>
                  <w:pPr>
                    <w:pStyle w:val="Compact"/>
                  </w:pPr>
                </w:p>
              </w:tc>
              <w:tc>
                <w:tcPr/>
                <w:p>
                  <w:pPr>
                    <w:pStyle w:val="Compact"/>
                  </w:pPr>
                </w:p>
              </w:tc>
              <w:tc>
                <w:tcPr/>
                <w:p>
                  <w:pPr>
                    <w:pStyle w:val="Compact"/>
                    <w:jc w:val="center"/>
                  </w:pPr>
                  <w:r>
                    <w:t xml:space="preserve">0.005</w:t>
                  </w:r>
                </w:p>
              </w:tc>
              <w:tc>
                <w:tcPr/>
                <w:p>
                  <w:pPr>
                    <w:pStyle w:val="Compact"/>
                    <w:jc w:val="center"/>
                  </w:pPr>
                  <w:r>
                    <w:t xml:space="preserve">-0.008</w:t>
                  </w:r>
                </w:p>
              </w:tc>
              <w:tc>
                <w:tcPr/>
                <w:p>
                  <w:pPr>
                    <w:pStyle w:val="Compact"/>
                    <w:jc w:val="center"/>
                  </w:pPr>
                  <w:r>
                    <w:t xml:space="preserve">-0.005</w:t>
                  </w:r>
                </w:p>
              </w:tc>
            </w:tr>
            <w:tr>
              <w:tc>
                <w:tcPr/>
                <w:p>
                  <w:pPr>
                    <w:pStyle w:val="Compact"/>
                  </w:pPr>
                </w:p>
              </w:tc>
              <w:tc>
                <w:tcPr/>
                <w:p>
                  <w:pPr>
                    <w:pStyle w:val="Compact"/>
                  </w:pPr>
                </w:p>
              </w:tc>
              <w:tc>
                <w:tcPr/>
                <w:p>
                  <w:pPr>
                    <w:pStyle w:val="Compact"/>
                  </w:pPr>
                </w:p>
              </w:tc>
              <w:tc>
                <w:tcPr/>
                <w:p>
                  <w:pPr>
                    <w:pStyle w:val="Compact"/>
                    <w:jc w:val="center"/>
                  </w:pPr>
                  <w:r>
                    <w:t xml:space="preserve">(0.024)</w:t>
                  </w:r>
                </w:p>
              </w:tc>
              <w:tc>
                <w:tcPr/>
                <w:p>
                  <w:pPr>
                    <w:pStyle w:val="Compact"/>
                    <w:jc w:val="center"/>
                  </w:pPr>
                  <w:r>
                    <w:t xml:space="preserve">(0.023)</w:t>
                  </w:r>
                </w:p>
              </w:tc>
              <w:tc>
                <w:tcPr/>
                <w:p>
                  <w:pPr>
                    <w:pStyle w:val="Compact"/>
                    <w:jc w:val="center"/>
                  </w:pPr>
                  <w:r>
                    <w:t xml:space="preserve">(0.024)</w:t>
                  </w:r>
                </w:p>
              </w:tc>
            </w:tr>
            <w:tr>
              <w:tc>
                <w:tcPr/>
                <w:p>
                  <w:pPr>
                    <w:pStyle w:val="Compact"/>
                    <w:jc w:val="center"/>
                  </w:pPr>
                  <w:r>
                    <w:t xml:space="preserve">ICT sector intensity</w:t>
                  </w:r>
                </w:p>
              </w:tc>
              <w:tc>
                <w:tcPr/>
                <w:p>
                  <w:pPr>
                    <w:pStyle w:val="Compact"/>
                  </w:pPr>
                </w:p>
              </w:tc>
              <w:tc>
                <w:tcPr/>
                <w:p>
                  <w:pPr>
                    <w:pStyle w:val="Compact"/>
                  </w:pPr>
                </w:p>
              </w:tc>
              <w:tc>
                <w:tcPr/>
                <w:p>
                  <w:pPr>
                    <w:pStyle w:val="Compact"/>
                    <w:jc w:val="center"/>
                  </w:pPr>
                  <w:r>
                    <w:t xml:space="preserve">0.012</w:t>
                  </w:r>
                </w:p>
              </w:tc>
              <w:tc>
                <w:tcPr/>
                <w:p>
                  <w:pPr>
                    <w:pStyle w:val="Compact"/>
                    <w:jc w:val="center"/>
                  </w:pPr>
                  <w:r>
                    <w:t xml:space="preserve">0.026+</w:t>
                  </w:r>
                </w:p>
              </w:tc>
              <w:tc>
                <w:tcPr/>
                <w:p>
                  <w:pPr>
                    <w:pStyle w:val="Compact"/>
                    <w:jc w:val="center"/>
                  </w:pPr>
                  <w:r>
                    <w:t xml:space="preserve">0.028*</w:t>
                  </w:r>
                </w:p>
              </w:tc>
            </w:tr>
            <w:tr>
              <w:tc>
                <w:tcPr/>
                <w:p>
                  <w:pPr>
                    <w:pStyle w:val="Compact"/>
                  </w:pPr>
                </w:p>
              </w:tc>
              <w:tc>
                <w:tcPr/>
                <w:p>
                  <w:pPr>
                    <w:pStyle w:val="Compact"/>
                  </w:pPr>
                </w:p>
              </w:tc>
              <w:tc>
                <w:tcPr/>
                <w:p>
                  <w:pPr>
                    <w:pStyle w:val="Compact"/>
                  </w:pPr>
                </w:p>
              </w:tc>
              <w:tc>
                <w:tcPr/>
                <w:p>
                  <w:pPr>
                    <w:pStyle w:val="Compact"/>
                    <w:jc w:val="center"/>
                  </w:pPr>
                  <w:r>
                    <w:t xml:space="preserve">(0.014)</w:t>
                  </w:r>
                </w:p>
              </w:tc>
              <w:tc>
                <w:tcPr/>
                <w:p>
                  <w:pPr>
                    <w:pStyle w:val="Compact"/>
                    <w:jc w:val="center"/>
                  </w:pPr>
                  <w:r>
                    <w:t xml:space="preserve">(0.014)</w:t>
                  </w:r>
                </w:p>
              </w:tc>
              <w:tc>
                <w:tcPr/>
                <w:p>
                  <w:pPr>
                    <w:pStyle w:val="Compact"/>
                    <w:jc w:val="center"/>
                  </w:pPr>
                  <w:r>
                    <w:t xml:space="preserve">(0.014)</w:t>
                  </w:r>
                </w:p>
              </w:tc>
            </w:tr>
            <w:tr>
              <w:tc>
                <w:tcPr/>
                <w:p>
                  <w:pPr>
                    <w:pStyle w:val="Compact"/>
                    <w:jc w:val="center"/>
                  </w:pPr>
                  <w:r>
                    <w:t xml:space="preserve">Manufacturing intensity</w:t>
                  </w:r>
                </w:p>
              </w:tc>
              <w:tc>
                <w:tcPr/>
                <w:p>
                  <w:pPr>
                    <w:pStyle w:val="Compact"/>
                  </w:pPr>
                </w:p>
              </w:tc>
              <w:tc>
                <w:tcPr/>
                <w:p>
                  <w:pPr>
                    <w:pStyle w:val="Compact"/>
                  </w:pPr>
                </w:p>
              </w:tc>
              <w:tc>
                <w:tcPr/>
                <w:p>
                  <w:pPr>
                    <w:pStyle w:val="Compact"/>
                    <w:jc w:val="center"/>
                  </w:pPr>
                  <w:r>
                    <w:t xml:space="preserve">-0.063***</w:t>
                  </w:r>
                </w:p>
              </w:tc>
              <w:tc>
                <w:tcPr/>
                <w:p>
                  <w:pPr>
                    <w:pStyle w:val="Compact"/>
                    <w:jc w:val="center"/>
                  </w:pPr>
                  <w:r>
                    <w:t xml:space="preserve">-0.033**</w:t>
                  </w:r>
                </w:p>
              </w:tc>
              <w:tc>
                <w:tcPr/>
                <w:p>
                  <w:pPr>
                    <w:pStyle w:val="Compact"/>
                    <w:jc w:val="center"/>
                  </w:pPr>
                  <w:r>
                    <w:t xml:space="preserve">-0.025*</w:t>
                  </w:r>
                </w:p>
              </w:tc>
            </w:tr>
            <w:tr>
              <w:tc>
                <w:tcPr/>
                <w:p>
                  <w:pPr>
                    <w:pStyle w:val="Compact"/>
                  </w:pPr>
                </w:p>
              </w:tc>
              <w:tc>
                <w:tcPr/>
                <w:p>
                  <w:pPr>
                    <w:pStyle w:val="Compact"/>
                  </w:pPr>
                </w:p>
              </w:tc>
              <w:tc>
                <w:tcPr/>
                <w:p>
                  <w:pPr>
                    <w:pStyle w:val="Compact"/>
                  </w:pPr>
                </w:p>
              </w:tc>
              <w:tc>
                <w:tcPr/>
                <w:p>
                  <w:pPr>
                    <w:pStyle w:val="Compact"/>
                    <w:jc w:val="center"/>
                  </w:pPr>
                  <w:r>
                    <w:t xml:space="preserve">(0.011)</w:t>
                  </w:r>
                </w:p>
              </w:tc>
              <w:tc>
                <w:tcPr/>
                <w:p>
                  <w:pPr>
                    <w:pStyle w:val="Compact"/>
                    <w:jc w:val="center"/>
                  </w:pPr>
                  <w:r>
                    <w:t xml:space="preserve">(0.011)</w:t>
                  </w:r>
                </w:p>
              </w:tc>
              <w:tc>
                <w:tcPr/>
                <w:p>
                  <w:pPr>
                    <w:pStyle w:val="Compact"/>
                    <w:jc w:val="center"/>
                  </w:pPr>
                  <w:r>
                    <w:t xml:space="preserve">(0.011)</w:t>
                  </w:r>
                </w:p>
              </w:tc>
            </w:tr>
            <w:tr>
              <w:tc>
                <w:tcPr/>
                <w:p>
                  <w:pPr>
                    <w:pStyle w:val="Compact"/>
                    <w:jc w:val="center"/>
                  </w:pPr>
                  <w:r>
                    <w:t xml:space="preserve">Turnover rate</w:t>
                  </w:r>
                </w:p>
              </w:tc>
              <w:tc>
                <w:tcPr/>
                <w:p>
                  <w:pPr>
                    <w:pStyle w:val="Compact"/>
                  </w:pPr>
                </w:p>
              </w:tc>
              <w:tc>
                <w:tcPr/>
                <w:p>
                  <w:pPr>
                    <w:pStyle w:val="Compact"/>
                  </w:pPr>
                </w:p>
              </w:tc>
              <w:tc>
                <w:tcPr/>
                <w:p>
                  <w:pPr>
                    <w:pStyle w:val="Compact"/>
                    <w:jc w:val="center"/>
                  </w:pPr>
                  <w:r>
                    <w:t xml:space="preserve">0.034*</w:t>
                  </w:r>
                </w:p>
              </w:tc>
              <w:tc>
                <w:tcPr/>
                <w:p>
                  <w:pPr>
                    <w:pStyle w:val="Compact"/>
                    <w:jc w:val="center"/>
                  </w:pPr>
                  <w:r>
                    <w:t xml:space="preserve">0.019</w:t>
                  </w:r>
                </w:p>
              </w:tc>
              <w:tc>
                <w:tcPr/>
                <w:p>
                  <w:pPr>
                    <w:pStyle w:val="Compact"/>
                    <w:jc w:val="center"/>
                  </w:pPr>
                  <w:r>
                    <w:t xml:space="preserve">0.015</w:t>
                  </w:r>
                </w:p>
              </w:tc>
            </w:tr>
            <w:tr>
              <w:tc>
                <w:tcPr/>
                <w:p>
                  <w:pPr>
                    <w:pStyle w:val="Compact"/>
                  </w:pPr>
                </w:p>
              </w:tc>
              <w:tc>
                <w:tcPr/>
                <w:p>
                  <w:pPr>
                    <w:pStyle w:val="Compact"/>
                  </w:pPr>
                </w:p>
              </w:tc>
              <w:tc>
                <w:tcPr/>
                <w:p>
                  <w:pPr>
                    <w:pStyle w:val="Compact"/>
                  </w:pPr>
                </w:p>
              </w:tc>
              <w:tc>
                <w:tcPr/>
                <w:p>
                  <w:pPr>
                    <w:pStyle w:val="Compact"/>
                    <w:jc w:val="center"/>
                  </w:pPr>
                  <w:r>
                    <w:t xml:space="preserve">(0.014)</w:t>
                  </w:r>
                </w:p>
              </w:tc>
              <w:tc>
                <w:tcPr/>
                <w:p>
                  <w:pPr>
                    <w:pStyle w:val="Compact"/>
                    <w:jc w:val="center"/>
                  </w:pPr>
                  <w:r>
                    <w:t xml:space="preserve">(0.014)</w:t>
                  </w:r>
                </w:p>
              </w:tc>
              <w:tc>
                <w:tcPr/>
                <w:p>
                  <w:pPr>
                    <w:pStyle w:val="Compact"/>
                    <w:jc w:val="center"/>
                  </w:pPr>
                  <w:r>
                    <w:t xml:space="preserve">(0.013)</w:t>
                  </w:r>
                </w:p>
              </w:tc>
            </w:tr>
            <w:tr>
              <w:tc>
                <w:tcPr/>
                <w:p>
                  <w:pPr>
                    <w:pStyle w:val="Compact"/>
                    <w:jc w:val="center"/>
                  </w:pPr>
                  <w:r>
                    <w:t xml:space="preserve">Num.Obs.</w:t>
                  </w:r>
                </w:p>
              </w:tc>
              <w:tc>
                <w:tcPr/>
                <w:p>
                  <w:pPr>
                    <w:pStyle w:val="Compact"/>
                    <w:jc w:val="center"/>
                  </w:pPr>
                  <w:r>
                    <w:t xml:space="preserve">24645</w:t>
                  </w:r>
                </w:p>
              </w:tc>
              <w:tc>
                <w:tcPr/>
                <w:p>
                  <w:pPr>
                    <w:pStyle w:val="Compact"/>
                    <w:jc w:val="center"/>
                  </w:pPr>
                  <w:r>
                    <w:t xml:space="preserve">24645</w:t>
                  </w:r>
                </w:p>
              </w:tc>
              <w:tc>
                <w:tcPr/>
                <w:p>
                  <w:pPr>
                    <w:pStyle w:val="Compact"/>
                    <w:jc w:val="center"/>
                  </w:pPr>
                  <w:r>
                    <w:t xml:space="preserve">24645</w:t>
                  </w:r>
                </w:p>
              </w:tc>
              <w:tc>
                <w:tcPr/>
                <w:p>
                  <w:pPr>
                    <w:pStyle w:val="Compact"/>
                    <w:jc w:val="center"/>
                  </w:pPr>
                  <w:r>
                    <w:t xml:space="preserve">24645</w:t>
                  </w:r>
                </w:p>
              </w:tc>
              <w:tc>
                <w:tcPr/>
                <w:p>
                  <w:pPr>
                    <w:pStyle w:val="Compact"/>
                    <w:jc w:val="center"/>
                  </w:pPr>
                  <w:r>
                    <w:t xml:space="preserve">24645</w:t>
                  </w:r>
                </w:p>
              </w:tc>
            </w:tr>
            <w:tr>
              <w:tc>
                <w:tcPr/>
                <w:p>
                  <w:pPr>
                    <w:pStyle w:val="Compact"/>
                    <w:jc w:val="center"/>
                  </w:pPr>
                  <w:r>
                    <w:t xml:space="preserve">R2</w:t>
                  </w:r>
                </w:p>
              </w:tc>
              <w:tc>
                <w:tcPr/>
                <w:p>
                  <w:pPr>
                    <w:pStyle w:val="Compact"/>
                    <w:jc w:val="center"/>
                  </w:pPr>
                  <w:r>
                    <w:t xml:space="preserve">0.697</w:t>
                  </w:r>
                </w:p>
              </w:tc>
              <w:tc>
                <w:tcPr/>
                <w:p>
                  <w:pPr>
                    <w:pStyle w:val="Compact"/>
                    <w:jc w:val="center"/>
                  </w:pPr>
                  <w:r>
                    <w:t xml:space="preserve">0.680</w:t>
                  </w:r>
                </w:p>
              </w:tc>
              <w:tc>
                <w:tcPr/>
                <w:p>
                  <w:pPr>
                    <w:pStyle w:val="Compact"/>
                    <w:jc w:val="center"/>
                  </w:pPr>
                  <w:r>
                    <w:t xml:space="preserve">0.680</w:t>
                  </w:r>
                </w:p>
              </w:tc>
              <w:tc>
                <w:tcPr/>
                <w:p>
                  <w:pPr>
                    <w:pStyle w:val="Compact"/>
                    <w:jc w:val="center"/>
                  </w:pPr>
                  <w:r>
                    <w:t xml:space="preserve">0.698</w:t>
                  </w:r>
                </w:p>
              </w:tc>
              <w:tc>
                <w:tcPr/>
                <w:p>
                  <w:pPr>
                    <w:pStyle w:val="Compact"/>
                    <w:jc w:val="center"/>
                  </w:pPr>
                  <w:r>
                    <w:t xml:space="preserve">0.716</w:t>
                  </w:r>
                </w:p>
              </w:tc>
            </w:tr>
            <w:tr>
              <w:tc>
                <w:tcPr/>
                <w:p>
                  <w:pPr>
                    <w:pStyle w:val="Compact"/>
                    <w:jc w:val="center"/>
                  </w:pPr>
                  <w:r>
                    <w:t xml:space="preserve">R2 Adj.</w:t>
                  </w:r>
                </w:p>
              </w:tc>
              <w:tc>
                <w:tcPr/>
                <w:p>
                  <w:pPr>
                    <w:pStyle w:val="Compact"/>
                    <w:jc w:val="center"/>
                  </w:pPr>
                  <w:r>
                    <w:t xml:space="preserve">0.662</w:t>
                  </w:r>
                </w:p>
              </w:tc>
              <w:tc>
                <w:tcPr/>
                <w:p>
                  <w:pPr>
                    <w:pStyle w:val="Compact"/>
                    <w:jc w:val="center"/>
                  </w:pPr>
                  <w:r>
                    <w:t xml:space="preserve">0.643</w:t>
                  </w:r>
                </w:p>
              </w:tc>
              <w:tc>
                <w:tcPr/>
                <w:p>
                  <w:pPr>
                    <w:pStyle w:val="Compact"/>
                    <w:jc w:val="center"/>
                  </w:pPr>
                  <w:r>
                    <w:t xml:space="preserve">0.643</w:t>
                  </w:r>
                </w:p>
              </w:tc>
              <w:tc>
                <w:tcPr/>
                <w:p>
                  <w:pPr>
                    <w:pStyle w:val="Compact"/>
                    <w:jc w:val="center"/>
                  </w:pPr>
                  <w:r>
                    <w:t xml:space="preserve">0.663</w:t>
                  </w:r>
                </w:p>
              </w:tc>
              <w:tc>
                <w:tcPr/>
                <w:p>
                  <w:pPr>
                    <w:pStyle w:val="Compact"/>
                    <w:jc w:val="center"/>
                  </w:pPr>
                  <w:r>
                    <w:t xml:space="preserve">0.676</w:t>
                  </w:r>
                </w:p>
              </w:tc>
            </w:tr>
            <w:tr>
              <w:tc>
                <w:tcPr/>
                <w:p>
                  <w:pPr>
                    <w:pStyle w:val="Compact"/>
                    <w:jc w:val="center"/>
                  </w:pPr>
                  <w:r>
                    <w:t xml:space="preserve">FE: COUNTY_FIPS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r>
            <w:tr>
              <w:tc>
                <w:tcPr/>
                <w:p>
                  <w:pPr>
                    <w:pStyle w:val="Compact"/>
                    <w:jc w:val="center"/>
                  </w:pPr>
                  <w:r>
                    <w:t xml:space="preserve">FE: Year</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r>
            <w:tr>
              <w:tc>
                <w:tcPr/>
                <w:p>
                  <w:pPr>
                    <w:pStyle w:val="Compact"/>
                    <w:jc w:val="center"/>
                  </w:pPr>
                  <w:r>
                    <w:t xml:space="preserve">FE: state_year</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gridSpan w:val="6"/>
                </w:tcPr>
                <w:p>
                  <w:pPr>
                    <w:pStyle w:val="Compact"/>
                    <w:numPr>
                      <w:ilvl w:val="0"/>
                      <w:numId w:val="1006"/>
                    </w:numPr>
                    <w:jc w:val="center"/>
                  </w:pPr>
                  <w:r>
                    <w:t xml:space="preserve">p &lt; 0.1, * p &lt; 0.05, ** p &lt; 0.01, *** p &lt; 0.001</w:t>
                  </w:r>
                </w:p>
              </w:tc>
            </w:tr>
          </w:tbl>
          <w:p>
            <w:pPr>
              <w:jc w:val="center"/>
            </w:pPr>
            <w:r>
              <w:rPr>
                <w:i/>
                <w:iCs/>
              </w:rPr>
              <w:t xml:space="preserve">Notes:</w:t>
            </w:r>
            <w:r>
              <w:t xml:space="preserve"> </w:t>
            </w:r>
            <w:r>
              <w:t xml:space="preserve">Standard errors are clustered by county in columns 1-4 and two-way by state-year and county in column 5.</w:t>
            </w:r>
          </w:p>
          <w:bookmarkEnd w:id="5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 w:name="tbl-full-table2"/>
          <w:p>
            <w:pPr>
              <w:jc w:val="center"/>
            </w:pPr>
            <w:pPr>
              <w:jc w:val="left"/>
              <w:spacing w:before="200"/>
              <w:pStyle w:val="ImageCaption"/>
            </w:pPr>
            <w:r>
              <w:t xml:space="preserve">Table 8: Full unselected output for AKCLM Table 2 reproduction</w:t>
            </w:r>
          </w:p>
          <w:tbl>
            <w:tblPr>
              <w:tblStyle w:val="Table"/>
              <w:tblW w:type="pct" w:w="4826"/>
              <w:tblLayout w:type="fixed"/>
              <w:tblLook w:firstRow="1" w:lastRow="1" w:firstColumn="0" w:lastColumn="0" w:noHBand="0" w:noVBand="0" w:val="0020"/>
            </w:tblPr>
            <w:tblGrid>
              <w:gridCol w:w="1790"/>
              <w:gridCol w:w="1308"/>
              <w:gridCol w:w="1170"/>
              <w:gridCol w:w="1033"/>
              <w:gridCol w:w="1308"/>
              <w:gridCol w:w="1033"/>
            </w:tblGrid>
            <w:tr>
              <w:trPr>
                <w:tblHeader w:val="on"/>
              </w:trPr>
              <w:tc>
                <w:tcPr/>
                <w:p>
                  <w:pPr>
                    <w:pStyle w:val="Compact"/>
                  </w:pPr>
                </w:p>
              </w:tc>
              <w:tc>
                <w:tcPr/>
                <w:p>
                  <w:pPr>
                    <w:pStyle w:val="Compact"/>
                    <w:numPr>
                      <w:ilvl w:val="0"/>
                      <w:numId w:val="1007"/>
                    </w:numPr>
                    <w:jc w:val="center"/>
                  </w:pPr>
                  <w:r>
                    <w:t xml:space="preserve">Demographics</w:t>
                  </w:r>
                </w:p>
              </w:tc>
              <w:tc>
                <w:tcPr/>
                <w:p>
                  <w:pPr>
                    <w:pStyle w:val="Compact"/>
                    <w:numPr>
                      <w:ilvl w:val="0"/>
                      <w:numId w:val="1008"/>
                    </w:numPr>
                    <w:jc w:val="center"/>
                  </w:pPr>
                  <w:r>
                    <w:t xml:space="preserve">Innovation</w:t>
                  </w:r>
                </w:p>
              </w:tc>
              <w:tc>
                <w:tcPr/>
                <w:p>
                  <w:pPr>
                    <w:pStyle w:val="Compact"/>
                    <w:numPr>
                      <w:ilvl w:val="0"/>
                      <w:numId w:val="1009"/>
                    </w:numPr>
                    <w:jc w:val="center"/>
                  </w:pPr>
                  <w:r>
                    <w:t xml:space="preserve">Industry</w:t>
                  </w:r>
                </w:p>
              </w:tc>
              <w:tc>
                <w:tcPr/>
                <w:p>
                  <w:pPr>
                    <w:pStyle w:val="Compact"/>
                    <w:numPr>
                      <w:ilvl w:val="0"/>
                      <w:numId w:val="1010"/>
                    </w:numPr>
                    <w:jc w:val="center"/>
                  </w:pPr>
                  <w:r>
                    <w:t xml:space="preserve">All controls</w:t>
                  </w:r>
                </w:p>
              </w:tc>
              <w:tc>
                <w:tcPr/>
                <w:p>
                  <w:pPr>
                    <w:pStyle w:val="Compact"/>
                    <w:numPr>
                      <w:ilvl w:val="0"/>
                      <w:numId w:val="1011"/>
                    </w:numPr>
                    <w:jc w:val="center"/>
                  </w:pPr>
                  <w:r>
                    <w:t xml:space="preserve">State FE</w:t>
                  </w:r>
                </w:p>
              </w:tc>
            </w:tr>
            <w:tr>
              <w:tc>
                <w:tcPr/>
                <w:p>
                  <w:pPr>
                    <w:pStyle w:val="Compact"/>
                    <w:jc w:val="center"/>
                  </w:pPr>
                  <w:r>
                    <w:t xml:space="preserve">(Intercept)</w:t>
                  </w:r>
                </w:p>
              </w:tc>
              <w:tc>
                <w:tcPr/>
                <w:p>
                  <w:pPr>
                    <w:pStyle w:val="Compact"/>
                    <w:jc w:val="center"/>
                  </w:pPr>
                  <w:r>
                    <w:t xml:space="preserve">0.329***</w:t>
                  </w:r>
                </w:p>
              </w:tc>
              <w:tc>
                <w:tcPr/>
                <w:p>
                  <w:pPr>
                    <w:pStyle w:val="Compact"/>
                    <w:jc w:val="center"/>
                  </w:pPr>
                  <w:r>
                    <w:t xml:space="preserve">0.324***</w:t>
                  </w:r>
                </w:p>
              </w:tc>
              <w:tc>
                <w:tcPr/>
                <w:p>
                  <w:pPr>
                    <w:pStyle w:val="Compact"/>
                    <w:jc w:val="center"/>
                  </w:pPr>
                  <w:r>
                    <w:t xml:space="preserve">0.324***</w:t>
                  </w:r>
                </w:p>
              </w:tc>
              <w:tc>
                <w:tcPr/>
                <w:p>
                  <w:pPr>
                    <w:pStyle w:val="Compact"/>
                    <w:jc w:val="center"/>
                  </w:pPr>
                  <w:r>
                    <w:t xml:space="preserve">0.319***</w:t>
                  </w:r>
                </w:p>
              </w:tc>
              <w:tc>
                <w:tcPr/>
                <w:p>
                  <w:pPr>
                    <w:pStyle w:val="Compact"/>
                  </w:pPr>
                </w:p>
              </w:tc>
            </w:tr>
            <w:tr>
              <w:tc>
                <w:tcPr/>
                <w:p>
                  <w:pPr>
                    <w:pStyle w:val="Compact"/>
                  </w:pPr>
                </w:p>
              </w:tc>
              <w:tc>
                <w:tcPr/>
                <w:p>
                  <w:pPr>
                    <w:pStyle w:val="Compact"/>
                    <w:jc w:val="center"/>
                  </w:pPr>
                  <w:r>
                    <w:t xml:space="preserve">(0.016)</w:t>
                  </w:r>
                </w:p>
              </w:tc>
              <w:tc>
                <w:tcPr/>
                <w:p>
                  <w:pPr>
                    <w:pStyle w:val="Compact"/>
                    <w:jc w:val="center"/>
                  </w:pPr>
                  <w:r>
                    <w:t xml:space="preserve">(0.015)</w:t>
                  </w:r>
                </w:p>
              </w:tc>
              <w:tc>
                <w:tcPr/>
                <w:p>
                  <w:pPr>
                    <w:pStyle w:val="Compact"/>
                    <w:jc w:val="center"/>
                  </w:pPr>
                  <w:r>
                    <w:t xml:space="preserve">(0.015)</w:t>
                  </w:r>
                </w:p>
              </w:tc>
              <w:tc>
                <w:tcPr/>
                <w:p>
                  <w:pPr>
                    <w:pStyle w:val="Compact"/>
                    <w:jc w:val="center"/>
                  </w:pPr>
                  <w:r>
                    <w:t xml:space="preserve">(0.017)</w:t>
                  </w:r>
                </w:p>
              </w:tc>
              <w:tc>
                <w:tcPr/>
                <w:p>
                  <w:pPr>
                    <w:pStyle w:val="Compact"/>
                  </w:pPr>
                </w:p>
              </w:tc>
            </w:tr>
            <w:tr>
              <w:tc>
                <w:tcPr/>
                <w:p>
                  <w:pPr>
                    <w:pStyle w:val="Compact"/>
                    <w:jc w:val="center"/>
                  </w:pPr>
                  <w:r>
                    <w:t xml:space="preserve">Bachelor’s share</w:t>
                  </w:r>
                </w:p>
              </w:tc>
              <w:tc>
                <w:tcPr/>
                <w:p>
                  <w:pPr>
                    <w:pStyle w:val="Compact"/>
                    <w:jc w:val="center"/>
                  </w:pPr>
                  <w:r>
                    <w:t xml:space="preserve">0.020</w:t>
                  </w:r>
                </w:p>
              </w:tc>
              <w:tc>
                <w:tcPr/>
                <w:p>
                  <w:pPr>
                    <w:pStyle w:val="Compact"/>
                  </w:pPr>
                </w:p>
              </w:tc>
              <w:tc>
                <w:tcPr/>
                <w:p>
                  <w:pPr>
                    <w:pStyle w:val="Compact"/>
                  </w:pPr>
                </w:p>
              </w:tc>
              <w:tc>
                <w:tcPr/>
                <w:p>
                  <w:pPr>
                    <w:pStyle w:val="Compact"/>
                    <w:jc w:val="center"/>
                  </w:pPr>
                  <w:r>
                    <w:t xml:space="preserve">-0.032</w:t>
                  </w:r>
                </w:p>
              </w:tc>
              <w:tc>
                <w:tcPr/>
                <w:p>
                  <w:pPr>
                    <w:pStyle w:val="Compact"/>
                    <w:jc w:val="center"/>
                  </w:pPr>
                  <w:r>
                    <w:t xml:space="preserve">-0.040</w:t>
                  </w:r>
                </w:p>
              </w:tc>
            </w:tr>
            <w:tr>
              <w:tc>
                <w:tcPr/>
                <w:p>
                  <w:pPr>
                    <w:pStyle w:val="Compact"/>
                  </w:pPr>
                </w:p>
              </w:tc>
              <w:tc>
                <w:tcPr/>
                <w:p>
                  <w:pPr>
                    <w:pStyle w:val="Compact"/>
                    <w:jc w:val="center"/>
                  </w:pPr>
                  <w:r>
                    <w:t xml:space="preserve">(0.025)</w:t>
                  </w:r>
                </w:p>
              </w:tc>
              <w:tc>
                <w:tcPr/>
                <w:p>
                  <w:pPr>
                    <w:pStyle w:val="Compact"/>
                  </w:pPr>
                </w:p>
              </w:tc>
              <w:tc>
                <w:tcPr/>
                <w:p>
                  <w:pPr>
                    <w:pStyle w:val="Compact"/>
                  </w:pPr>
                </w:p>
              </w:tc>
              <w:tc>
                <w:tcPr/>
                <w:p>
                  <w:pPr>
                    <w:pStyle w:val="Compact"/>
                    <w:jc w:val="center"/>
                  </w:pPr>
                  <w:r>
                    <w:t xml:space="preserve">(0.029)</w:t>
                  </w:r>
                </w:p>
              </w:tc>
              <w:tc>
                <w:tcPr/>
                <w:p>
                  <w:pPr>
                    <w:pStyle w:val="Compact"/>
                    <w:jc w:val="center"/>
                  </w:pPr>
                  <w:r>
                    <w:t xml:space="preserve">(0.026)</w:t>
                  </w:r>
                </w:p>
              </w:tc>
            </w:tr>
            <w:tr>
              <w:tc>
                <w:tcPr/>
                <w:p>
                  <w:pPr>
                    <w:pStyle w:val="Compact"/>
                    <w:jc w:val="center"/>
                  </w:pPr>
                  <w:r>
                    <w:t xml:space="preserve">Black population share</w:t>
                  </w:r>
                </w:p>
              </w:tc>
              <w:tc>
                <w:tcPr/>
                <w:p>
                  <w:pPr>
                    <w:pStyle w:val="Compact"/>
                    <w:jc w:val="center"/>
                  </w:pPr>
                  <w:r>
                    <w:t xml:space="preserve">0.006</w:t>
                  </w:r>
                </w:p>
              </w:tc>
              <w:tc>
                <w:tcPr/>
                <w:p>
                  <w:pPr>
                    <w:pStyle w:val="Compact"/>
                  </w:pPr>
                </w:p>
              </w:tc>
              <w:tc>
                <w:tcPr/>
                <w:p>
                  <w:pPr>
                    <w:pStyle w:val="Compact"/>
                  </w:pPr>
                </w:p>
              </w:tc>
              <w:tc>
                <w:tcPr/>
                <w:p>
                  <w:pPr>
                    <w:pStyle w:val="Compact"/>
                    <w:jc w:val="center"/>
                  </w:pPr>
                  <w:r>
                    <w:t xml:space="preserve">0.012</w:t>
                  </w:r>
                </w:p>
              </w:tc>
              <w:tc>
                <w:tcPr/>
                <w:p>
                  <w:pPr>
                    <w:pStyle w:val="Compact"/>
                    <w:jc w:val="center"/>
                  </w:pPr>
                  <w:r>
                    <w:t xml:space="preserve">0.023</w:t>
                  </w:r>
                </w:p>
              </w:tc>
            </w:tr>
            <w:tr>
              <w:tc>
                <w:tcPr/>
                <w:p>
                  <w:pPr>
                    <w:pStyle w:val="Compact"/>
                  </w:pPr>
                </w:p>
              </w:tc>
              <w:tc>
                <w:tcPr/>
                <w:p>
                  <w:pPr>
                    <w:pStyle w:val="Compact"/>
                    <w:jc w:val="center"/>
                  </w:pPr>
                  <w:r>
                    <w:t xml:space="preserve">(0.018)</w:t>
                  </w:r>
                </w:p>
              </w:tc>
              <w:tc>
                <w:tcPr/>
                <w:p>
                  <w:pPr>
                    <w:pStyle w:val="Compact"/>
                  </w:pPr>
                </w:p>
              </w:tc>
              <w:tc>
                <w:tcPr/>
                <w:p>
                  <w:pPr>
                    <w:pStyle w:val="Compact"/>
                  </w:pPr>
                </w:p>
              </w:tc>
              <w:tc>
                <w:tcPr/>
                <w:p>
                  <w:pPr>
                    <w:pStyle w:val="Compact"/>
                    <w:jc w:val="center"/>
                  </w:pPr>
                  <w:r>
                    <w:t xml:space="preserve">(0.019)</w:t>
                  </w:r>
                </w:p>
              </w:tc>
              <w:tc>
                <w:tcPr/>
                <w:p>
                  <w:pPr>
                    <w:pStyle w:val="Compact"/>
                    <w:jc w:val="center"/>
                  </w:pPr>
                  <w:r>
                    <w:t xml:space="preserve">(0.025)</w:t>
                  </w:r>
                </w:p>
              </w:tc>
            </w:tr>
            <w:tr>
              <w:tc>
                <w:tcPr/>
                <w:p>
                  <w:pPr>
                    <w:pStyle w:val="Compact"/>
                    <w:jc w:val="center"/>
                  </w:pPr>
                  <w:r>
                    <w:t xml:space="preserve">Poverty share</w:t>
                  </w:r>
                </w:p>
              </w:tc>
              <w:tc>
                <w:tcPr/>
                <w:p>
                  <w:pPr>
                    <w:pStyle w:val="Compact"/>
                    <w:jc w:val="center"/>
                  </w:pPr>
                  <w:r>
                    <w:t xml:space="preserve">0.063+</w:t>
                  </w:r>
                </w:p>
              </w:tc>
              <w:tc>
                <w:tcPr/>
                <w:p>
                  <w:pPr>
                    <w:pStyle w:val="Compact"/>
                  </w:pPr>
                </w:p>
              </w:tc>
              <w:tc>
                <w:tcPr/>
                <w:p>
                  <w:pPr>
                    <w:pStyle w:val="Compact"/>
                  </w:pPr>
                </w:p>
              </w:tc>
              <w:tc>
                <w:tcPr/>
                <w:p>
                  <w:pPr>
                    <w:pStyle w:val="Compact"/>
                    <w:jc w:val="center"/>
                  </w:pPr>
                  <w:r>
                    <w:t xml:space="preserve">0.027</w:t>
                  </w:r>
                </w:p>
              </w:tc>
              <w:tc>
                <w:tcPr/>
                <w:p>
                  <w:pPr>
                    <w:pStyle w:val="Compact"/>
                    <w:jc w:val="center"/>
                  </w:pPr>
                  <w:r>
                    <w:t xml:space="preserve">0.054</w:t>
                  </w:r>
                </w:p>
              </w:tc>
            </w:tr>
            <w:tr>
              <w:tc>
                <w:tcPr/>
                <w:p>
                  <w:pPr>
                    <w:pStyle w:val="Compact"/>
                  </w:pPr>
                </w:p>
              </w:tc>
              <w:tc>
                <w:tcPr/>
                <w:p>
                  <w:pPr>
                    <w:pStyle w:val="Compact"/>
                    <w:jc w:val="center"/>
                  </w:pPr>
                  <w:r>
                    <w:t xml:space="preserve">(0.033)</w:t>
                  </w:r>
                </w:p>
              </w:tc>
              <w:tc>
                <w:tcPr/>
                <w:p>
                  <w:pPr>
                    <w:pStyle w:val="Compact"/>
                  </w:pPr>
                </w:p>
              </w:tc>
              <w:tc>
                <w:tcPr/>
                <w:p>
                  <w:pPr>
                    <w:pStyle w:val="Compact"/>
                  </w:pPr>
                </w:p>
              </w:tc>
              <w:tc>
                <w:tcPr/>
                <w:p>
                  <w:pPr>
                    <w:pStyle w:val="Compact"/>
                    <w:jc w:val="center"/>
                  </w:pPr>
                  <w:r>
                    <w:t xml:space="preserve">(0.036)</w:t>
                  </w:r>
                </w:p>
              </w:tc>
              <w:tc>
                <w:tcPr/>
                <w:p>
                  <w:pPr>
                    <w:pStyle w:val="Compact"/>
                    <w:jc w:val="center"/>
                  </w:pPr>
                  <w:r>
                    <w:t xml:space="preserve">(0.050)</w:t>
                  </w:r>
                </w:p>
              </w:tc>
            </w:tr>
            <w:tr>
              <w:tc>
                <w:tcPr/>
                <w:p>
                  <w:pPr>
                    <w:pStyle w:val="Compact"/>
                    <w:jc w:val="center"/>
                  </w:pPr>
                  <w:r>
                    <w:t xml:space="preserve">Population growth</w:t>
                  </w:r>
                </w:p>
              </w:tc>
              <w:tc>
                <w:tcPr/>
                <w:p>
                  <w:pPr>
                    <w:pStyle w:val="Compact"/>
                    <w:jc w:val="center"/>
                  </w:pPr>
                  <w:r>
                    <w:t xml:space="preserve">-0.652</w:t>
                  </w:r>
                </w:p>
              </w:tc>
              <w:tc>
                <w:tcPr/>
                <w:p>
                  <w:pPr>
                    <w:pStyle w:val="Compact"/>
                  </w:pPr>
                </w:p>
              </w:tc>
              <w:tc>
                <w:tcPr/>
                <w:p>
                  <w:pPr>
                    <w:pStyle w:val="Compact"/>
                  </w:pPr>
                </w:p>
              </w:tc>
              <w:tc>
                <w:tcPr/>
                <w:p>
                  <w:pPr>
                    <w:pStyle w:val="Compact"/>
                    <w:jc w:val="center"/>
                  </w:pPr>
                  <w:r>
                    <w:t xml:space="preserve">0.072</w:t>
                  </w:r>
                </w:p>
              </w:tc>
              <w:tc>
                <w:tcPr/>
                <w:p>
                  <w:pPr>
                    <w:pStyle w:val="Compact"/>
                    <w:jc w:val="center"/>
                  </w:pPr>
                  <w:r>
                    <w:t xml:space="preserve">1.525</w:t>
                  </w:r>
                </w:p>
              </w:tc>
            </w:tr>
            <w:tr>
              <w:tc>
                <w:tcPr/>
                <w:p>
                  <w:pPr>
                    <w:pStyle w:val="Compact"/>
                  </w:pPr>
                </w:p>
              </w:tc>
              <w:tc>
                <w:tcPr/>
                <w:p>
                  <w:pPr>
                    <w:pStyle w:val="Compact"/>
                    <w:jc w:val="center"/>
                  </w:pPr>
                  <w:r>
                    <w:t xml:space="preserve">(1.580)</w:t>
                  </w:r>
                </w:p>
              </w:tc>
              <w:tc>
                <w:tcPr/>
                <w:p>
                  <w:pPr>
                    <w:pStyle w:val="Compact"/>
                  </w:pPr>
                </w:p>
              </w:tc>
              <w:tc>
                <w:tcPr/>
                <w:p>
                  <w:pPr>
                    <w:pStyle w:val="Compact"/>
                  </w:pPr>
                </w:p>
              </w:tc>
              <w:tc>
                <w:tcPr/>
                <w:p>
                  <w:pPr>
                    <w:pStyle w:val="Compact"/>
                    <w:jc w:val="center"/>
                  </w:pPr>
                  <w:r>
                    <w:t xml:space="preserve">(1.633)</w:t>
                  </w:r>
                </w:p>
              </w:tc>
              <w:tc>
                <w:tcPr/>
                <w:p>
                  <w:pPr>
                    <w:pStyle w:val="Compact"/>
                    <w:jc w:val="center"/>
                  </w:pPr>
                  <w:r>
                    <w:t xml:space="preserve">(1.798)</w:t>
                  </w:r>
                </w:p>
              </w:tc>
            </w:tr>
            <w:tr>
              <w:tc>
                <w:tcPr/>
                <w:p>
                  <w:pPr>
                    <w:pStyle w:val="Compact"/>
                    <w:jc w:val="center"/>
                  </w:pPr>
                  <w:r>
                    <w:t xml:space="preserve">House price growth</w:t>
                  </w:r>
                </w:p>
              </w:tc>
              <w:tc>
                <w:tcPr/>
                <w:p>
                  <w:pPr>
                    <w:pStyle w:val="Compact"/>
                    <w:jc w:val="center"/>
                  </w:pPr>
                  <w:r>
                    <w:t xml:space="preserve">-0.017</w:t>
                  </w:r>
                </w:p>
              </w:tc>
              <w:tc>
                <w:tcPr/>
                <w:p>
                  <w:pPr>
                    <w:pStyle w:val="Compact"/>
                  </w:pPr>
                </w:p>
              </w:tc>
              <w:tc>
                <w:tcPr/>
                <w:p>
                  <w:pPr>
                    <w:pStyle w:val="Compact"/>
                  </w:pPr>
                </w:p>
              </w:tc>
              <w:tc>
                <w:tcPr/>
                <w:p>
                  <w:pPr>
                    <w:pStyle w:val="Compact"/>
                    <w:jc w:val="center"/>
                  </w:pPr>
                  <w:r>
                    <w:t xml:space="preserve">-0.014</w:t>
                  </w:r>
                </w:p>
              </w:tc>
              <w:tc>
                <w:tcPr/>
                <w:p>
                  <w:pPr>
                    <w:pStyle w:val="Compact"/>
                    <w:jc w:val="center"/>
                  </w:pPr>
                  <w:r>
                    <w:t xml:space="preserve">0.007</w:t>
                  </w:r>
                </w:p>
              </w:tc>
            </w:tr>
            <w:tr>
              <w:tc>
                <w:tcPr/>
                <w:p>
                  <w:pPr>
                    <w:pStyle w:val="Compact"/>
                  </w:pPr>
                </w:p>
              </w:tc>
              <w:tc>
                <w:tcPr/>
                <w:p>
                  <w:pPr>
                    <w:pStyle w:val="Compact"/>
                    <w:jc w:val="center"/>
                  </w:pPr>
                  <w:r>
                    <w:t xml:space="preserve">(0.017)</w:t>
                  </w:r>
                </w:p>
              </w:tc>
              <w:tc>
                <w:tcPr/>
                <w:p>
                  <w:pPr>
                    <w:pStyle w:val="Compact"/>
                  </w:pPr>
                </w:p>
              </w:tc>
              <w:tc>
                <w:tcPr/>
                <w:p>
                  <w:pPr>
                    <w:pStyle w:val="Compact"/>
                  </w:pPr>
                </w:p>
              </w:tc>
              <w:tc>
                <w:tcPr/>
                <w:p>
                  <w:pPr>
                    <w:pStyle w:val="Compact"/>
                    <w:jc w:val="center"/>
                  </w:pPr>
                  <w:r>
                    <w:t xml:space="preserve">(0.017)</w:t>
                  </w:r>
                </w:p>
              </w:tc>
              <w:tc>
                <w:tcPr/>
                <w:p>
                  <w:pPr>
                    <w:pStyle w:val="Compact"/>
                    <w:jc w:val="center"/>
                  </w:pPr>
                  <w:r>
                    <w:t xml:space="preserve">(0.022)</w:t>
                  </w:r>
                </w:p>
              </w:tc>
            </w:tr>
            <w:tr>
              <w:tc>
                <w:tcPr/>
                <w:p>
                  <w:pPr>
                    <w:pStyle w:val="Compact"/>
                    <w:jc w:val="center"/>
                  </w:pPr>
                  <w:r>
                    <w:t xml:space="preserve">Income, log</w:t>
                  </w:r>
                </w:p>
              </w:tc>
              <w:tc>
                <w:tcPr/>
                <w:p>
                  <w:pPr>
                    <w:pStyle w:val="Compact"/>
                    <w:jc w:val="center"/>
                  </w:pPr>
                  <w:r>
                    <w:t xml:space="preserve">0.078*</w:t>
                  </w:r>
                </w:p>
              </w:tc>
              <w:tc>
                <w:tcPr/>
                <w:p>
                  <w:pPr>
                    <w:pStyle w:val="Compact"/>
                  </w:pPr>
                </w:p>
              </w:tc>
              <w:tc>
                <w:tcPr/>
                <w:p>
                  <w:pPr>
                    <w:pStyle w:val="Compact"/>
                  </w:pPr>
                </w:p>
              </w:tc>
              <w:tc>
                <w:tcPr/>
                <w:p>
                  <w:pPr>
                    <w:pStyle w:val="Compact"/>
                    <w:jc w:val="center"/>
                  </w:pPr>
                  <w:r>
                    <w:t xml:space="preserve">0.069+</w:t>
                  </w:r>
                </w:p>
              </w:tc>
              <w:tc>
                <w:tcPr/>
                <w:p>
                  <w:pPr>
                    <w:pStyle w:val="Compact"/>
                    <w:jc w:val="center"/>
                  </w:pPr>
                  <w:r>
                    <w:t xml:space="preserve">0.061</w:t>
                  </w:r>
                </w:p>
              </w:tc>
            </w:tr>
            <w:tr>
              <w:tc>
                <w:tcPr/>
                <w:p>
                  <w:pPr>
                    <w:pStyle w:val="Compact"/>
                  </w:pPr>
                </w:p>
              </w:tc>
              <w:tc>
                <w:tcPr/>
                <w:p>
                  <w:pPr>
                    <w:pStyle w:val="Compact"/>
                    <w:jc w:val="center"/>
                  </w:pPr>
                  <w:r>
                    <w:t xml:space="preserve">(0.038)</w:t>
                  </w:r>
                </w:p>
              </w:tc>
              <w:tc>
                <w:tcPr/>
                <w:p>
                  <w:pPr>
                    <w:pStyle w:val="Compact"/>
                  </w:pPr>
                </w:p>
              </w:tc>
              <w:tc>
                <w:tcPr/>
                <w:p>
                  <w:pPr>
                    <w:pStyle w:val="Compact"/>
                  </w:pPr>
                </w:p>
              </w:tc>
              <w:tc>
                <w:tcPr/>
                <w:p>
                  <w:pPr>
                    <w:pStyle w:val="Compact"/>
                    <w:jc w:val="center"/>
                  </w:pPr>
                  <w:r>
                    <w:t xml:space="preserve">(0.039)</w:t>
                  </w:r>
                </w:p>
              </w:tc>
              <w:tc>
                <w:tcPr/>
                <w:p>
                  <w:pPr>
                    <w:pStyle w:val="Compact"/>
                    <w:jc w:val="center"/>
                  </w:pPr>
                  <w:r>
                    <w:t xml:space="preserve">(0.044)</w:t>
                  </w:r>
                </w:p>
              </w:tc>
            </w:tr>
            <w:tr>
              <w:tc>
                <w:tcPr/>
                <w:p>
                  <w:pPr>
                    <w:pStyle w:val="Compact"/>
                    <w:jc w:val="center"/>
                  </w:pPr>
                  <w:r>
                    <w:t xml:space="preserve">Labor tightness</w:t>
                  </w:r>
                </w:p>
              </w:tc>
              <w:tc>
                <w:tcPr/>
                <w:p>
                  <w:pPr>
                    <w:pStyle w:val="Compact"/>
                    <w:jc w:val="center"/>
                  </w:pPr>
                  <w:r>
                    <w:t xml:space="preserve">0.074***</w:t>
                  </w:r>
                </w:p>
              </w:tc>
              <w:tc>
                <w:tcPr/>
                <w:p>
                  <w:pPr>
                    <w:pStyle w:val="Compact"/>
                  </w:pPr>
                </w:p>
              </w:tc>
              <w:tc>
                <w:tcPr/>
                <w:p>
                  <w:pPr>
                    <w:pStyle w:val="Compact"/>
                  </w:pPr>
                </w:p>
              </w:tc>
              <w:tc>
                <w:tcPr/>
                <w:p>
                  <w:pPr>
                    <w:pStyle w:val="Compact"/>
                    <w:jc w:val="center"/>
                  </w:pPr>
                  <w:r>
                    <w:t xml:space="preserve">0.073**</w:t>
                  </w:r>
                </w:p>
              </w:tc>
              <w:tc>
                <w:tcPr/>
                <w:p>
                  <w:pPr>
                    <w:pStyle w:val="Compact"/>
                    <w:jc w:val="center"/>
                  </w:pPr>
                  <w:r>
                    <w:t xml:space="preserve">0.073*</w:t>
                  </w:r>
                </w:p>
              </w:tc>
            </w:tr>
            <w:tr>
              <w:tc>
                <w:tcPr/>
                <w:p>
                  <w:pPr>
                    <w:pStyle w:val="Compact"/>
                  </w:pPr>
                </w:p>
              </w:tc>
              <w:tc>
                <w:tcPr/>
                <w:p>
                  <w:pPr>
                    <w:pStyle w:val="Compact"/>
                    <w:jc w:val="center"/>
                  </w:pPr>
                  <w:r>
                    <w:t xml:space="preserve">(0.021)</w:t>
                  </w:r>
                </w:p>
              </w:tc>
              <w:tc>
                <w:tcPr/>
                <w:p>
                  <w:pPr>
                    <w:pStyle w:val="Compact"/>
                  </w:pPr>
                </w:p>
              </w:tc>
              <w:tc>
                <w:tcPr/>
                <w:p>
                  <w:pPr>
                    <w:pStyle w:val="Compact"/>
                  </w:pPr>
                </w:p>
              </w:tc>
              <w:tc>
                <w:tcPr/>
                <w:p>
                  <w:pPr>
                    <w:pStyle w:val="Compact"/>
                    <w:jc w:val="center"/>
                  </w:pPr>
                  <w:r>
                    <w:t xml:space="preserve">(0.024)</w:t>
                  </w:r>
                </w:p>
              </w:tc>
              <w:tc>
                <w:tcPr/>
                <w:p>
                  <w:pPr>
                    <w:pStyle w:val="Compact"/>
                    <w:jc w:val="center"/>
                  </w:pPr>
                  <w:r>
                    <w:t xml:space="preserve">(0.035)</w:t>
                  </w:r>
                </w:p>
              </w:tc>
            </w:tr>
            <w:tr>
              <w:tc>
                <w:tcPr/>
                <w:p>
                  <w:pPr>
                    <w:pStyle w:val="Compact"/>
                    <w:jc w:val="center"/>
                  </w:pPr>
                  <w:r>
                    <w:t xml:space="preserve">Patents per employee</w:t>
                  </w:r>
                </w:p>
              </w:tc>
              <w:tc>
                <w:tcPr/>
                <w:p>
                  <w:pPr>
                    <w:pStyle w:val="Compact"/>
                  </w:pPr>
                </w:p>
              </w:tc>
              <w:tc>
                <w:tcPr/>
                <w:p>
                  <w:pPr>
                    <w:pStyle w:val="Compact"/>
                    <w:jc w:val="center"/>
                  </w:pPr>
                  <w:r>
                    <w:t xml:space="preserve">0.009</w:t>
                  </w:r>
                </w:p>
              </w:tc>
              <w:tc>
                <w:tcPr/>
                <w:p>
                  <w:pPr>
                    <w:pStyle w:val="Compact"/>
                  </w:pPr>
                </w:p>
              </w:tc>
              <w:tc>
                <w:tcPr/>
                <w:p>
                  <w:pPr>
                    <w:pStyle w:val="Compact"/>
                    <w:jc w:val="center"/>
                  </w:pPr>
                  <w:r>
                    <w:t xml:space="preserve">-0.014</w:t>
                  </w:r>
                </w:p>
              </w:tc>
              <w:tc>
                <w:tcPr/>
                <w:p>
                  <w:pPr>
                    <w:pStyle w:val="Compact"/>
                    <w:jc w:val="center"/>
                  </w:pPr>
                  <w:r>
                    <w:t xml:space="preserve">-0.002</w:t>
                  </w:r>
                </w:p>
              </w:tc>
            </w:tr>
            <w:tr>
              <w:tc>
                <w:tcPr/>
                <w:p>
                  <w:pPr>
                    <w:pStyle w:val="Compact"/>
                  </w:pPr>
                </w:p>
              </w:tc>
              <w:tc>
                <w:tcPr/>
                <w:p>
                  <w:pPr>
                    <w:pStyle w:val="Compact"/>
                  </w:pPr>
                </w:p>
              </w:tc>
              <w:tc>
                <w:tcPr/>
                <w:p>
                  <w:pPr>
                    <w:pStyle w:val="Compact"/>
                    <w:jc w:val="center"/>
                  </w:pPr>
                  <w:r>
                    <w:t xml:space="preserve">(0.014)</w:t>
                  </w:r>
                </w:p>
              </w:tc>
              <w:tc>
                <w:tcPr/>
                <w:p>
                  <w:pPr>
                    <w:pStyle w:val="Compact"/>
                  </w:pPr>
                </w:p>
              </w:tc>
              <w:tc>
                <w:tcPr/>
                <w:p>
                  <w:pPr>
                    <w:pStyle w:val="Compact"/>
                    <w:jc w:val="center"/>
                  </w:pPr>
                  <w:r>
                    <w:t xml:space="preserve">(0.015)</w:t>
                  </w:r>
                </w:p>
              </w:tc>
              <w:tc>
                <w:tcPr/>
                <w:p>
                  <w:pPr>
                    <w:pStyle w:val="Compact"/>
                    <w:jc w:val="center"/>
                  </w:pPr>
                  <w:r>
                    <w:t xml:space="preserve">(0.013)</w:t>
                  </w:r>
                </w:p>
              </w:tc>
            </w:tr>
            <w:tr>
              <w:tc>
                <w:tcPr/>
                <w:p>
                  <w:pPr>
                    <w:pStyle w:val="Compact"/>
                    <w:jc w:val="center"/>
                  </w:pPr>
                  <w:r>
                    <w:t xml:space="preserve">AI patent share</w:t>
                  </w:r>
                </w:p>
              </w:tc>
              <w:tc>
                <w:tcPr/>
                <w:p>
                  <w:pPr>
                    <w:pStyle w:val="Compact"/>
                  </w:pPr>
                </w:p>
              </w:tc>
              <w:tc>
                <w:tcPr/>
                <w:p>
                  <w:pPr>
                    <w:pStyle w:val="Compact"/>
                    <w:jc w:val="center"/>
                  </w:pPr>
                  <w:r>
                    <w:t xml:space="preserve">0.017</w:t>
                  </w:r>
                </w:p>
              </w:tc>
              <w:tc>
                <w:tcPr/>
                <w:p>
                  <w:pPr>
                    <w:pStyle w:val="Compact"/>
                  </w:pPr>
                </w:p>
              </w:tc>
              <w:tc>
                <w:tcPr/>
                <w:p>
                  <w:pPr>
                    <w:pStyle w:val="Compact"/>
                    <w:jc w:val="center"/>
                  </w:pPr>
                  <w:r>
                    <w:t xml:space="preserve">0.006</w:t>
                  </w:r>
                </w:p>
              </w:tc>
              <w:tc>
                <w:tcPr/>
                <w:p>
                  <w:pPr>
                    <w:pStyle w:val="Compact"/>
                    <w:jc w:val="center"/>
                  </w:pPr>
                  <w:r>
                    <w:t xml:space="preserve">0.013</w:t>
                  </w:r>
                </w:p>
              </w:tc>
            </w:tr>
            <w:tr>
              <w:tc>
                <w:tcPr/>
                <w:p>
                  <w:pPr>
                    <w:pStyle w:val="Compact"/>
                  </w:pPr>
                </w:p>
              </w:tc>
              <w:tc>
                <w:tcPr/>
                <w:p>
                  <w:pPr>
                    <w:pStyle w:val="Compact"/>
                  </w:pPr>
                </w:p>
              </w:tc>
              <w:tc>
                <w:tcPr/>
                <w:p>
                  <w:pPr>
                    <w:pStyle w:val="Compact"/>
                    <w:jc w:val="center"/>
                  </w:pPr>
                  <w:r>
                    <w:t xml:space="preserve">(0.015)</w:t>
                  </w:r>
                </w:p>
              </w:tc>
              <w:tc>
                <w:tcPr/>
                <w:p>
                  <w:pPr>
                    <w:pStyle w:val="Compact"/>
                  </w:pPr>
                </w:p>
              </w:tc>
              <w:tc>
                <w:tcPr/>
                <w:p>
                  <w:pPr>
                    <w:pStyle w:val="Compact"/>
                    <w:jc w:val="center"/>
                  </w:pPr>
                  <w:r>
                    <w:t xml:space="preserve">(0.016)</w:t>
                  </w:r>
                </w:p>
              </w:tc>
              <w:tc>
                <w:tcPr/>
                <w:p>
                  <w:pPr>
                    <w:pStyle w:val="Compact"/>
                    <w:jc w:val="center"/>
                  </w:pPr>
                  <w:r>
                    <w:t xml:space="preserve">(0.016)</w:t>
                  </w:r>
                </w:p>
              </w:tc>
            </w:tr>
            <w:tr>
              <w:tc>
                <w:tcPr/>
                <w:p>
                  <w:pPr>
                    <w:pStyle w:val="Compact"/>
                    <w:jc w:val="center"/>
                  </w:pPr>
                  <w:r>
                    <w:t xml:space="preserve">Degrees per employee</w:t>
                  </w:r>
                </w:p>
              </w:tc>
              <w:tc>
                <w:tcPr/>
                <w:p>
                  <w:pPr>
                    <w:pStyle w:val="Compact"/>
                  </w:pPr>
                </w:p>
              </w:tc>
              <w:tc>
                <w:tcPr/>
                <w:p>
                  <w:pPr>
                    <w:pStyle w:val="Compact"/>
                    <w:jc w:val="center"/>
                  </w:pPr>
                  <w:r>
                    <w:t xml:space="preserve">0.026</w:t>
                  </w:r>
                </w:p>
              </w:tc>
              <w:tc>
                <w:tcPr/>
                <w:p>
                  <w:pPr>
                    <w:pStyle w:val="Compact"/>
                  </w:pPr>
                </w:p>
              </w:tc>
              <w:tc>
                <w:tcPr/>
                <w:p>
                  <w:pPr>
                    <w:pStyle w:val="Compact"/>
                    <w:jc w:val="center"/>
                  </w:pPr>
                  <w:r>
                    <w:t xml:space="preserve">0.031</w:t>
                  </w:r>
                </w:p>
              </w:tc>
              <w:tc>
                <w:tcPr/>
                <w:p>
                  <w:pPr>
                    <w:pStyle w:val="Compact"/>
                    <w:jc w:val="center"/>
                  </w:pPr>
                  <w:r>
                    <w:t xml:space="preserve">0.022</w:t>
                  </w:r>
                </w:p>
              </w:tc>
            </w:tr>
            <w:tr>
              <w:tc>
                <w:tcPr/>
                <w:p>
                  <w:pPr>
                    <w:pStyle w:val="Compact"/>
                  </w:pPr>
                </w:p>
              </w:tc>
              <w:tc>
                <w:tcPr/>
                <w:p>
                  <w:pPr>
                    <w:pStyle w:val="Compact"/>
                  </w:pPr>
                </w:p>
              </w:tc>
              <w:tc>
                <w:tcPr/>
                <w:p>
                  <w:pPr>
                    <w:pStyle w:val="Compact"/>
                    <w:jc w:val="center"/>
                  </w:pPr>
                  <w:r>
                    <w:t xml:space="preserve">(0.017)</w:t>
                  </w:r>
                </w:p>
              </w:tc>
              <w:tc>
                <w:tcPr/>
                <w:p>
                  <w:pPr>
                    <w:pStyle w:val="Compact"/>
                  </w:pPr>
                </w:p>
              </w:tc>
              <w:tc>
                <w:tcPr/>
                <w:p>
                  <w:pPr>
                    <w:pStyle w:val="Compact"/>
                    <w:jc w:val="center"/>
                  </w:pPr>
                  <w:r>
                    <w:t xml:space="preserve">(0.020)</w:t>
                  </w:r>
                </w:p>
              </w:tc>
              <w:tc>
                <w:tcPr/>
                <w:p>
                  <w:pPr>
                    <w:pStyle w:val="Compact"/>
                    <w:jc w:val="center"/>
                  </w:pPr>
                  <w:r>
                    <w:t xml:space="preserve">(0.022)</w:t>
                  </w:r>
                </w:p>
              </w:tc>
            </w:tr>
            <w:tr>
              <w:tc>
                <w:tcPr/>
                <w:p>
                  <w:pPr>
                    <w:pStyle w:val="Compact"/>
                    <w:jc w:val="center"/>
                  </w:pPr>
                  <w:r>
                    <w:t xml:space="preserve">STEM degrees share</w:t>
                  </w:r>
                </w:p>
              </w:tc>
              <w:tc>
                <w:tcPr/>
                <w:p>
                  <w:pPr>
                    <w:pStyle w:val="Compact"/>
                  </w:pPr>
                </w:p>
              </w:tc>
              <w:tc>
                <w:tcPr/>
                <w:p>
                  <w:pPr>
                    <w:pStyle w:val="Compact"/>
                    <w:jc w:val="center"/>
                  </w:pPr>
                  <w:r>
                    <w:t xml:space="preserve">0.074***</w:t>
                  </w:r>
                </w:p>
              </w:tc>
              <w:tc>
                <w:tcPr/>
                <w:p>
                  <w:pPr>
                    <w:pStyle w:val="Compact"/>
                  </w:pPr>
                </w:p>
              </w:tc>
              <w:tc>
                <w:tcPr/>
                <w:p>
                  <w:pPr>
                    <w:pStyle w:val="Compact"/>
                    <w:jc w:val="center"/>
                  </w:pPr>
                  <w:r>
                    <w:t xml:space="preserve">0.054***</w:t>
                  </w:r>
                </w:p>
              </w:tc>
              <w:tc>
                <w:tcPr/>
                <w:p>
                  <w:pPr>
                    <w:pStyle w:val="Compact"/>
                    <w:jc w:val="center"/>
                  </w:pPr>
                  <w:r>
                    <w:t xml:space="preserve">0.046*</w:t>
                  </w:r>
                </w:p>
              </w:tc>
            </w:tr>
            <w:tr>
              <w:tc>
                <w:tcPr/>
                <w:p>
                  <w:pPr>
                    <w:pStyle w:val="Compact"/>
                  </w:pPr>
                </w:p>
              </w:tc>
              <w:tc>
                <w:tcPr/>
                <w:p>
                  <w:pPr>
                    <w:pStyle w:val="Compact"/>
                  </w:pPr>
                </w:p>
              </w:tc>
              <w:tc>
                <w:tcPr/>
                <w:p>
                  <w:pPr>
                    <w:pStyle w:val="Compact"/>
                    <w:jc w:val="center"/>
                  </w:pPr>
                  <w:r>
                    <w:t xml:space="preserve">(0.015)</w:t>
                  </w:r>
                </w:p>
              </w:tc>
              <w:tc>
                <w:tcPr/>
                <w:p>
                  <w:pPr>
                    <w:pStyle w:val="Compact"/>
                  </w:pPr>
                </w:p>
              </w:tc>
              <w:tc>
                <w:tcPr/>
                <w:p>
                  <w:pPr>
                    <w:pStyle w:val="Compact"/>
                    <w:jc w:val="center"/>
                  </w:pPr>
                  <w:r>
                    <w:t xml:space="preserve">(0.016)</w:t>
                  </w:r>
                </w:p>
              </w:tc>
              <w:tc>
                <w:tcPr/>
                <w:p>
                  <w:pPr>
                    <w:pStyle w:val="Compact"/>
                    <w:jc w:val="center"/>
                  </w:pPr>
                  <w:r>
                    <w:t xml:space="preserve">(0.018)</w:t>
                  </w:r>
                </w:p>
              </w:tc>
            </w:tr>
            <w:tr>
              <w:tc>
                <w:tcPr/>
                <w:p>
                  <w:pPr>
                    <w:pStyle w:val="Compact"/>
                    <w:jc w:val="center"/>
                  </w:pPr>
                  <w:r>
                    <w:t xml:space="preserve">Large establishments</w:t>
                  </w:r>
                </w:p>
              </w:tc>
              <w:tc>
                <w:tcPr/>
                <w:p>
                  <w:pPr>
                    <w:pStyle w:val="Compact"/>
                  </w:pPr>
                </w:p>
              </w:tc>
              <w:tc>
                <w:tcPr/>
                <w:p>
                  <w:pPr>
                    <w:pStyle w:val="Compact"/>
                  </w:pPr>
                </w:p>
              </w:tc>
              <w:tc>
                <w:tcPr/>
                <w:p>
                  <w:pPr>
                    <w:pStyle w:val="Compact"/>
                    <w:jc w:val="center"/>
                  </w:pPr>
                  <w:r>
                    <w:t xml:space="preserve">0.041*</w:t>
                  </w:r>
                </w:p>
              </w:tc>
              <w:tc>
                <w:tcPr/>
                <w:p>
                  <w:pPr>
                    <w:pStyle w:val="Compact"/>
                    <w:jc w:val="center"/>
                  </w:pPr>
                  <w:r>
                    <w:t xml:space="preserve">-0.016</w:t>
                  </w:r>
                </w:p>
              </w:tc>
              <w:tc>
                <w:tcPr/>
                <w:p>
                  <w:pPr>
                    <w:pStyle w:val="Compact"/>
                    <w:jc w:val="center"/>
                  </w:pPr>
                  <w:r>
                    <w:t xml:space="preserve">-0.016</w:t>
                  </w:r>
                </w:p>
              </w:tc>
            </w:tr>
            <w:tr>
              <w:tc>
                <w:tcPr/>
                <w:p>
                  <w:pPr>
                    <w:pStyle w:val="Compact"/>
                  </w:pPr>
                </w:p>
              </w:tc>
              <w:tc>
                <w:tcPr/>
                <w:p>
                  <w:pPr>
                    <w:pStyle w:val="Compact"/>
                  </w:pPr>
                </w:p>
              </w:tc>
              <w:tc>
                <w:tcPr/>
                <w:p>
                  <w:pPr>
                    <w:pStyle w:val="Compact"/>
                  </w:pPr>
                </w:p>
              </w:tc>
              <w:tc>
                <w:tcPr/>
                <w:p>
                  <w:pPr>
                    <w:pStyle w:val="Compact"/>
                    <w:jc w:val="center"/>
                  </w:pPr>
                  <w:r>
                    <w:t xml:space="preserve">(0.018)</w:t>
                  </w:r>
                </w:p>
              </w:tc>
              <w:tc>
                <w:tcPr/>
                <w:p>
                  <w:pPr>
                    <w:pStyle w:val="Compact"/>
                    <w:jc w:val="center"/>
                  </w:pPr>
                  <w:r>
                    <w:t xml:space="preserve">(0.022)</w:t>
                  </w:r>
                </w:p>
              </w:tc>
              <w:tc>
                <w:tcPr/>
                <w:p>
                  <w:pPr>
                    <w:pStyle w:val="Compact"/>
                    <w:jc w:val="center"/>
                  </w:pPr>
                  <w:r>
                    <w:t xml:space="preserve">(0.020)</w:t>
                  </w:r>
                </w:p>
              </w:tc>
            </w:tr>
            <w:tr>
              <w:tc>
                <w:tcPr/>
                <w:p>
                  <w:pPr>
                    <w:pStyle w:val="Compact"/>
                    <w:jc w:val="center"/>
                  </w:pPr>
                  <w:r>
                    <w:t xml:space="preserve">ICT sector intensity</w:t>
                  </w:r>
                </w:p>
              </w:tc>
              <w:tc>
                <w:tcPr/>
                <w:p>
                  <w:pPr>
                    <w:pStyle w:val="Compact"/>
                  </w:pPr>
                </w:p>
              </w:tc>
              <w:tc>
                <w:tcPr/>
                <w:p>
                  <w:pPr>
                    <w:pStyle w:val="Compact"/>
                  </w:pPr>
                </w:p>
              </w:tc>
              <w:tc>
                <w:tcPr/>
                <w:p>
                  <w:pPr>
                    <w:pStyle w:val="Compact"/>
                    <w:jc w:val="center"/>
                  </w:pPr>
                  <w:r>
                    <w:t xml:space="preserve">0.040**</w:t>
                  </w:r>
                </w:p>
              </w:tc>
              <w:tc>
                <w:tcPr/>
                <w:p>
                  <w:pPr>
                    <w:pStyle w:val="Compact"/>
                    <w:jc w:val="center"/>
                  </w:pPr>
                  <w:r>
                    <w:t xml:space="preserve">0.014</w:t>
                  </w:r>
                </w:p>
              </w:tc>
              <w:tc>
                <w:tcPr/>
                <w:p>
                  <w:pPr>
                    <w:pStyle w:val="Compact"/>
                    <w:jc w:val="center"/>
                  </w:pPr>
                  <w:r>
                    <w:t xml:space="preserve">0.022</w:t>
                  </w:r>
                </w:p>
              </w:tc>
            </w:tr>
            <w:tr>
              <w:tc>
                <w:tcPr/>
                <w:p>
                  <w:pPr>
                    <w:pStyle w:val="Compact"/>
                  </w:pPr>
                </w:p>
              </w:tc>
              <w:tc>
                <w:tcPr/>
                <w:p>
                  <w:pPr>
                    <w:pStyle w:val="Compact"/>
                  </w:pPr>
                </w:p>
              </w:tc>
              <w:tc>
                <w:tcPr/>
                <w:p>
                  <w:pPr>
                    <w:pStyle w:val="Compact"/>
                  </w:pPr>
                </w:p>
              </w:tc>
              <w:tc>
                <w:tcPr/>
                <w:p>
                  <w:pPr>
                    <w:pStyle w:val="Compact"/>
                    <w:jc w:val="center"/>
                  </w:pPr>
                  <w:r>
                    <w:t xml:space="preserve">(0.015)</w:t>
                  </w:r>
                </w:p>
              </w:tc>
              <w:tc>
                <w:tcPr/>
                <w:p>
                  <w:pPr>
                    <w:pStyle w:val="Compact"/>
                    <w:jc w:val="center"/>
                  </w:pPr>
                  <w:r>
                    <w:t xml:space="preserve">(0.017)</w:t>
                  </w:r>
                </w:p>
              </w:tc>
              <w:tc>
                <w:tcPr/>
                <w:p>
                  <w:pPr>
                    <w:pStyle w:val="Compact"/>
                    <w:jc w:val="center"/>
                  </w:pPr>
                  <w:r>
                    <w:t xml:space="preserve">(0.018)</w:t>
                  </w:r>
                </w:p>
              </w:tc>
            </w:tr>
            <w:tr>
              <w:tc>
                <w:tcPr/>
                <w:p>
                  <w:pPr>
                    <w:pStyle w:val="Compact"/>
                    <w:jc w:val="center"/>
                  </w:pPr>
                  <w:r>
                    <w:t xml:space="preserve">Manufacturing intensity</w:t>
                  </w:r>
                </w:p>
              </w:tc>
              <w:tc>
                <w:tcPr/>
                <w:p>
                  <w:pPr>
                    <w:pStyle w:val="Compact"/>
                  </w:pPr>
                </w:p>
              </w:tc>
              <w:tc>
                <w:tcPr/>
                <w:p>
                  <w:pPr>
                    <w:pStyle w:val="Compact"/>
                  </w:pPr>
                </w:p>
              </w:tc>
              <w:tc>
                <w:tcPr/>
                <w:p>
                  <w:pPr>
                    <w:pStyle w:val="Compact"/>
                    <w:jc w:val="center"/>
                  </w:pPr>
                  <w:r>
                    <w:t xml:space="preserve">-0.045**</w:t>
                  </w:r>
                </w:p>
              </w:tc>
              <w:tc>
                <w:tcPr/>
                <w:p>
                  <w:pPr>
                    <w:pStyle w:val="Compact"/>
                    <w:jc w:val="center"/>
                  </w:pPr>
                  <w:r>
                    <w:t xml:space="preserve">-0.013</w:t>
                  </w:r>
                </w:p>
              </w:tc>
              <w:tc>
                <w:tcPr/>
                <w:p>
                  <w:pPr>
                    <w:pStyle w:val="Compact"/>
                    <w:jc w:val="center"/>
                  </w:pPr>
                  <w:r>
                    <w:t xml:space="preserve">0.000</w:t>
                  </w:r>
                </w:p>
              </w:tc>
            </w:tr>
            <w:tr>
              <w:tc>
                <w:tcPr/>
                <w:p>
                  <w:pPr>
                    <w:pStyle w:val="Compact"/>
                  </w:pPr>
                </w:p>
              </w:tc>
              <w:tc>
                <w:tcPr/>
                <w:p>
                  <w:pPr>
                    <w:pStyle w:val="Compact"/>
                  </w:pPr>
                </w:p>
              </w:tc>
              <w:tc>
                <w:tcPr/>
                <w:p>
                  <w:pPr>
                    <w:pStyle w:val="Compact"/>
                  </w:pPr>
                </w:p>
              </w:tc>
              <w:tc>
                <w:tcPr/>
                <w:p>
                  <w:pPr>
                    <w:pStyle w:val="Compact"/>
                    <w:jc w:val="center"/>
                  </w:pPr>
                  <w:r>
                    <w:t xml:space="preserve">(0.017)</w:t>
                  </w:r>
                </w:p>
              </w:tc>
              <w:tc>
                <w:tcPr/>
                <w:p>
                  <w:pPr>
                    <w:pStyle w:val="Compact"/>
                    <w:jc w:val="center"/>
                  </w:pPr>
                  <w:r>
                    <w:t xml:space="preserve">(0.018)</w:t>
                  </w:r>
                </w:p>
              </w:tc>
              <w:tc>
                <w:tcPr/>
                <w:p>
                  <w:pPr>
                    <w:pStyle w:val="Compact"/>
                    <w:jc w:val="center"/>
                  </w:pPr>
                  <w:r>
                    <w:t xml:space="preserve">(0.020)</w:t>
                  </w:r>
                </w:p>
              </w:tc>
            </w:tr>
            <w:tr>
              <w:tc>
                <w:tcPr/>
                <w:p>
                  <w:pPr>
                    <w:pStyle w:val="Compact"/>
                    <w:jc w:val="center"/>
                  </w:pPr>
                  <w:r>
                    <w:t xml:space="preserve">Turnover rate</w:t>
                  </w:r>
                </w:p>
              </w:tc>
              <w:tc>
                <w:tcPr/>
                <w:p>
                  <w:pPr>
                    <w:pStyle w:val="Compact"/>
                  </w:pPr>
                </w:p>
              </w:tc>
              <w:tc>
                <w:tcPr/>
                <w:p>
                  <w:pPr>
                    <w:pStyle w:val="Compact"/>
                  </w:pPr>
                </w:p>
              </w:tc>
              <w:tc>
                <w:tcPr/>
                <w:p>
                  <w:pPr>
                    <w:pStyle w:val="Compact"/>
                    <w:jc w:val="center"/>
                  </w:pPr>
                  <w:r>
                    <w:t xml:space="preserve">-0.056*</w:t>
                  </w:r>
                </w:p>
              </w:tc>
              <w:tc>
                <w:tcPr/>
                <w:p>
                  <w:pPr>
                    <w:pStyle w:val="Compact"/>
                    <w:jc w:val="center"/>
                  </w:pPr>
                  <w:r>
                    <w:t xml:space="preserve">-0.042+</w:t>
                  </w:r>
                </w:p>
              </w:tc>
              <w:tc>
                <w:tcPr/>
                <w:p>
                  <w:pPr>
                    <w:pStyle w:val="Compact"/>
                    <w:jc w:val="center"/>
                  </w:pPr>
                  <w:r>
                    <w:t xml:space="preserve">-0.039</w:t>
                  </w:r>
                </w:p>
              </w:tc>
            </w:tr>
            <w:tr>
              <w:tc>
                <w:tcPr/>
                <w:p>
                  <w:pPr>
                    <w:pStyle w:val="Compact"/>
                  </w:pPr>
                </w:p>
              </w:tc>
              <w:tc>
                <w:tcPr/>
                <w:p>
                  <w:pPr>
                    <w:pStyle w:val="Compact"/>
                  </w:pPr>
                </w:p>
              </w:tc>
              <w:tc>
                <w:tcPr/>
                <w:p>
                  <w:pPr>
                    <w:pStyle w:val="Compact"/>
                  </w:pPr>
                </w:p>
              </w:tc>
              <w:tc>
                <w:tcPr/>
                <w:p>
                  <w:pPr>
                    <w:pStyle w:val="Compact"/>
                    <w:jc w:val="center"/>
                  </w:pPr>
                  <w:r>
                    <w:t xml:space="preserve">(0.022)</w:t>
                  </w:r>
                </w:p>
              </w:tc>
              <w:tc>
                <w:tcPr/>
                <w:p>
                  <w:pPr>
                    <w:pStyle w:val="Compact"/>
                    <w:jc w:val="center"/>
                  </w:pPr>
                  <w:r>
                    <w:t xml:space="preserve">(0.023)</w:t>
                  </w:r>
                </w:p>
              </w:tc>
              <w:tc>
                <w:tcPr/>
                <w:p>
                  <w:pPr>
                    <w:pStyle w:val="Compact"/>
                    <w:jc w:val="center"/>
                  </w:pPr>
                  <w:r>
                    <w:t xml:space="preserve">(0.027)</w:t>
                  </w:r>
                </w:p>
              </w:tc>
            </w:tr>
            <w:tr>
              <w:tc>
                <w:tcPr/>
                <w:p>
                  <w:pPr>
                    <w:pStyle w:val="Compact"/>
                    <w:jc w:val="center"/>
                  </w:pPr>
                  <w:r>
                    <w:t xml:space="preserve">Num.Obs.</w:t>
                  </w:r>
                </w:p>
              </w:tc>
              <w:tc>
                <w:tcPr/>
                <w:p>
                  <w:pPr>
                    <w:pStyle w:val="Compact"/>
                    <w:jc w:val="center"/>
                  </w:pPr>
                  <w:r>
                    <w:t xml:space="preserve">2473</w:t>
                  </w:r>
                </w:p>
              </w:tc>
              <w:tc>
                <w:tcPr/>
                <w:p>
                  <w:pPr>
                    <w:pStyle w:val="Compact"/>
                    <w:jc w:val="center"/>
                  </w:pPr>
                  <w:r>
                    <w:t xml:space="preserve">2473</w:t>
                  </w:r>
                </w:p>
              </w:tc>
              <w:tc>
                <w:tcPr/>
                <w:p>
                  <w:pPr>
                    <w:pStyle w:val="Compact"/>
                    <w:jc w:val="center"/>
                  </w:pPr>
                  <w:r>
                    <w:t xml:space="preserve">2473</w:t>
                  </w:r>
                </w:p>
              </w:tc>
              <w:tc>
                <w:tcPr/>
                <w:p>
                  <w:pPr>
                    <w:pStyle w:val="Compact"/>
                    <w:jc w:val="center"/>
                  </w:pPr>
                  <w:r>
                    <w:t xml:space="preserve">2473</w:t>
                  </w:r>
                </w:p>
              </w:tc>
              <w:tc>
                <w:tcPr/>
                <w:p>
                  <w:pPr>
                    <w:pStyle w:val="Compact"/>
                    <w:jc w:val="center"/>
                  </w:pPr>
                  <w:r>
                    <w:t xml:space="preserve">2473</w:t>
                  </w:r>
                </w:p>
              </w:tc>
            </w:tr>
            <w:tr>
              <w:tc>
                <w:tcPr/>
                <w:p>
                  <w:pPr>
                    <w:pStyle w:val="Compact"/>
                    <w:jc w:val="center"/>
                  </w:pPr>
                  <w:r>
                    <w:t xml:space="preserve">R2</w:t>
                  </w:r>
                </w:p>
              </w:tc>
              <w:tc>
                <w:tcPr/>
                <w:p>
                  <w:pPr>
                    <w:pStyle w:val="Compact"/>
                    <w:jc w:val="center"/>
                  </w:pPr>
                  <w:r>
                    <w:t xml:space="preserve">0.021</w:t>
                  </w:r>
                </w:p>
              </w:tc>
              <w:tc>
                <w:tcPr/>
                <w:p>
                  <w:pPr>
                    <w:pStyle w:val="Compact"/>
                    <w:jc w:val="center"/>
                  </w:pPr>
                  <w:r>
                    <w:t xml:space="preserve">0.019</w:t>
                  </w:r>
                </w:p>
              </w:tc>
              <w:tc>
                <w:tcPr/>
                <w:p>
                  <w:pPr>
                    <w:pStyle w:val="Compact"/>
                    <w:jc w:val="center"/>
                  </w:pPr>
                  <w:r>
                    <w:t xml:space="preserve">0.016</w:t>
                  </w:r>
                </w:p>
              </w:tc>
              <w:tc>
                <w:tcPr/>
                <w:p>
                  <w:pPr>
                    <w:pStyle w:val="Compact"/>
                    <w:jc w:val="center"/>
                  </w:pPr>
                  <w:r>
                    <w:t xml:space="preserve">0.031</w:t>
                  </w:r>
                </w:p>
              </w:tc>
              <w:tc>
                <w:tcPr/>
                <w:p>
                  <w:pPr>
                    <w:pStyle w:val="Compact"/>
                    <w:jc w:val="center"/>
                  </w:pPr>
                  <w:r>
                    <w:t xml:space="preserve">0.082</w:t>
                  </w:r>
                </w:p>
              </w:tc>
            </w:tr>
            <w:tr>
              <w:tc>
                <w:tcPr/>
                <w:p>
                  <w:pPr>
                    <w:pStyle w:val="Compact"/>
                    <w:jc w:val="center"/>
                  </w:pPr>
                  <w:r>
                    <w:t xml:space="preserve">R2 Adj.</w:t>
                  </w:r>
                </w:p>
              </w:tc>
              <w:tc>
                <w:tcPr/>
                <w:p>
                  <w:pPr>
                    <w:pStyle w:val="Compact"/>
                    <w:jc w:val="center"/>
                  </w:pPr>
                  <w:r>
                    <w:t xml:space="preserve">0.018</w:t>
                  </w:r>
                </w:p>
              </w:tc>
              <w:tc>
                <w:tcPr/>
                <w:p>
                  <w:pPr>
                    <w:pStyle w:val="Compact"/>
                    <w:jc w:val="center"/>
                  </w:pPr>
                  <w:r>
                    <w:t xml:space="preserve">0.018</w:t>
                  </w:r>
                </w:p>
              </w:tc>
              <w:tc>
                <w:tcPr/>
                <w:p>
                  <w:pPr>
                    <w:pStyle w:val="Compact"/>
                    <w:jc w:val="center"/>
                  </w:pPr>
                  <w:r>
                    <w:t xml:space="preserve">0.014</w:t>
                  </w:r>
                </w:p>
              </w:tc>
              <w:tc>
                <w:tcPr/>
                <w:p>
                  <w:pPr>
                    <w:pStyle w:val="Compact"/>
                    <w:jc w:val="center"/>
                  </w:pPr>
                  <w:r>
                    <w:t xml:space="preserve">0.026</w:t>
                  </w:r>
                </w:p>
              </w:tc>
              <w:tc>
                <w:tcPr/>
                <w:p>
                  <w:pPr>
                    <w:pStyle w:val="Compact"/>
                    <w:jc w:val="center"/>
                  </w:pPr>
                  <w:r>
                    <w:t xml:space="preserve">0.058</w:t>
                  </w:r>
                </w:p>
              </w:tc>
            </w:tr>
            <w:tr>
              <w:tc>
                <w:tcPr/>
                <w:p>
                  <w:pPr>
                    <w:pStyle w:val="Compact"/>
                    <w:jc w:val="center"/>
                  </w:pPr>
                  <w:r>
                    <w:t xml:space="preserve">FE: state</w:t>
                  </w:r>
                </w:p>
              </w:tc>
              <w:tc>
                <w:tcPr/>
                <w:p>
                  <w:pPr>
                    <w:pStyle w:val="Compact"/>
                  </w:pPr>
                </w:p>
              </w:tc>
              <w:tc>
                <w:tcPr/>
                <w:p>
                  <w:pPr>
                    <w:pStyle w:val="Compact"/>
                  </w:pPr>
                </w:p>
              </w:tc>
              <w:tc>
                <w:tcPr/>
                <w:p>
                  <w:pPr>
                    <w:pStyle w:val="Compact"/>
                  </w:pPr>
                </w:p>
              </w:tc>
              <w:tc>
                <w:tcPr/>
                <w:p>
                  <w:pPr>
                    <w:pStyle w:val="Compact"/>
                  </w:pPr>
                </w:p>
              </w:tc>
              <w:tc>
                <w:tcPr/>
                <w:p>
                  <w:pPr>
                    <w:pStyle w:val="Compact"/>
                    <w:jc w:val="center"/>
                  </w:pPr>
                  <w:r>
                    <w:t xml:space="preserve">X</w:t>
                  </w:r>
                </w:p>
              </w:tc>
            </w:tr>
            <w:tr>
              <w:tc>
                <w:tcPr>
                  <w:gridSpan w:val="6"/>
                </w:tcPr>
                <w:p>
                  <w:pPr>
                    <w:pStyle w:val="Compact"/>
                    <w:numPr>
                      <w:ilvl w:val="0"/>
                      <w:numId w:val="1012"/>
                    </w:numPr>
                    <w:jc w:val="center"/>
                  </w:pPr>
                  <w:r>
                    <w:t xml:space="preserve">p &lt; 0.1, * p &lt; 0.05, ** p &lt; 0.01, *** p &lt; 0.001</w:t>
                  </w:r>
                </w:p>
              </w:tc>
            </w:tr>
          </w:tbl>
          <w:p>
            <w:pPr>
              <w:jc w:val="center"/>
            </w:pPr>
            <w:r>
              <w:rPr>
                <w:i/>
                <w:iCs/>
              </w:rPr>
              <w:t xml:space="preserve">Notes:</w:t>
            </w:r>
            <w:r>
              <w:t xml:space="preserve"> </w:t>
            </w:r>
            <w:r>
              <w:t xml:space="preserve">Standard errors are IID in columns 1-4 and clustered by state in column 5.</w:t>
            </w:r>
          </w:p>
          <w:bookmarkEnd w:id="56"/>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7" w:name="tbl-table2-restriction"/>
          <w:p>
            <w:pPr>
              <w:jc w:val="center"/>
            </w:pPr>
            <w:pPr>
              <w:jc w:val="left"/>
              <w:spacing w:before="200"/>
              <w:pStyle w:val="ImageCaption"/>
            </w:pPr>
            <w:r>
              <w:t xml:space="preserve">Table 9: AKCLM Table 2 Model 4 with and without the growth-outcome restriction</w:t>
            </w:r>
          </w:p>
          <w:tbl>
            <w:tblPr>
              <w:tblStyle w:val="Table"/>
              <w:tblW w:type="pct" w:w="4375"/>
              <w:tblLayout w:type="fixed"/>
              <w:tblLook w:firstRow="1" w:lastRow="1" w:firstColumn="0" w:lastColumn="0" w:noHBand="0" w:noVBand="0" w:val="0020"/>
            </w:tblPr>
            <w:tblGrid>
              <w:gridCol w:w="2860"/>
              <w:gridCol w:w="2200"/>
              <w:gridCol w:w="1870"/>
            </w:tblGrid>
            <w:tr>
              <w:trPr>
                <w:tblHeader w:val="on"/>
              </w:trPr>
              <w:tc>
                <w:tcPr/>
                <w:p>
                  <w:pPr>
                    <w:pStyle w:val="Compact"/>
                  </w:pPr>
                </w:p>
              </w:tc>
              <w:tc>
                <w:tcPr/>
                <w:p>
                  <w:pPr>
                    <w:pStyle w:val="Compact"/>
                    <w:jc w:val="center"/>
                  </w:pPr>
                  <w:r>
                    <w:t xml:space="preserve">Restricted sample</w:t>
                  </w:r>
                </w:p>
              </w:tc>
              <w:tc>
                <w:tcPr/>
                <w:p>
                  <w:pPr>
                    <w:pStyle w:val="Compact"/>
                    <w:jc w:val="center"/>
                  </w:pPr>
                  <w:r>
                    <w:t xml:space="preserve">No restriction</w:t>
                  </w:r>
                </w:p>
              </w:tc>
            </w:tr>
            <w:tr>
              <w:tc>
                <w:tcPr/>
                <w:p>
                  <w:pPr>
                    <w:pStyle w:val="Compact"/>
                    <w:jc w:val="center"/>
                  </w:pPr>
                  <w:r>
                    <w:t xml:space="preserve">(Intercept)</w:t>
                  </w:r>
                </w:p>
              </w:tc>
              <w:tc>
                <w:tcPr/>
                <w:p>
                  <w:pPr>
                    <w:pStyle w:val="Compact"/>
                    <w:jc w:val="center"/>
                  </w:pPr>
                  <w:r>
                    <w:t xml:space="preserve">0.319***</w:t>
                  </w:r>
                </w:p>
              </w:tc>
              <w:tc>
                <w:tcPr/>
                <w:p>
                  <w:pPr>
                    <w:pStyle w:val="Compact"/>
                    <w:jc w:val="center"/>
                  </w:pPr>
                  <w:r>
                    <w:t xml:space="preserve">0.328***</w:t>
                  </w:r>
                </w:p>
              </w:tc>
            </w:tr>
            <w:tr>
              <w:tc>
                <w:tcPr/>
                <w:p>
                  <w:pPr>
                    <w:pStyle w:val="Compact"/>
                  </w:pPr>
                </w:p>
              </w:tc>
              <w:tc>
                <w:tcPr/>
                <w:p>
                  <w:pPr>
                    <w:pStyle w:val="Compact"/>
                    <w:jc w:val="center"/>
                  </w:pPr>
                  <w:r>
                    <w:t xml:space="preserve">(0.017)</w:t>
                  </w:r>
                </w:p>
              </w:tc>
              <w:tc>
                <w:tcPr/>
                <w:p>
                  <w:pPr>
                    <w:pStyle w:val="Compact"/>
                    <w:jc w:val="center"/>
                  </w:pPr>
                  <w:r>
                    <w:t xml:space="preserve">(0.019)</w:t>
                  </w:r>
                </w:p>
              </w:tc>
            </w:tr>
            <w:tr>
              <w:tc>
                <w:tcPr/>
                <w:p>
                  <w:pPr>
                    <w:pStyle w:val="Compact"/>
                    <w:jc w:val="center"/>
                  </w:pPr>
                  <w:r>
                    <w:t xml:space="preserve">Bachelor’s share</w:t>
                  </w:r>
                </w:p>
              </w:tc>
              <w:tc>
                <w:tcPr/>
                <w:p>
                  <w:pPr>
                    <w:pStyle w:val="Compact"/>
                    <w:jc w:val="center"/>
                  </w:pPr>
                  <w:r>
                    <w:t xml:space="preserve">-0.032</w:t>
                  </w:r>
                </w:p>
              </w:tc>
              <w:tc>
                <w:tcPr/>
                <w:p>
                  <w:pPr>
                    <w:pStyle w:val="Compact"/>
                    <w:jc w:val="center"/>
                  </w:pPr>
                  <w:r>
                    <w:t xml:space="preserve">-0.045</w:t>
                  </w:r>
                </w:p>
              </w:tc>
            </w:tr>
            <w:tr>
              <w:tc>
                <w:tcPr/>
                <w:p>
                  <w:pPr>
                    <w:pStyle w:val="Compact"/>
                  </w:pPr>
                </w:p>
              </w:tc>
              <w:tc>
                <w:tcPr/>
                <w:p>
                  <w:pPr>
                    <w:pStyle w:val="Compact"/>
                    <w:jc w:val="center"/>
                  </w:pPr>
                  <w:r>
                    <w:t xml:space="preserve">(0.029)</w:t>
                  </w:r>
                </w:p>
              </w:tc>
              <w:tc>
                <w:tcPr/>
                <w:p>
                  <w:pPr>
                    <w:pStyle w:val="Compact"/>
                    <w:jc w:val="center"/>
                  </w:pPr>
                  <w:r>
                    <w:t xml:space="preserve">(0.034)</w:t>
                  </w:r>
                </w:p>
              </w:tc>
            </w:tr>
            <w:tr>
              <w:tc>
                <w:tcPr/>
                <w:p>
                  <w:pPr>
                    <w:pStyle w:val="Compact"/>
                    <w:jc w:val="center"/>
                  </w:pPr>
                  <w:r>
                    <w:t xml:space="preserve">Black population share</w:t>
                  </w:r>
                </w:p>
              </w:tc>
              <w:tc>
                <w:tcPr/>
                <w:p>
                  <w:pPr>
                    <w:pStyle w:val="Compact"/>
                    <w:jc w:val="center"/>
                  </w:pPr>
                  <w:r>
                    <w:t xml:space="preserve">0.012</w:t>
                  </w:r>
                </w:p>
              </w:tc>
              <w:tc>
                <w:tcPr/>
                <w:p>
                  <w:pPr>
                    <w:pStyle w:val="Compact"/>
                    <w:jc w:val="center"/>
                  </w:pPr>
                  <w:r>
                    <w:t xml:space="preserve">0.014</w:t>
                  </w:r>
                </w:p>
              </w:tc>
            </w:tr>
            <w:tr>
              <w:tc>
                <w:tcPr/>
                <w:p>
                  <w:pPr>
                    <w:pStyle w:val="Compact"/>
                  </w:pPr>
                </w:p>
              </w:tc>
              <w:tc>
                <w:tcPr/>
                <w:p>
                  <w:pPr>
                    <w:pStyle w:val="Compact"/>
                    <w:jc w:val="center"/>
                  </w:pPr>
                  <w:r>
                    <w:t xml:space="preserve">(0.019)</w:t>
                  </w:r>
                </w:p>
              </w:tc>
              <w:tc>
                <w:tcPr/>
                <w:p>
                  <w:pPr>
                    <w:pStyle w:val="Compact"/>
                    <w:jc w:val="center"/>
                  </w:pPr>
                  <w:r>
                    <w:t xml:space="preserve">(0.022)</w:t>
                  </w:r>
                </w:p>
              </w:tc>
            </w:tr>
            <w:tr>
              <w:tc>
                <w:tcPr/>
                <w:p>
                  <w:pPr>
                    <w:pStyle w:val="Compact"/>
                    <w:jc w:val="center"/>
                  </w:pPr>
                  <w:r>
                    <w:t xml:space="preserve">Poverty share</w:t>
                  </w:r>
                </w:p>
              </w:tc>
              <w:tc>
                <w:tcPr/>
                <w:p>
                  <w:pPr>
                    <w:pStyle w:val="Compact"/>
                    <w:jc w:val="center"/>
                  </w:pPr>
                  <w:r>
                    <w:t xml:space="preserve">0.027</w:t>
                  </w:r>
                </w:p>
              </w:tc>
              <w:tc>
                <w:tcPr/>
                <w:p>
                  <w:pPr>
                    <w:pStyle w:val="Compact"/>
                    <w:jc w:val="center"/>
                  </w:pPr>
                  <w:r>
                    <w:t xml:space="preserve">0.031</w:t>
                  </w:r>
                </w:p>
              </w:tc>
            </w:tr>
            <w:tr>
              <w:tc>
                <w:tcPr/>
                <w:p>
                  <w:pPr>
                    <w:pStyle w:val="Compact"/>
                  </w:pPr>
                </w:p>
              </w:tc>
              <w:tc>
                <w:tcPr/>
                <w:p>
                  <w:pPr>
                    <w:pStyle w:val="Compact"/>
                    <w:jc w:val="center"/>
                  </w:pPr>
                  <w:r>
                    <w:t xml:space="preserve">(0.036)</w:t>
                  </w:r>
                </w:p>
              </w:tc>
              <w:tc>
                <w:tcPr/>
                <w:p>
                  <w:pPr>
                    <w:pStyle w:val="Compact"/>
                    <w:jc w:val="center"/>
                  </w:pPr>
                  <w:r>
                    <w:t xml:space="preserve">(0.042)</w:t>
                  </w:r>
                </w:p>
              </w:tc>
            </w:tr>
            <w:tr>
              <w:tc>
                <w:tcPr/>
                <w:p>
                  <w:pPr>
                    <w:pStyle w:val="Compact"/>
                    <w:jc w:val="center"/>
                  </w:pPr>
                  <w:r>
                    <w:t xml:space="preserve">Population growth</w:t>
                  </w:r>
                </w:p>
              </w:tc>
              <w:tc>
                <w:tcPr/>
                <w:p>
                  <w:pPr>
                    <w:pStyle w:val="Compact"/>
                    <w:jc w:val="center"/>
                  </w:pPr>
                  <w:r>
                    <w:t xml:space="preserve">0.072</w:t>
                  </w:r>
                </w:p>
              </w:tc>
              <w:tc>
                <w:tcPr/>
                <w:p>
                  <w:pPr>
                    <w:pStyle w:val="Compact"/>
                    <w:jc w:val="center"/>
                  </w:pPr>
                  <w:r>
                    <w:t xml:space="preserve">-0.548</w:t>
                  </w:r>
                </w:p>
              </w:tc>
            </w:tr>
            <w:tr>
              <w:tc>
                <w:tcPr/>
                <w:p>
                  <w:pPr>
                    <w:pStyle w:val="Compact"/>
                  </w:pPr>
                </w:p>
              </w:tc>
              <w:tc>
                <w:tcPr/>
                <w:p>
                  <w:pPr>
                    <w:pStyle w:val="Compact"/>
                    <w:jc w:val="center"/>
                  </w:pPr>
                  <w:r>
                    <w:t xml:space="preserve">(1.633)</w:t>
                  </w:r>
                </w:p>
              </w:tc>
              <w:tc>
                <w:tcPr/>
                <w:p>
                  <w:pPr>
                    <w:pStyle w:val="Compact"/>
                    <w:jc w:val="center"/>
                  </w:pPr>
                  <w:r>
                    <w:t xml:space="preserve">(1.888)</w:t>
                  </w:r>
                </w:p>
              </w:tc>
            </w:tr>
            <w:tr>
              <w:tc>
                <w:tcPr/>
                <w:p>
                  <w:pPr>
                    <w:pStyle w:val="Compact"/>
                    <w:jc w:val="center"/>
                  </w:pPr>
                  <w:r>
                    <w:t xml:space="preserve">House price growth</w:t>
                  </w:r>
                </w:p>
              </w:tc>
              <w:tc>
                <w:tcPr/>
                <w:p>
                  <w:pPr>
                    <w:pStyle w:val="Compact"/>
                    <w:jc w:val="center"/>
                  </w:pPr>
                  <w:r>
                    <w:t xml:space="preserve">-0.014</w:t>
                  </w:r>
                </w:p>
              </w:tc>
              <w:tc>
                <w:tcPr/>
                <w:p>
                  <w:pPr>
                    <w:pStyle w:val="Compact"/>
                    <w:jc w:val="center"/>
                  </w:pPr>
                  <w:r>
                    <w:t xml:space="preserve">-0.020</w:t>
                  </w:r>
                </w:p>
              </w:tc>
            </w:tr>
            <w:tr>
              <w:tc>
                <w:tcPr/>
                <w:p>
                  <w:pPr>
                    <w:pStyle w:val="Compact"/>
                  </w:pPr>
                </w:p>
              </w:tc>
              <w:tc>
                <w:tcPr/>
                <w:p>
                  <w:pPr>
                    <w:pStyle w:val="Compact"/>
                    <w:jc w:val="center"/>
                  </w:pPr>
                  <w:r>
                    <w:t xml:space="preserve">(0.017)</w:t>
                  </w:r>
                </w:p>
              </w:tc>
              <w:tc>
                <w:tcPr/>
                <w:p>
                  <w:pPr>
                    <w:pStyle w:val="Compact"/>
                    <w:jc w:val="center"/>
                  </w:pPr>
                  <w:r>
                    <w:t xml:space="preserve">(0.019)</w:t>
                  </w:r>
                </w:p>
              </w:tc>
            </w:tr>
            <w:tr>
              <w:tc>
                <w:tcPr/>
                <w:p>
                  <w:pPr>
                    <w:pStyle w:val="Compact"/>
                    <w:jc w:val="center"/>
                  </w:pPr>
                  <w:r>
                    <w:t xml:space="preserve">Income, log</w:t>
                  </w:r>
                </w:p>
              </w:tc>
              <w:tc>
                <w:tcPr/>
                <w:p>
                  <w:pPr>
                    <w:pStyle w:val="Compact"/>
                    <w:jc w:val="center"/>
                  </w:pPr>
                  <w:r>
                    <w:t xml:space="preserve">0.069+</w:t>
                  </w:r>
                </w:p>
              </w:tc>
              <w:tc>
                <w:tcPr/>
                <w:p>
                  <w:pPr>
                    <w:pStyle w:val="Compact"/>
                    <w:jc w:val="center"/>
                  </w:pPr>
                  <w:r>
                    <w:t xml:space="preserve">0.079+</w:t>
                  </w:r>
                </w:p>
              </w:tc>
            </w:tr>
            <w:tr>
              <w:tc>
                <w:tcPr/>
                <w:p>
                  <w:pPr>
                    <w:pStyle w:val="Compact"/>
                  </w:pPr>
                </w:p>
              </w:tc>
              <w:tc>
                <w:tcPr/>
                <w:p>
                  <w:pPr>
                    <w:pStyle w:val="Compact"/>
                    <w:jc w:val="center"/>
                  </w:pPr>
                  <w:r>
                    <w:t xml:space="preserve">(0.039)</w:t>
                  </w:r>
                </w:p>
              </w:tc>
              <w:tc>
                <w:tcPr/>
                <w:p>
                  <w:pPr>
                    <w:pStyle w:val="Compact"/>
                    <w:jc w:val="center"/>
                  </w:pPr>
                  <w:r>
                    <w:t xml:space="preserve">(0.045)</w:t>
                  </w:r>
                </w:p>
              </w:tc>
            </w:tr>
            <w:tr>
              <w:tc>
                <w:tcPr/>
                <w:p>
                  <w:pPr>
                    <w:pStyle w:val="Compact"/>
                    <w:jc w:val="center"/>
                  </w:pPr>
                  <w:r>
                    <w:t xml:space="preserve">Labor tightness</w:t>
                  </w:r>
                </w:p>
              </w:tc>
              <w:tc>
                <w:tcPr/>
                <w:p>
                  <w:pPr>
                    <w:pStyle w:val="Compact"/>
                    <w:jc w:val="center"/>
                  </w:pPr>
                  <w:r>
                    <w:t xml:space="preserve">0.073**</w:t>
                  </w:r>
                </w:p>
              </w:tc>
              <w:tc>
                <w:tcPr/>
                <w:p>
                  <w:pPr>
                    <w:pStyle w:val="Compact"/>
                    <w:jc w:val="center"/>
                  </w:pPr>
                  <w:r>
                    <w:t xml:space="preserve">0.121***</w:t>
                  </w:r>
                </w:p>
              </w:tc>
            </w:tr>
            <w:tr>
              <w:tc>
                <w:tcPr/>
                <w:p>
                  <w:pPr>
                    <w:pStyle w:val="Compact"/>
                  </w:pPr>
                </w:p>
              </w:tc>
              <w:tc>
                <w:tcPr/>
                <w:p>
                  <w:pPr>
                    <w:pStyle w:val="Compact"/>
                    <w:jc w:val="center"/>
                  </w:pPr>
                  <w:r>
                    <w:t xml:space="preserve">(0.024)</w:t>
                  </w:r>
                </w:p>
              </w:tc>
              <w:tc>
                <w:tcPr/>
                <w:p>
                  <w:pPr>
                    <w:pStyle w:val="Compact"/>
                    <w:jc w:val="center"/>
                  </w:pPr>
                  <w:r>
                    <w:t xml:space="preserve">(0.027)</w:t>
                  </w:r>
                </w:p>
              </w:tc>
            </w:tr>
            <w:tr>
              <w:tc>
                <w:tcPr/>
                <w:p>
                  <w:pPr>
                    <w:pStyle w:val="Compact"/>
                    <w:jc w:val="center"/>
                  </w:pPr>
                  <w:r>
                    <w:t xml:space="preserve">Patents per employee</w:t>
                  </w:r>
                </w:p>
              </w:tc>
              <w:tc>
                <w:tcPr/>
                <w:p>
                  <w:pPr>
                    <w:pStyle w:val="Compact"/>
                    <w:jc w:val="center"/>
                  </w:pPr>
                  <w:r>
                    <w:t xml:space="preserve">-0.014</w:t>
                  </w:r>
                </w:p>
              </w:tc>
              <w:tc>
                <w:tcPr/>
                <w:p>
                  <w:pPr>
                    <w:pStyle w:val="Compact"/>
                    <w:jc w:val="center"/>
                  </w:pPr>
                  <w:r>
                    <w:t xml:space="preserve">-0.020</w:t>
                  </w:r>
                </w:p>
              </w:tc>
            </w:tr>
            <w:tr>
              <w:tc>
                <w:tcPr/>
                <w:p>
                  <w:pPr>
                    <w:pStyle w:val="Compact"/>
                  </w:pPr>
                </w:p>
              </w:tc>
              <w:tc>
                <w:tcPr/>
                <w:p>
                  <w:pPr>
                    <w:pStyle w:val="Compact"/>
                    <w:jc w:val="center"/>
                  </w:pPr>
                  <w:r>
                    <w:t xml:space="preserve">(0.015)</w:t>
                  </w:r>
                </w:p>
              </w:tc>
              <w:tc>
                <w:tcPr/>
                <w:p>
                  <w:pPr>
                    <w:pStyle w:val="Compact"/>
                    <w:jc w:val="center"/>
                  </w:pPr>
                  <w:r>
                    <w:t xml:space="preserve">(0.018)</w:t>
                  </w:r>
                </w:p>
              </w:tc>
            </w:tr>
            <w:tr>
              <w:tc>
                <w:tcPr/>
                <w:p>
                  <w:pPr>
                    <w:pStyle w:val="Compact"/>
                    <w:jc w:val="center"/>
                  </w:pPr>
                  <w:r>
                    <w:t xml:space="preserve">AI patent share</w:t>
                  </w:r>
                </w:p>
              </w:tc>
              <w:tc>
                <w:tcPr/>
                <w:p>
                  <w:pPr>
                    <w:pStyle w:val="Compact"/>
                    <w:jc w:val="center"/>
                  </w:pPr>
                  <w:r>
                    <w:t xml:space="preserve">0.006</w:t>
                  </w:r>
                </w:p>
              </w:tc>
              <w:tc>
                <w:tcPr/>
                <w:p>
                  <w:pPr>
                    <w:pStyle w:val="Compact"/>
                    <w:jc w:val="center"/>
                  </w:pPr>
                  <w:r>
                    <w:t xml:space="preserve">0.006</w:t>
                  </w:r>
                </w:p>
              </w:tc>
            </w:tr>
            <w:tr>
              <w:tc>
                <w:tcPr/>
                <w:p>
                  <w:pPr>
                    <w:pStyle w:val="Compact"/>
                  </w:pPr>
                </w:p>
              </w:tc>
              <w:tc>
                <w:tcPr/>
                <w:p>
                  <w:pPr>
                    <w:pStyle w:val="Compact"/>
                    <w:jc w:val="center"/>
                  </w:pPr>
                  <w:r>
                    <w:t xml:space="preserve">(0.016)</w:t>
                  </w:r>
                </w:p>
              </w:tc>
              <w:tc>
                <w:tcPr/>
                <w:p>
                  <w:pPr>
                    <w:pStyle w:val="Compact"/>
                    <w:jc w:val="center"/>
                  </w:pPr>
                  <w:r>
                    <w:t xml:space="preserve">(0.018)</w:t>
                  </w:r>
                </w:p>
              </w:tc>
            </w:tr>
            <w:tr>
              <w:tc>
                <w:tcPr/>
                <w:p>
                  <w:pPr>
                    <w:pStyle w:val="Compact"/>
                    <w:jc w:val="center"/>
                  </w:pPr>
                  <w:r>
                    <w:t xml:space="preserve">Degrees per employee</w:t>
                  </w:r>
                </w:p>
              </w:tc>
              <w:tc>
                <w:tcPr/>
                <w:p>
                  <w:pPr>
                    <w:pStyle w:val="Compact"/>
                    <w:jc w:val="center"/>
                  </w:pPr>
                  <w:r>
                    <w:t xml:space="preserve">0.031</w:t>
                  </w:r>
                </w:p>
              </w:tc>
              <w:tc>
                <w:tcPr/>
                <w:p>
                  <w:pPr>
                    <w:pStyle w:val="Compact"/>
                    <w:jc w:val="center"/>
                  </w:pPr>
                  <w:r>
                    <w:t xml:space="preserve">0.027</w:t>
                  </w:r>
                </w:p>
              </w:tc>
            </w:tr>
            <w:tr>
              <w:tc>
                <w:tcPr/>
                <w:p>
                  <w:pPr>
                    <w:pStyle w:val="Compact"/>
                  </w:pPr>
                </w:p>
              </w:tc>
              <w:tc>
                <w:tcPr/>
                <w:p>
                  <w:pPr>
                    <w:pStyle w:val="Compact"/>
                    <w:jc w:val="center"/>
                  </w:pPr>
                  <w:r>
                    <w:t xml:space="preserve">(0.020)</w:t>
                  </w:r>
                </w:p>
              </w:tc>
              <w:tc>
                <w:tcPr/>
                <w:p>
                  <w:pPr>
                    <w:pStyle w:val="Compact"/>
                    <w:jc w:val="center"/>
                  </w:pPr>
                  <w:r>
                    <w:t xml:space="preserve">(0.023)</w:t>
                  </w:r>
                </w:p>
              </w:tc>
            </w:tr>
            <w:tr>
              <w:tc>
                <w:tcPr/>
                <w:p>
                  <w:pPr>
                    <w:pStyle w:val="Compact"/>
                    <w:jc w:val="center"/>
                  </w:pPr>
                  <w:r>
                    <w:t xml:space="preserve">STEM degrees share</w:t>
                  </w:r>
                </w:p>
              </w:tc>
              <w:tc>
                <w:tcPr/>
                <w:p>
                  <w:pPr>
                    <w:pStyle w:val="Compact"/>
                    <w:jc w:val="center"/>
                  </w:pPr>
                  <w:r>
                    <w:t xml:space="preserve">0.054***</w:t>
                  </w:r>
                </w:p>
              </w:tc>
              <w:tc>
                <w:tcPr/>
                <w:p>
                  <w:pPr>
                    <w:pStyle w:val="Compact"/>
                    <w:jc w:val="center"/>
                  </w:pPr>
                  <w:r>
                    <w:t xml:space="preserve">0.050**</w:t>
                  </w:r>
                </w:p>
              </w:tc>
            </w:tr>
            <w:tr>
              <w:tc>
                <w:tcPr/>
                <w:p>
                  <w:pPr>
                    <w:pStyle w:val="Compact"/>
                  </w:pPr>
                </w:p>
              </w:tc>
              <w:tc>
                <w:tcPr/>
                <w:p>
                  <w:pPr>
                    <w:pStyle w:val="Compact"/>
                    <w:jc w:val="center"/>
                  </w:pPr>
                  <w:r>
                    <w:t xml:space="preserve">(0.016)</w:t>
                  </w:r>
                </w:p>
              </w:tc>
              <w:tc>
                <w:tcPr/>
                <w:p>
                  <w:pPr>
                    <w:pStyle w:val="Compact"/>
                    <w:jc w:val="center"/>
                  </w:pPr>
                  <w:r>
                    <w:t xml:space="preserve">(0.019)</w:t>
                  </w:r>
                </w:p>
              </w:tc>
            </w:tr>
            <w:tr>
              <w:tc>
                <w:tcPr/>
                <w:p>
                  <w:pPr>
                    <w:pStyle w:val="Compact"/>
                    <w:jc w:val="center"/>
                  </w:pPr>
                  <w:r>
                    <w:t xml:space="preserve">Large establishments</w:t>
                  </w:r>
                </w:p>
              </w:tc>
              <w:tc>
                <w:tcPr/>
                <w:p>
                  <w:pPr>
                    <w:pStyle w:val="Compact"/>
                    <w:jc w:val="center"/>
                  </w:pPr>
                  <w:r>
                    <w:t xml:space="preserve">-0.016</w:t>
                  </w:r>
                </w:p>
              </w:tc>
              <w:tc>
                <w:tcPr/>
                <w:p>
                  <w:pPr>
                    <w:pStyle w:val="Compact"/>
                    <w:jc w:val="center"/>
                  </w:pPr>
                  <w:r>
                    <w:t xml:space="preserve">-0.036</w:t>
                  </w:r>
                </w:p>
              </w:tc>
            </w:tr>
            <w:tr>
              <w:tc>
                <w:tcPr/>
                <w:p>
                  <w:pPr>
                    <w:pStyle w:val="Compact"/>
                  </w:pPr>
                </w:p>
              </w:tc>
              <w:tc>
                <w:tcPr/>
                <w:p>
                  <w:pPr>
                    <w:pStyle w:val="Compact"/>
                    <w:jc w:val="center"/>
                  </w:pPr>
                  <w:r>
                    <w:t xml:space="preserve">(0.022)</w:t>
                  </w:r>
                </w:p>
              </w:tc>
              <w:tc>
                <w:tcPr/>
                <w:p>
                  <w:pPr>
                    <w:pStyle w:val="Compact"/>
                    <w:jc w:val="center"/>
                  </w:pPr>
                  <w:r>
                    <w:t xml:space="preserve">(0.025)</w:t>
                  </w:r>
                </w:p>
              </w:tc>
            </w:tr>
            <w:tr>
              <w:tc>
                <w:tcPr/>
                <w:p>
                  <w:pPr>
                    <w:pStyle w:val="Compact"/>
                    <w:jc w:val="center"/>
                  </w:pPr>
                  <w:r>
                    <w:t xml:space="preserve">ICT sector intensity</w:t>
                  </w:r>
                </w:p>
              </w:tc>
              <w:tc>
                <w:tcPr/>
                <w:p>
                  <w:pPr>
                    <w:pStyle w:val="Compact"/>
                    <w:jc w:val="center"/>
                  </w:pPr>
                  <w:r>
                    <w:t xml:space="preserve">0.014</w:t>
                  </w:r>
                </w:p>
              </w:tc>
              <w:tc>
                <w:tcPr/>
                <w:p>
                  <w:pPr>
                    <w:pStyle w:val="Compact"/>
                    <w:jc w:val="center"/>
                  </w:pPr>
                  <w:r>
                    <w:t xml:space="preserve">0.008</w:t>
                  </w:r>
                </w:p>
              </w:tc>
            </w:tr>
            <w:tr>
              <w:tc>
                <w:tcPr/>
                <w:p>
                  <w:pPr>
                    <w:pStyle w:val="Compact"/>
                  </w:pPr>
                </w:p>
              </w:tc>
              <w:tc>
                <w:tcPr/>
                <w:p>
                  <w:pPr>
                    <w:pStyle w:val="Compact"/>
                    <w:jc w:val="center"/>
                  </w:pPr>
                  <w:r>
                    <w:t xml:space="preserve">(0.017)</w:t>
                  </w:r>
                </w:p>
              </w:tc>
              <w:tc>
                <w:tcPr/>
                <w:p>
                  <w:pPr>
                    <w:pStyle w:val="Compact"/>
                    <w:jc w:val="center"/>
                  </w:pPr>
                  <w:r>
                    <w:t xml:space="preserve">(0.020)</w:t>
                  </w:r>
                </w:p>
              </w:tc>
            </w:tr>
            <w:tr>
              <w:tc>
                <w:tcPr/>
                <w:p>
                  <w:pPr>
                    <w:pStyle w:val="Compact"/>
                    <w:jc w:val="center"/>
                  </w:pPr>
                  <w:r>
                    <w:t xml:space="preserve">Manufacturing intensity</w:t>
                  </w:r>
                </w:p>
              </w:tc>
              <w:tc>
                <w:tcPr/>
                <w:p>
                  <w:pPr>
                    <w:pStyle w:val="Compact"/>
                    <w:jc w:val="center"/>
                  </w:pPr>
                  <w:r>
                    <w:t xml:space="preserve">-0.013</w:t>
                  </w:r>
                </w:p>
              </w:tc>
              <w:tc>
                <w:tcPr/>
                <w:p>
                  <w:pPr>
                    <w:pStyle w:val="Compact"/>
                    <w:jc w:val="center"/>
                  </w:pPr>
                  <w:r>
                    <w:t xml:space="preserve">0.000</w:t>
                  </w:r>
                </w:p>
              </w:tc>
            </w:tr>
            <w:tr>
              <w:tc>
                <w:tcPr/>
                <w:p>
                  <w:pPr>
                    <w:pStyle w:val="Compact"/>
                  </w:pPr>
                </w:p>
              </w:tc>
              <w:tc>
                <w:tcPr/>
                <w:p>
                  <w:pPr>
                    <w:pStyle w:val="Compact"/>
                    <w:jc w:val="center"/>
                  </w:pPr>
                  <w:r>
                    <w:t xml:space="preserve">(0.018)</w:t>
                  </w:r>
                </w:p>
              </w:tc>
              <w:tc>
                <w:tcPr/>
                <w:p>
                  <w:pPr>
                    <w:pStyle w:val="Compact"/>
                    <w:jc w:val="center"/>
                  </w:pPr>
                  <w:r>
                    <w:t xml:space="preserve">(0.021)</w:t>
                  </w:r>
                </w:p>
              </w:tc>
            </w:tr>
            <w:tr>
              <w:tc>
                <w:tcPr/>
                <w:p>
                  <w:pPr>
                    <w:pStyle w:val="Compact"/>
                    <w:jc w:val="center"/>
                  </w:pPr>
                  <w:r>
                    <w:t xml:space="preserve">Turnover rate</w:t>
                  </w:r>
                </w:p>
              </w:tc>
              <w:tc>
                <w:tcPr/>
                <w:p>
                  <w:pPr>
                    <w:pStyle w:val="Compact"/>
                    <w:jc w:val="center"/>
                  </w:pPr>
                  <w:r>
                    <w:t xml:space="preserve">-0.042+</w:t>
                  </w:r>
                </w:p>
              </w:tc>
              <w:tc>
                <w:tcPr/>
                <w:p>
                  <w:pPr>
                    <w:pStyle w:val="Compact"/>
                    <w:jc w:val="center"/>
                  </w:pPr>
                  <w:r>
                    <w:t xml:space="preserve">-0.058*</w:t>
                  </w:r>
                </w:p>
              </w:tc>
            </w:tr>
            <w:tr>
              <w:tc>
                <w:tcPr/>
                <w:p>
                  <w:pPr>
                    <w:pStyle w:val="Compact"/>
                  </w:pPr>
                </w:p>
              </w:tc>
              <w:tc>
                <w:tcPr/>
                <w:p>
                  <w:pPr>
                    <w:pStyle w:val="Compact"/>
                    <w:jc w:val="center"/>
                  </w:pPr>
                  <w:r>
                    <w:t xml:space="preserve">(0.023)</w:t>
                  </w:r>
                </w:p>
              </w:tc>
              <w:tc>
                <w:tcPr/>
                <w:p>
                  <w:pPr>
                    <w:pStyle w:val="Compact"/>
                    <w:jc w:val="center"/>
                  </w:pPr>
                  <w:r>
                    <w:t xml:space="preserve">(0.027)</w:t>
                  </w:r>
                </w:p>
              </w:tc>
            </w:tr>
            <w:tr>
              <w:tc>
                <w:tcPr/>
                <w:p>
                  <w:pPr>
                    <w:pStyle w:val="Compact"/>
                    <w:jc w:val="center"/>
                  </w:pPr>
                  <w:r>
                    <w:t xml:space="preserve">Num.Obs.</w:t>
                  </w:r>
                </w:p>
              </w:tc>
              <w:tc>
                <w:tcPr/>
                <w:p>
                  <w:pPr>
                    <w:pStyle w:val="Compact"/>
                    <w:jc w:val="center"/>
                  </w:pPr>
                  <w:r>
                    <w:t xml:space="preserve">2473</w:t>
                  </w:r>
                </w:p>
              </w:tc>
              <w:tc>
                <w:tcPr/>
                <w:p>
                  <w:pPr>
                    <w:pStyle w:val="Compact"/>
                    <w:jc w:val="center"/>
                  </w:pPr>
                  <w:r>
                    <w:t xml:space="preserve">2478</w:t>
                  </w:r>
                </w:p>
              </w:tc>
            </w:tr>
            <w:tr>
              <w:tc>
                <w:tcPr/>
                <w:p>
                  <w:pPr>
                    <w:pStyle w:val="Compact"/>
                    <w:jc w:val="center"/>
                  </w:pPr>
                  <w:r>
                    <w:t xml:space="preserve">R2</w:t>
                  </w:r>
                </w:p>
              </w:tc>
              <w:tc>
                <w:tcPr/>
                <w:p>
                  <w:pPr>
                    <w:pStyle w:val="Compact"/>
                    <w:jc w:val="center"/>
                  </w:pPr>
                  <w:r>
                    <w:t xml:space="preserve">0.031</w:t>
                  </w:r>
                </w:p>
              </w:tc>
              <w:tc>
                <w:tcPr/>
                <w:p>
                  <w:pPr>
                    <w:pStyle w:val="Compact"/>
                    <w:jc w:val="center"/>
                  </w:pPr>
                  <w:r>
                    <w:t xml:space="preserve">0.029</w:t>
                  </w:r>
                </w:p>
              </w:tc>
            </w:tr>
            <w:tr>
              <w:tc>
                <w:tcPr/>
                <w:p>
                  <w:pPr>
                    <w:pStyle w:val="Compact"/>
                    <w:jc w:val="center"/>
                  </w:pPr>
                  <w:r>
                    <w:t xml:space="preserve">R2 Adj.</w:t>
                  </w:r>
                </w:p>
              </w:tc>
              <w:tc>
                <w:tcPr/>
                <w:p>
                  <w:pPr>
                    <w:pStyle w:val="Compact"/>
                    <w:jc w:val="center"/>
                  </w:pPr>
                  <w:r>
                    <w:t xml:space="preserve">0.026</w:t>
                  </w:r>
                </w:p>
              </w:tc>
              <w:tc>
                <w:tcPr/>
                <w:p>
                  <w:pPr>
                    <w:pStyle w:val="Compact"/>
                    <w:jc w:val="center"/>
                  </w:pPr>
                  <w:r>
                    <w:t xml:space="preserve">0.023</w:t>
                  </w:r>
                </w:p>
              </w:tc>
            </w:tr>
            <w:tr>
              <w:tc>
                <w:tcPr>
                  <w:gridSpan w:val="3"/>
                </w:tcPr>
                <w:p>
                  <w:pPr>
                    <w:pStyle w:val="Compact"/>
                    <w:numPr>
                      <w:ilvl w:val="0"/>
                      <w:numId w:val="1013"/>
                    </w:numPr>
                    <w:jc w:val="center"/>
                  </w:pPr>
                  <w:r>
                    <w:t xml:space="preserve">p &lt; 0.1, * p &lt; 0.05, ** p &lt; 0.01, *** p &lt; 0.001</w:t>
                  </w:r>
                </w:p>
              </w:tc>
            </w:tr>
          </w:tbl>
          <w:p>
            <w:pPr>
              <w:jc w:val="center"/>
            </w:pPr>
            <w:r>
              <w:rPr>
                <w:i/>
                <w:iCs/>
              </w:rPr>
              <w:t xml:space="preserve">Notes:</w:t>
            </w:r>
            <w:r>
              <w:t xml:space="preserve"> </w:t>
            </w:r>
            <w:r>
              <w:t xml:space="preserve">Column 1 applies AKCLM’s filter keeping counties with AI-intensity growth between -5 and 10 percentage points; column 2 removes that growth-outcome restriction. Both models use AKCLM’s released-code log-posting weights.</w:t>
            </w:r>
          </w:p>
          <w:bookmarkEnd w:id="57"/>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tbl-weighting-three-way"/>
          <w:p>
            <w:pPr>
              <w:jc w:val="center"/>
            </w:pPr>
            <w:pPr>
              <w:jc w:val="left"/>
              <w:spacing w:before="200"/>
              <w:pStyle w:val="ImageCaption"/>
            </w:pPr>
            <w:r>
              <w:t xml:space="preserve">Table 10: Preferred no-tightness specifications under unweighted, log-population, and raw-population weighting</w:t>
            </w:r>
          </w:p>
          <w:tbl>
            <w:tblPr>
              <w:tblStyle w:val="Table"/>
              <w:tblW w:type="pct" w:w="4805"/>
              <w:tblLayout w:type="fixed"/>
              <w:tblLook w:firstRow="1" w:lastRow="1" w:firstColumn="0" w:lastColumn="0" w:noHBand="0" w:noVBand="0" w:val="0020"/>
            </w:tblPr>
            <w:tblGrid>
              <w:gridCol w:w="1608"/>
              <w:gridCol w:w="804"/>
              <w:gridCol w:w="1051"/>
              <w:gridCol w:w="1051"/>
              <w:gridCol w:w="866"/>
              <w:gridCol w:w="1113"/>
              <w:gridCol w:w="1113"/>
            </w:tblGrid>
            <w:tr>
              <w:trPr>
                <w:tblHeader w:val="on"/>
              </w:trPr>
              <w:tc>
                <w:tcPr/>
                <w:p>
                  <w:pPr>
                    <w:pStyle w:val="Compact"/>
                  </w:pPr>
                </w:p>
              </w:tc>
              <w:tc>
                <w:tcPr/>
                <w:p>
                  <w:pPr>
                    <w:pStyle w:val="Compact"/>
                    <w:jc w:val="center"/>
                  </w:pPr>
                  <w:r>
                    <w:t xml:space="preserve">Unweighted</w:t>
                  </w:r>
                </w:p>
              </w:tc>
              <w:tc>
                <w:tcPr/>
                <w:p>
                  <w:pPr>
                    <w:pStyle w:val="Compact"/>
                    <w:jc w:val="center"/>
                  </w:pPr>
                  <w:r>
                    <w:t xml:space="preserve">Log-population</w:t>
                  </w:r>
                </w:p>
              </w:tc>
              <w:tc>
                <w:tcPr/>
                <w:p>
                  <w:pPr>
                    <w:pStyle w:val="Compact"/>
                    <w:jc w:val="center"/>
                  </w:pPr>
                  <w:r>
                    <w:t xml:space="preserve">Raw population</w:t>
                  </w:r>
                </w:p>
              </w:tc>
              <w:tc>
                <w:tcPr/>
                <w:p>
                  <w:pPr>
                    <w:pStyle w:val="Compact"/>
                    <w:jc w:val="center"/>
                  </w:pPr>
                  <w:r>
                    <w:t xml:space="preserve">Unweighted</w:t>
                  </w:r>
                </w:p>
              </w:tc>
              <w:tc>
                <w:tcPr/>
                <w:p>
                  <w:pPr>
                    <w:pStyle w:val="Compact"/>
                    <w:jc w:val="center"/>
                  </w:pPr>
                  <w:r>
                    <w:t xml:space="preserve">Log-population</w:t>
                  </w:r>
                </w:p>
              </w:tc>
              <w:tc>
                <w:tcPr/>
                <w:p>
                  <w:pPr>
                    <w:pStyle w:val="Compact"/>
                    <w:jc w:val="center"/>
                  </w:pPr>
                  <w:r>
                    <w:t xml:space="preserve">Raw population</w:t>
                  </w:r>
                </w:p>
              </w:tc>
            </w:tr>
            <w:tr>
              <w:tc>
                <w:tcPr/>
                <w:p>
                  <w:pPr>
                    <w:pStyle w:val="Compact"/>
                    <w:jc w:val="center"/>
                  </w:pPr>
                  <w:r>
                    <w:t xml:space="preserve">Bachelor’s share</w:t>
                  </w:r>
                </w:p>
              </w:tc>
              <w:tc>
                <w:tcPr/>
                <w:p>
                  <w:pPr>
                    <w:pStyle w:val="Compact"/>
                    <w:jc w:val="center"/>
                  </w:pPr>
                  <w:r>
                    <w:t xml:space="preserve">0.201***</w:t>
                  </w:r>
                </w:p>
              </w:tc>
              <w:tc>
                <w:tcPr/>
                <w:p>
                  <w:pPr>
                    <w:pStyle w:val="Compact"/>
                    <w:jc w:val="center"/>
                  </w:pPr>
                  <w:r>
                    <w:t xml:space="preserve">0.227***</w:t>
                  </w:r>
                </w:p>
              </w:tc>
              <w:tc>
                <w:tcPr/>
                <w:p>
                  <w:pPr>
                    <w:pStyle w:val="Compact"/>
                    <w:jc w:val="center"/>
                  </w:pPr>
                  <w:r>
                    <w:t xml:space="preserve">0.926***</w:t>
                  </w:r>
                </w:p>
              </w:tc>
              <w:tc>
                <w:tcPr/>
                <w:p>
                  <w:pPr>
                    <w:pStyle w:val="Compact"/>
                    <w:jc w:val="center"/>
                  </w:pPr>
                  <w:r>
                    <w:t xml:space="preserve">0.037+</w:t>
                  </w:r>
                </w:p>
              </w:tc>
              <w:tc>
                <w:tcPr/>
                <w:p>
                  <w:pPr>
                    <w:pStyle w:val="Compact"/>
                    <w:jc w:val="center"/>
                  </w:pPr>
                  <w:r>
                    <w:t xml:space="preserve">0.040*</w:t>
                  </w:r>
                </w:p>
              </w:tc>
              <w:tc>
                <w:tcPr/>
                <w:p>
                  <w:pPr>
                    <w:pStyle w:val="Compact"/>
                    <w:jc w:val="center"/>
                  </w:pPr>
                  <w:r>
                    <w:t xml:space="preserve">0.071*</w:t>
                  </w:r>
                </w:p>
              </w:tc>
            </w:tr>
            <w:tr>
              <w:tc>
                <w:tcPr/>
                <w:p>
                  <w:pPr>
                    <w:pStyle w:val="Compact"/>
                  </w:pPr>
                </w:p>
              </w:tc>
              <w:tc>
                <w:tcPr/>
                <w:p>
                  <w:pPr>
                    <w:pStyle w:val="Compact"/>
                    <w:jc w:val="center"/>
                  </w:pPr>
                  <w:r>
                    <w:t xml:space="preserve">(0.045)</w:t>
                  </w:r>
                </w:p>
              </w:tc>
              <w:tc>
                <w:tcPr/>
                <w:p>
                  <w:pPr>
                    <w:pStyle w:val="Compact"/>
                    <w:jc w:val="center"/>
                  </w:pPr>
                  <w:r>
                    <w:t xml:space="preserve">(0.046)</w:t>
                  </w:r>
                </w:p>
              </w:tc>
              <w:tc>
                <w:tcPr/>
                <w:p>
                  <w:pPr>
                    <w:pStyle w:val="Compact"/>
                    <w:jc w:val="center"/>
                  </w:pPr>
                  <w:r>
                    <w:t xml:space="preserve">(0.196)</w:t>
                  </w:r>
                </w:p>
              </w:tc>
              <w:tc>
                <w:tcPr/>
                <w:p>
                  <w:pPr>
                    <w:pStyle w:val="Compact"/>
                    <w:jc w:val="center"/>
                  </w:pPr>
                  <w:r>
                    <w:t xml:space="preserve">(0.019)</w:t>
                  </w:r>
                </w:p>
              </w:tc>
              <w:tc>
                <w:tcPr/>
                <w:p>
                  <w:pPr>
                    <w:pStyle w:val="Compact"/>
                    <w:jc w:val="center"/>
                  </w:pPr>
                  <w:r>
                    <w:t xml:space="preserve">(0.019)</w:t>
                  </w:r>
                </w:p>
              </w:tc>
              <w:tc>
                <w:tcPr/>
                <w:p>
                  <w:pPr>
                    <w:pStyle w:val="Compact"/>
                    <w:jc w:val="center"/>
                  </w:pPr>
                  <w:r>
                    <w:t xml:space="preserve">(0.030)</w:t>
                  </w:r>
                </w:p>
              </w:tc>
            </w:tr>
            <w:tr>
              <w:tc>
                <w:tcPr/>
                <w:p>
                  <w:pPr>
                    <w:pStyle w:val="Compact"/>
                    <w:jc w:val="center"/>
                  </w:pPr>
                  <w:r>
                    <w:t xml:space="preserve">Patents per employee</w:t>
                  </w:r>
                </w:p>
              </w:tc>
              <w:tc>
                <w:tcPr/>
                <w:p>
                  <w:pPr>
                    <w:pStyle w:val="Compact"/>
                    <w:jc w:val="center"/>
                  </w:pPr>
                  <w:r>
                    <w:t xml:space="preserve">0.021**</w:t>
                  </w:r>
                </w:p>
              </w:tc>
              <w:tc>
                <w:tcPr/>
                <w:p>
                  <w:pPr>
                    <w:pStyle w:val="Compact"/>
                    <w:jc w:val="center"/>
                  </w:pPr>
                  <w:r>
                    <w:t xml:space="preserve">0.024**</w:t>
                  </w:r>
                </w:p>
              </w:tc>
              <w:tc>
                <w:tcPr/>
                <w:p>
                  <w:pPr>
                    <w:pStyle w:val="Compact"/>
                    <w:jc w:val="center"/>
                  </w:pPr>
                  <w:r>
                    <w:t xml:space="preserve">0.220***</w:t>
                  </w:r>
                </w:p>
              </w:tc>
              <w:tc>
                <w:tcPr/>
                <w:p>
                  <w:pPr>
                    <w:pStyle w:val="Compact"/>
                    <w:jc w:val="center"/>
                  </w:pPr>
                  <w:r>
                    <w:t xml:space="preserve">-0.006</w:t>
                  </w:r>
                </w:p>
              </w:tc>
              <w:tc>
                <w:tcPr/>
                <w:p>
                  <w:pPr>
                    <w:pStyle w:val="Compact"/>
                    <w:jc w:val="center"/>
                  </w:pPr>
                  <w:r>
                    <w:t xml:space="preserve">-0.008</w:t>
                  </w:r>
                </w:p>
              </w:tc>
              <w:tc>
                <w:tcPr/>
                <w:p>
                  <w:pPr>
                    <w:pStyle w:val="Compact"/>
                    <w:jc w:val="center"/>
                  </w:pPr>
                  <w:r>
                    <w:t xml:space="preserve">-0.034+</w:t>
                  </w:r>
                </w:p>
              </w:tc>
            </w:tr>
            <w:tr>
              <w:tc>
                <w:tcPr/>
                <w:p>
                  <w:pPr>
                    <w:pStyle w:val="Compact"/>
                  </w:pPr>
                </w:p>
              </w:tc>
              <w:tc>
                <w:tcPr/>
                <w:p>
                  <w:pPr>
                    <w:pStyle w:val="Compact"/>
                    <w:jc w:val="center"/>
                  </w:pPr>
                  <w:r>
                    <w:t xml:space="preserve">(0.007)</w:t>
                  </w:r>
                </w:p>
              </w:tc>
              <w:tc>
                <w:tcPr/>
                <w:p>
                  <w:pPr>
                    <w:pStyle w:val="Compact"/>
                    <w:jc w:val="center"/>
                  </w:pPr>
                  <w:r>
                    <w:t xml:space="preserve">(0.009)</w:t>
                  </w:r>
                </w:p>
              </w:tc>
              <w:tc>
                <w:tcPr/>
                <w:p>
                  <w:pPr>
                    <w:pStyle w:val="Compact"/>
                    <w:jc w:val="center"/>
                  </w:pPr>
                  <w:r>
                    <w:t xml:space="preserve">(0.049)</w:t>
                  </w:r>
                </w:p>
              </w:tc>
              <w:tc>
                <w:tcPr/>
                <w:p>
                  <w:pPr>
                    <w:pStyle w:val="Compact"/>
                    <w:jc w:val="center"/>
                  </w:pPr>
                  <w:r>
                    <w:t xml:space="preserve">(0.010)</w:t>
                  </w:r>
                </w:p>
              </w:tc>
              <w:tc>
                <w:tcPr/>
                <w:p>
                  <w:pPr>
                    <w:pStyle w:val="Compact"/>
                    <w:jc w:val="center"/>
                  </w:pPr>
                  <w:r>
                    <w:t xml:space="preserve">(0.011)</w:t>
                  </w:r>
                </w:p>
              </w:tc>
              <w:tc>
                <w:tcPr/>
                <w:p>
                  <w:pPr>
                    <w:pStyle w:val="Compact"/>
                    <w:jc w:val="center"/>
                  </w:pPr>
                  <w:r>
                    <w:t xml:space="preserve">(0.020)</w:t>
                  </w:r>
                </w:p>
              </w:tc>
            </w:tr>
            <w:tr>
              <w:tc>
                <w:tcPr/>
                <w:p>
                  <w:pPr>
                    <w:pStyle w:val="Compact"/>
                    <w:jc w:val="center"/>
                  </w:pPr>
                  <w:r>
                    <w:t xml:space="preserve">STEM degrees share</w:t>
                  </w:r>
                </w:p>
              </w:tc>
              <w:tc>
                <w:tcPr/>
                <w:p>
                  <w:pPr>
                    <w:pStyle w:val="Compact"/>
                    <w:jc w:val="center"/>
                  </w:pPr>
                  <w:r>
                    <w:t xml:space="preserve">0.048*</w:t>
                  </w:r>
                </w:p>
              </w:tc>
              <w:tc>
                <w:tcPr/>
                <w:p>
                  <w:pPr>
                    <w:pStyle w:val="Compact"/>
                    <w:jc w:val="center"/>
                  </w:pPr>
                  <w:r>
                    <w:t xml:space="preserve">0.054*</w:t>
                  </w:r>
                </w:p>
              </w:tc>
              <w:tc>
                <w:tcPr/>
                <w:p>
                  <w:pPr>
                    <w:pStyle w:val="Compact"/>
                    <w:jc w:val="center"/>
                  </w:pPr>
                  <w:r>
                    <w:t xml:space="preserve">0.132*</w:t>
                  </w:r>
                </w:p>
              </w:tc>
              <w:tc>
                <w:tcPr/>
                <w:p>
                  <w:pPr>
                    <w:pStyle w:val="Compact"/>
                    <w:jc w:val="center"/>
                  </w:pPr>
                  <w:r>
                    <w:t xml:space="preserve">0.059**</w:t>
                  </w:r>
                </w:p>
              </w:tc>
              <w:tc>
                <w:tcPr/>
                <w:p>
                  <w:pPr>
                    <w:pStyle w:val="Compact"/>
                    <w:jc w:val="center"/>
                  </w:pPr>
                  <w:r>
                    <w:t xml:space="preserve">0.058**</w:t>
                  </w:r>
                </w:p>
              </w:tc>
              <w:tc>
                <w:tcPr/>
                <w:p>
                  <w:pPr>
                    <w:pStyle w:val="Compact"/>
                    <w:jc w:val="center"/>
                  </w:pPr>
                  <w:r>
                    <w:t xml:space="preserve">0.060*</w:t>
                  </w:r>
                </w:p>
              </w:tc>
            </w:tr>
            <w:tr>
              <w:tc>
                <w:tcPr/>
                <w:p>
                  <w:pPr>
                    <w:pStyle w:val="Compact"/>
                  </w:pPr>
                </w:p>
              </w:tc>
              <w:tc>
                <w:tcPr/>
                <w:p>
                  <w:pPr>
                    <w:pStyle w:val="Compact"/>
                    <w:jc w:val="center"/>
                  </w:pPr>
                  <w:r>
                    <w:t xml:space="preserve">(0.020)</w:t>
                  </w:r>
                </w:p>
              </w:tc>
              <w:tc>
                <w:tcPr/>
                <w:p>
                  <w:pPr>
                    <w:pStyle w:val="Compact"/>
                    <w:jc w:val="center"/>
                  </w:pPr>
                  <w:r>
                    <w:t xml:space="preserve">(0.021)</w:t>
                  </w:r>
                </w:p>
              </w:tc>
              <w:tc>
                <w:tcPr/>
                <w:p>
                  <w:pPr>
                    <w:pStyle w:val="Compact"/>
                    <w:jc w:val="center"/>
                  </w:pPr>
                  <w:r>
                    <w:t xml:space="preserve">(0.066)</w:t>
                  </w:r>
                </w:p>
              </w:tc>
              <w:tc>
                <w:tcPr/>
                <w:p>
                  <w:pPr>
                    <w:pStyle w:val="Compact"/>
                    <w:jc w:val="center"/>
                  </w:pPr>
                  <w:r>
                    <w:t xml:space="preserve">(0.020)</w:t>
                  </w:r>
                </w:p>
              </w:tc>
              <w:tc>
                <w:tcPr/>
                <w:p>
                  <w:pPr>
                    <w:pStyle w:val="Compact"/>
                    <w:jc w:val="center"/>
                  </w:pPr>
                  <w:r>
                    <w:t xml:space="preserve">(0.019)</w:t>
                  </w:r>
                </w:p>
              </w:tc>
              <w:tc>
                <w:tcPr/>
                <w:p>
                  <w:pPr>
                    <w:pStyle w:val="Compact"/>
                    <w:jc w:val="center"/>
                  </w:pPr>
                  <w:r>
                    <w:t xml:space="preserve">(0.027)</w:t>
                  </w:r>
                </w:p>
              </w:tc>
            </w:tr>
            <w:tr>
              <w:tc>
                <w:tcPr/>
                <w:p>
                  <w:pPr>
                    <w:pStyle w:val="Compact"/>
                    <w:jc w:val="center"/>
                  </w:pPr>
                  <w:r>
                    <w:t xml:space="preserve">ICT sector intensity</w:t>
                  </w:r>
                </w:p>
              </w:tc>
              <w:tc>
                <w:tcPr/>
                <w:p>
                  <w:pPr>
                    <w:pStyle w:val="Compact"/>
                    <w:jc w:val="center"/>
                  </w:pPr>
                  <w:r>
                    <w:t xml:space="preserve">0.009</w:t>
                  </w:r>
                </w:p>
              </w:tc>
              <w:tc>
                <w:tcPr/>
                <w:p>
                  <w:pPr>
                    <w:pStyle w:val="Compact"/>
                    <w:jc w:val="center"/>
                  </w:pPr>
                  <w:r>
                    <w:t xml:space="preserve">0.012</w:t>
                  </w:r>
                </w:p>
              </w:tc>
              <w:tc>
                <w:tcPr/>
                <w:p>
                  <w:pPr>
                    <w:pStyle w:val="Compact"/>
                    <w:jc w:val="center"/>
                  </w:pPr>
                  <w:r>
                    <w:t xml:space="preserve">0.168**</w:t>
                  </w:r>
                </w:p>
              </w:tc>
              <w:tc>
                <w:tcPr/>
                <w:p>
                  <w:pPr>
                    <w:pStyle w:val="Compact"/>
                    <w:jc w:val="center"/>
                  </w:pPr>
                  <w:r>
                    <w:t xml:space="preserve">0.022</w:t>
                  </w:r>
                </w:p>
              </w:tc>
              <w:tc>
                <w:tcPr/>
                <w:p>
                  <w:pPr>
                    <w:pStyle w:val="Compact"/>
                    <w:jc w:val="center"/>
                  </w:pPr>
                  <w:r>
                    <w:t xml:space="preserve">0.022</w:t>
                  </w:r>
                </w:p>
              </w:tc>
              <w:tc>
                <w:tcPr/>
                <w:p>
                  <w:pPr>
                    <w:pStyle w:val="Compact"/>
                    <w:jc w:val="center"/>
                  </w:pPr>
                  <w:r>
                    <w:t xml:space="preserve">0.030</w:t>
                  </w:r>
                </w:p>
              </w:tc>
            </w:tr>
            <w:tr>
              <w:tc>
                <w:tcPr/>
                <w:p>
                  <w:pPr>
                    <w:pStyle w:val="Compact"/>
                  </w:pPr>
                </w:p>
              </w:tc>
              <w:tc>
                <w:tcPr/>
                <w:p>
                  <w:pPr>
                    <w:pStyle w:val="Compact"/>
                    <w:jc w:val="center"/>
                  </w:pPr>
                  <w:r>
                    <w:t xml:space="preserve">(0.012)</w:t>
                  </w:r>
                </w:p>
              </w:tc>
              <w:tc>
                <w:tcPr/>
                <w:p>
                  <w:pPr>
                    <w:pStyle w:val="Compact"/>
                    <w:jc w:val="center"/>
                  </w:pPr>
                  <w:r>
                    <w:t xml:space="preserve">(0.012)</w:t>
                  </w:r>
                </w:p>
              </w:tc>
              <w:tc>
                <w:tcPr/>
                <w:p>
                  <w:pPr>
                    <w:pStyle w:val="Compact"/>
                    <w:jc w:val="center"/>
                  </w:pPr>
                  <w:r>
                    <w:t xml:space="preserve">(0.058)</w:t>
                  </w:r>
                </w:p>
              </w:tc>
              <w:tc>
                <w:tcPr/>
                <w:p>
                  <w:pPr>
                    <w:pStyle w:val="Compact"/>
                    <w:jc w:val="center"/>
                  </w:pPr>
                  <w:r>
                    <w:t xml:space="preserve">(0.021)</w:t>
                  </w:r>
                </w:p>
              </w:tc>
              <w:tc>
                <w:tcPr/>
                <w:p>
                  <w:pPr>
                    <w:pStyle w:val="Compact"/>
                    <w:jc w:val="center"/>
                  </w:pPr>
                  <w:r>
                    <w:t xml:space="preserve">(0.019)</w:t>
                  </w:r>
                </w:p>
              </w:tc>
              <w:tc>
                <w:tcPr/>
                <w:p>
                  <w:pPr>
                    <w:pStyle w:val="Compact"/>
                    <w:jc w:val="center"/>
                  </w:pPr>
                  <w:r>
                    <w:t xml:space="preserve">(0.023)</w:t>
                  </w:r>
                </w:p>
              </w:tc>
            </w:tr>
            <w:tr>
              <w:tc>
                <w:tcPr/>
                <w:p>
                  <w:pPr>
                    <w:pStyle w:val="Compact"/>
                    <w:jc w:val="center"/>
                  </w:pPr>
                  <w:r>
                    <w:t xml:space="preserve">Manufacturing intensity</w:t>
                  </w:r>
                </w:p>
              </w:tc>
              <w:tc>
                <w:tcPr/>
                <w:p>
                  <w:pPr>
                    <w:pStyle w:val="Compact"/>
                    <w:jc w:val="center"/>
                  </w:pPr>
                  <w:r>
                    <w:t xml:space="preserve">-0.037***</w:t>
                  </w:r>
                </w:p>
              </w:tc>
              <w:tc>
                <w:tcPr/>
                <w:p>
                  <w:pPr>
                    <w:pStyle w:val="Compact"/>
                    <w:jc w:val="center"/>
                  </w:pPr>
                  <w:r>
                    <w:t xml:space="preserve">-0.040***</w:t>
                  </w:r>
                </w:p>
              </w:tc>
              <w:tc>
                <w:tcPr/>
                <w:p>
                  <w:pPr>
                    <w:pStyle w:val="Compact"/>
                    <w:jc w:val="center"/>
                  </w:pPr>
                  <w:r>
                    <w:t xml:space="preserve">-0.110***</w:t>
                  </w:r>
                </w:p>
              </w:tc>
              <w:tc>
                <w:tcPr/>
                <w:p>
                  <w:pPr>
                    <w:pStyle w:val="Compact"/>
                    <w:jc w:val="center"/>
                  </w:pPr>
                  <w:r>
                    <w:t xml:space="preserve">-0.012</w:t>
                  </w:r>
                </w:p>
              </w:tc>
              <w:tc>
                <w:tcPr/>
                <w:p>
                  <w:pPr>
                    <w:pStyle w:val="Compact"/>
                    <w:jc w:val="center"/>
                  </w:pPr>
                  <w:r>
                    <w:t xml:space="preserve">-0.013</w:t>
                  </w:r>
                </w:p>
              </w:tc>
              <w:tc>
                <w:tcPr/>
                <w:p>
                  <w:pPr>
                    <w:pStyle w:val="Compact"/>
                    <w:jc w:val="center"/>
                  </w:pPr>
                  <w:r>
                    <w:t xml:space="preserve">-0.028</w:t>
                  </w:r>
                </w:p>
              </w:tc>
            </w:tr>
            <w:tr>
              <w:tc>
                <w:tcPr/>
                <w:p>
                  <w:pPr>
                    <w:pStyle w:val="Compact"/>
                  </w:pPr>
                </w:p>
              </w:tc>
              <w:tc>
                <w:tcPr/>
                <w:p>
                  <w:pPr>
                    <w:pStyle w:val="Compact"/>
                    <w:jc w:val="center"/>
                  </w:pPr>
                  <w:r>
                    <w:t xml:space="preserve">(0.011)</w:t>
                  </w:r>
                </w:p>
              </w:tc>
              <w:tc>
                <w:tcPr/>
                <w:p>
                  <w:pPr>
                    <w:pStyle w:val="Compact"/>
                    <w:jc w:val="center"/>
                  </w:pPr>
                  <w:r>
                    <w:t xml:space="preserve">(0.011)</w:t>
                  </w:r>
                </w:p>
              </w:tc>
              <w:tc>
                <w:tcPr/>
                <w:p>
                  <w:pPr>
                    <w:pStyle w:val="Compact"/>
                    <w:jc w:val="center"/>
                  </w:pPr>
                  <w:r>
                    <w:t xml:space="preserve">(0.028)</w:t>
                  </w:r>
                </w:p>
              </w:tc>
              <w:tc>
                <w:tcPr/>
                <w:p>
                  <w:pPr>
                    <w:pStyle w:val="Compact"/>
                    <w:jc w:val="center"/>
                  </w:pPr>
                  <w:r>
                    <w:t xml:space="preserve">(0.017)</w:t>
                  </w:r>
                </w:p>
              </w:tc>
              <w:tc>
                <w:tcPr/>
                <w:p>
                  <w:pPr>
                    <w:pStyle w:val="Compact"/>
                    <w:jc w:val="center"/>
                  </w:pPr>
                  <w:r>
                    <w:t xml:space="preserve">(0.016)</w:t>
                  </w:r>
                </w:p>
              </w:tc>
              <w:tc>
                <w:tcPr/>
                <w:p>
                  <w:pPr>
                    <w:pStyle w:val="Compact"/>
                    <w:jc w:val="center"/>
                  </w:pPr>
                  <w:r>
                    <w:t xml:space="preserve">(0.026)</w:t>
                  </w:r>
                </w:p>
              </w:tc>
            </w:tr>
            <w:tr>
              <w:tc>
                <w:tcPr/>
                <w:p>
                  <w:pPr>
                    <w:pStyle w:val="Compact"/>
                    <w:jc w:val="center"/>
                  </w:pPr>
                  <w:r>
                    <w:t xml:space="preserve">Turnover rate</w:t>
                  </w:r>
                </w:p>
              </w:tc>
              <w:tc>
                <w:tcPr/>
                <w:p>
                  <w:pPr>
                    <w:pStyle w:val="Compact"/>
                    <w:jc w:val="center"/>
                  </w:pPr>
                  <w:r>
                    <w:t xml:space="preserve">0.023+</w:t>
                  </w:r>
                </w:p>
              </w:tc>
              <w:tc>
                <w:tcPr/>
                <w:p>
                  <w:pPr>
                    <w:pStyle w:val="Compact"/>
                    <w:jc w:val="center"/>
                  </w:pPr>
                  <w:r>
                    <w:t xml:space="preserve">0.026*</w:t>
                  </w:r>
                </w:p>
              </w:tc>
              <w:tc>
                <w:tcPr/>
                <w:p>
                  <w:pPr>
                    <w:pStyle w:val="Compact"/>
                    <w:jc w:val="center"/>
                  </w:pPr>
                  <w:r>
                    <w:t xml:space="preserve">0.084*</w:t>
                  </w:r>
                </w:p>
              </w:tc>
              <w:tc>
                <w:tcPr/>
                <w:p>
                  <w:pPr>
                    <w:pStyle w:val="Compact"/>
                    <w:jc w:val="center"/>
                  </w:pPr>
                  <w:r>
                    <w:t xml:space="preserve">-0.045*</w:t>
                  </w:r>
                </w:p>
              </w:tc>
              <w:tc>
                <w:tcPr/>
                <w:p>
                  <w:pPr>
                    <w:pStyle w:val="Compact"/>
                    <w:jc w:val="center"/>
                  </w:pPr>
                  <w:r>
                    <w:t xml:space="preserve">-0.045*</w:t>
                  </w:r>
                </w:p>
              </w:tc>
              <w:tc>
                <w:tcPr/>
                <w:p>
                  <w:pPr>
                    <w:pStyle w:val="Compact"/>
                    <w:jc w:val="center"/>
                  </w:pPr>
                  <w:r>
                    <w:t xml:space="preserve">-0.051</w:t>
                  </w:r>
                </w:p>
              </w:tc>
            </w:tr>
            <w:tr>
              <w:tc>
                <w:tcPr/>
                <w:p>
                  <w:pPr>
                    <w:pStyle w:val="Compact"/>
                  </w:pPr>
                </w:p>
              </w:tc>
              <w:tc>
                <w:tcPr/>
                <w:p>
                  <w:pPr>
                    <w:pStyle w:val="Compact"/>
                    <w:jc w:val="center"/>
                  </w:pPr>
                  <w:r>
                    <w:t xml:space="preserve">(0.013)</w:t>
                  </w:r>
                </w:p>
              </w:tc>
              <w:tc>
                <w:tcPr/>
                <w:p>
                  <w:pPr>
                    <w:pStyle w:val="Compact"/>
                    <w:jc w:val="center"/>
                  </w:pPr>
                  <w:r>
                    <w:t xml:space="preserve">(0.013)</w:t>
                  </w:r>
                </w:p>
              </w:tc>
              <w:tc>
                <w:tcPr/>
                <w:p>
                  <w:pPr>
                    <w:pStyle w:val="Compact"/>
                    <w:jc w:val="center"/>
                  </w:pPr>
                  <w:r>
                    <w:t xml:space="preserve">(0.042)</w:t>
                  </w:r>
                </w:p>
              </w:tc>
              <w:tc>
                <w:tcPr/>
                <w:p>
                  <w:pPr>
                    <w:pStyle w:val="Compact"/>
                    <w:jc w:val="center"/>
                  </w:pPr>
                  <w:r>
                    <w:t xml:space="preserve">(0.022)</w:t>
                  </w:r>
                </w:p>
              </w:tc>
              <w:tc>
                <w:tcPr/>
                <w:p>
                  <w:pPr>
                    <w:pStyle w:val="Compact"/>
                    <w:jc w:val="center"/>
                  </w:pPr>
                  <w:r>
                    <w:t xml:space="preserve">(0.021)</w:t>
                  </w:r>
                </w:p>
              </w:tc>
              <w:tc>
                <w:tcPr/>
                <w:p>
                  <w:pPr>
                    <w:pStyle w:val="Compact"/>
                    <w:jc w:val="center"/>
                  </w:pPr>
                  <w:r>
                    <w:t xml:space="preserve">(0.044)</w:t>
                  </w:r>
                </w:p>
              </w:tc>
            </w:tr>
            <w:tr>
              <w:tc>
                <w:tcPr/>
                <w:p>
                  <w:pPr>
                    <w:pStyle w:val="Compact"/>
                    <w:jc w:val="center"/>
                  </w:pPr>
                  <w:r>
                    <w:t xml:space="preserve">Num.Obs.</w:t>
                  </w:r>
                </w:p>
              </w:tc>
              <w:tc>
                <w:tcPr/>
                <w:p>
                  <w:pPr>
                    <w:pStyle w:val="Compact"/>
                    <w:jc w:val="center"/>
                  </w:pPr>
                  <w:r>
                    <w:t xml:space="preserve">24645</w:t>
                  </w:r>
                </w:p>
              </w:tc>
              <w:tc>
                <w:tcPr/>
                <w:p>
                  <w:pPr>
                    <w:pStyle w:val="Compact"/>
                    <w:jc w:val="center"/>
                  </w:pPr>
                  <w:r>
                    <w:t xml:space="preserve">24645</w:t>
                  </w:r>
                </w:p>
              </w:tc>
              <w:tc>
                <w:tcPr/>
                <w:p>
                  <w:pPr>
                    <w:pStyle w:val="Compact"/>
                    <w:jc w:val="center"/>
                  </w:pPr>
                  <w:r>
                    <w:t xml:space="preserve">24645</w:t>
                  </w:r>
                </w:p>
              </w:tc>
              <w:tc>
                <w:tcPr/>
                <w:p>
                  <w:pPr>
                    <w:pStyle w:val="Compact"/>
                    <w:jc w:val="center"/>
                  </w:pPr>
                  <w:r>
                    <w:t xml:space="preserve">2473</w:t>
                  </w:r>
                </w:p>
              </w:tc>
              <w:tc>
                <w:tcPr/>
                <w:p>
                  <w:pPr>
                    <w:pStyle w:val="Compact"/>
                    <w:jc w:val="center"/>
                  </w:pPr>
                  <w:r>
                    <w:t xml:space="preserve">2473</w:t>
                  </w:r>
                </w:p>
              </w:tc>
              <w:tc>
                <w:tcPr/>
                <w:p>
                  <w:pPr>
                    <w:pStyle w:val="Compact"/>
                    <w:jc w:val="center"/>
                  </w:pPr>
                  <w:r>
                    <w:t xml:space="preserve">2473</w:t>
                  </w:r>
                </w:p>
              </w:tc>
            </w:tr>
            <w:tr>
              <w:tc>
                <w:tcPr/>
                <w:p>
                  <w:pPr>
                    <w:pStyle w:val="Compact"/>
                    <w:jc w:val="center"/>
                  </w:pPr>
                  <w:r>
                    <w:t xml:space="preserve">R2</w:t>
                  </w:r>
                </w:p>
              </w:tc>
              <w:tc>
                <w:tcPr/>
                <w:p>
                  <w:pPr>
                    <w:pStyle w:val="Compact"/>
                    <w:jc w:val="center"/>
                  </w:pPr>
                  <w:r>
                    <w:t xml:space="preserve">0.605</w:t>
                  </w:r>
                </w:p>
              </w:tc>
              <w:tc>
                <w:tcPr/>
                <w:p>
                  <w:pPr>
                    <w:pStyle w:val="Compact"/>
                    <w:jc w:val="center"/>
                  </w:pPr>
                  <w:r>
                    <w:t xml:space="preserve">0.648</w:t>
                  </w:r>
                </w:p>
              </w:tc>
              <w:tc>
                <w:tcPr/>
                <w:p>
                  <w:pPr>
                    <w:pStyle w:val="Compact"/>
                    <w:jc w:val="center"/>
                  </w:pPr>
                  <w:r>
                    <w:t xml:space="preserve">0.897</w:t>
                  </w:r>
                </w:p>
              </w:tc>
              <w:tc>
                <w:tcPr/>
                <w:p>
                  <w:pPr>
                    <w:pStyle w:val="Compact"/>
                    <w:jc w:val="center"/>
                  </w:pPr>
                  <w:r>
                    <w:t xml:space="preserve">0.020</w:t>
                  </w:r>
                </w:p>
              </w:tc>
              <w:tc>
                <w:tcPr/>
                <w:p>
                  <w:pPr>
                    <w:pStyle w:val="Compact"/>
                    <w:jc w:val="center"/>
                  </w:pPr>
                  <w:r>
                    <w:t xml:space="preserve">0.022</w:t>
                  </w:r>
                </w:p>
              </w:tc>
              <w:tc>
                <w:tcPr/>
                <w:p>
                  <w:pPr>
                    <w:pStyle w:val="Compact"/>
                    <w:jc w:val="center"/>
                  </w:pPr>
                  <w:r>
                    <w:t xml:space="preserve">0.058</w:t>
                  </w:r>
                </w:p>
              </w:tc>
            </w:tr>
            <w:tr>
              <w:tc>
                <w:tcPr/>
                <w:p>
                  <w:pPr>
                    <w:pStyle w:val="Compact"/>
                    <w:jc w:val="center"/>
                  </w:pPr>
                  <w:r>
                    <w:t xml:space="preserve">R2 Adj.</w:t>
                  </w:r>
                </w:p>
              </w:tc>
              <w:tc>
                <w:tcPr/>
                <w:p>
                  <w:pPr>
                    <w:pStyle w:val="Compact"/>
                    <w:jc w:val="center"/>
                  </w:pPr>
                  <w:r>
                    <w:t xml:space="preserve">0.559</w:t>
                  </w:r>
                </w:p>
              </w:tc>
              <w:tc>
                <w:tcPr/>
                <w:p>
                  <w:pPr>
                    <w:pStyle w:val="Compact"/>
                    <w:jc w:val="center"/>
                  </w:pPr>
                  <w:r>
                    <w:t xml:space="preserve">0.607</w:t>
                  </w:r>
                </w:p>
              </w:tc>
              <w:tc>
                <w:tcPr/>
                <w:p>
                  <w:pPr>
                    <w:pStyle w:val="Compact"/>
                    <w:jc w:val="center"/>
                  </w:pPr>
                  <w:r>
                    <w:t xml:space="preserve">0.885</w:t>
                  </w:r>
                </w:p>
              </w:tc>
              <w:tc>
                <w:tcPr/>
                <w:p>
                  <w:pPr>
                    <w:pStyle w:val="Compact"/>
                    <w:jc w:val="center"/>
                  </w:pPr>
                  <w:r>
                    <w:t xml:space="preserve">0.017</w:t>
                  </w:r>
                </w:p>
              </w:tc>
              <w:tc>
                <w:tcPr/>
                <w:p>
                  <w:pPr>
                    <w:pStyle w:val="Compact"/>
                    <w:jc w:val="center"/>
                  </w:pPr>
                  <w:r>
                    <w:t xml:space="preserve">0.020</w:t>
                  </w:r>
                </w:p>
              </w:tc>
              <w:tc>
                <w:tcPr/>
                <w:p>
                  <w:pPr>
                    <w:pStyle w:val="Compact"/>
                    <w:jc w:val="center"/>
                  </w:pPr>
                  <w:r>
                    <w:t xml:space="preserve">0.056</w:t>
                  </w:r>
                </w:p>
              </w:tc>
            </w:tr>
            <w:tr>
              <w:tc>
                <w:tcPr/>
                <w:p>
                  <w:pPr>
                    <w:pStyle w:val="Compact"/>
                    <w:jc w:val="center"/>
                  </w:pPr>
                  <w:r>
                    <w:t xml:space="preserve">FE: Year</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p>
                  <w:pPr>
                    <w:pStyle w:val="Compact"/>
                    <w:jc w:val="center"/>
                  </w:pPr>
                  <w:r>
                    <w:t xml:space="preserve">FE: COUNTY_FIPS</w:t>
                  </w:r>
                </w:p>
              </w:tc>
              <w:tc>
                <w:tcPr/>
                <w:p>
                  <w:pPr>
                    <w:pStyle w:val="Compact"/>
                    <w:jc w:val="center"/>
                  </w:pPr>
                  <w:r>
                    <w:t xml:space="preserve">X</w:t>
                  </w:r>
                </w:p>
              </w:tc>
              <w:tc>
                <w:tcPr/>
                <w:p>
                  <w:pPr>
                    <w:pStyle w:val="Compact"/>
                    <w:jc w:val="center"/>
                  </w:pPr>
                  <w:r>
                    <w:t xml:space="preserve">X</w:t>
                  </w:r>
                </w:p>
              </w:tc>
              <w:tc>
                <w:tcPr/>
                <w:p>
                  <w:pPr>
                    <w:pStyle w:val="Compact"/>
                    <w:jc w:val="center"/>
                  </w:pPr>
                  <w:r>
                    <w:t xml:space="preserve">X</w:t>
                  </w:r>
                </w:p>
              </w:tc>
              <w:tc>
                <w:tcPr/>
                <w:p>
                  <w:pPr>
                    <w:pStyle w:val="Compact"/>
                  </w:pPr>
                </w:p>
              </w:tc>
              <w:tc>
                <w:tcPr/>
                <w:p>
                  <w:pPr>
                    <w:pStyle w:val="Compact"/>
                  </w:pPr>
                </w:p>
              </w:tc>
              <w:tc>
                <w:tcPr/>
                <w:p>
                  <w:pPr>
                    <w:pStyle w:val="Compact"/>
                  </w:pPr>
                </w:p>
              </w:tc>
            </w:tr>
            <w:tr>
              <w:tc>
                <w:tcPr>
                  <w:gridSpan w:val="7"/>
                </w:tcPr>
                <w:p>
                  <w:pPr>
                    <w:pStyle w:val="Compact"/>
                    <w:numPr>
                      <w:ilvl w:val="0"/>
                      <w:numId w:val="1014"/>
                    </w:numPr>
                    <w:jc w:val="center"/>
                  </w:pPr>
                  <w:r>
                    <w:t xml:space="preserve">p &lt; 0.1, * p &lt; 0.05, ** p &lt; 0.01, *** p &lt; 0.001</w:t>
                  </w:r>
                </w:p>
              </w:tc>
            </w:tr>
          </w:tbl>
          <w:p>
            <w:pPr>
              <w:jc w:val="center"/>
            </w:pPr>
            <w:r>
              <w:rPr>
                <w:i/>
                <w:iCs/>
              </w:rPr>
              <w:t xml:space="preserve">Notes:</w:t>
            </w:r>
            <w:r>
              <w:t xml:space="preserve"> </w:t>
            </w:r>
            <w:r>
              <w:t xml:space="preserve">Level models use the all-controls no-tightness specification with county and year fixed effects. Growth models use the all-controls no-tightness specification. Raw-population weights are included as an additional check alongside log-population weights. Standard errors, in parentheses, are clustered by county in all six columns.</w:t>
            </w:r>
          </w:p>
          <w:bookmarkEnd w:id="58"/>
        </w:tc>
      </w:tr>
    </w:tbl>
    <w:bookmarkEnd w:id="59"/>
    <w:bookmarkStart w:id="120" w:name="bibliography"/>
    <w:p>
      <w:pPr>
        <w:pStyle w:val="Heading2"/>
      </w:pPr>
      <w:r>
        <w:t xml:space="preserve">Bibliography</w:t>
      </w:r>
    </w:p>
    <w:bookmarkStart w:id="119" w:name="refs"/>
    <w:bookmarkStart w:id="61" w:name="ref-acemoglu2024"/>
    <w:p>
      <w:pPr>
        <w:pStyle w:val="Bibliography"/>
      </w:pPr>
      <w:r>
        <w:rPr>
          <w:b/>
          <w:bCs/>
        </w:rPr>
        <w:t xml:space="preserve">Acemoglu, D.</w:t>
      </w:r>
      <w:r>
        <w:t xml:space="preserve"> 2024.</w:t>
      </w:r>
      <w:r>
        <w:t xml:space="preserve"> </w:t>
      </w:r>
      <w:r>
        <w:t xml:space="preserve">“The simple macroeconomics of</w:t>
      </w:r>
      <w:r>
        <w:t xml:space="preserve"> </w:t>
      </w:r>
      <w:r>
        <w:t xml:space="preserve">AI</w:t>
      </w:r>
      <w:r>
        <w:t xml:space="preserve">.”</w:t>
      </w:r>
      <w:r>
        <w:t xml:space="preserve"> </w:t>
      </w:r>
      <w:r>
        <w:t xml:space="preserve">Working Paper. 32487. National Bureau of Economic Research DOI:</w:t>
      </w:r>
      <w:r>
        <w:t xml:space="preserve"> </w:t>
      </w:r>
      <w:hyperlink r:id="rId60">
        <w:r>
          <w:rPr>
            <w:rStyle w:val="Hyperlink"/>
          </w:rPr>
          <w:t xml:space="preserve">10.3386/w32487</w:t>
        </w:r>
      </w:hyperlink>
      <w:r>
        <w:t xml:space="preserve">.</w:t>
      </w:r>
    </w:p>
    <w:bookmarkEnd w:id="61"/>
    <w:bookmarkStart w:id="63" w:name="ref-acemoglu2022"/>
    <w:p>
      <w:pPr>
        <w:pStyle w:val="Bibliography"/>
      </w:pPr>
      <w:r>
        <w:rPr>
          <w:b/>
          <w:bCs/>
        </w:rPr>
        <w:t xml:space="preserve">Acemoglu, D.</w:t>
      </w:r>
      <w:r>
        <w:t xml:space="preserve">,</w:t>
      </w:r>
      <w:r>
        <w:t xml:space="preserve"> </w:t>
      </w:r>
      <w:r>
        <w:rPr>
          <w:b/>
          <w:bCs/>
        </w:rPr>
        <w:t xml:space="preserve">D. Autor</w:t>
      </w:r>
      <w:r>
        <w:t xml:space="preserve">,</w:t>
      </w:r>
      <w:r>
        <w:t xml:space="preserve"> </w:t>
      </w:r>
      <w:r>
        <w:rPr>
          <w:b/>
          <w:bCs/>
        </w:rPr>
        <w:t xml:space="preserve">J. Hazell</w:t>
      </w:r>
      <w:r>
        <w:t xml:space="preserve">,</w:t>
      </w:r>
      <w:r>
        <w:t xml:space="preserve"> </w:t>
      </w:r>
      <w:r>
        <w:rPr>
          <w:b/>
          <w:bCs/>
        </w:rPr>
        <w:t xml:space="preserve">P. Restrepo</w:t>
      </w:r>
      <w:r>
        <w:t xml:space="preserve">. 2022.</w:t>
      </w:r>
      <w:r>
        <w:t xml:space="preserve"> </w:t>
      </w:r>
      <w:r>
        <w:t xml:space="preserve">“Artificial intelligence and jobs: Evidence from online vacancies.”</w:t>
      </w:r>
      <w:r>
        <w:t xml:space="preserve"> </w:t>
      </w:r>
      <w:r>
        <w:rPr>
          <w:i/>
          <w:iCs/>
        </w:rPr>
        <w:t xml:space="preserve">Journal of Labor Economics</w:t>
      </w:r>
      <w:r>
        <w:t xml:space="preserve"> </w:t>
      </w:r>
      <w:r>
        <w:t xml:space="preserve">40(S1): S293–S340. DOI:</w:t>
      </w:r>
      <w:r>
        <w:t xml:space="preserve"> </w:t>
      </w:r>
      <w:hyperlink r:id="rId62">
        <w:r>
          <w:rPr>
            <w:rStyle w:val="Hyperlink"/>
          </w:rPr>
          <w:t xml:space="preserve">10.1086/718327</w:t>
        </w:r>
      </w:hyperlink>
      <w:r>
        <w:t xml:space="preserve">.</w:t>
      </w:r>
    </w:p>
    <w:bookmarkEnd w:id="63"/>
    <w:bookmarkStart w:id="65" w:name="ref-acemoglu2019"/>
    <w:p>
      <w:pPr>
        <w:pStyle w:val="Bibliography"/>
      </w:pPr>
      <w:r>
        <w:rPr>
          <w:b/>
          <w:bCs/>
        </w:rPr>
        <w:t xml:space="preserve">Acemoglu, D.</w:t>
      </w:r>
      <w:r>
        <w:t xml:space="preserve">,</w:t>
      </w:r>
      <w:r>
        <w:t xml:space="preserve"> </w:t>
      </w:r>
      <w:r>
        <w:rPr>
          <w:b/>
          <w:bCs/>
        </w:rPr>
        <w:t xml:space="preserve">P. Restrepo</w:t>
      </w:r>
      <w:r>
        <w:t xml:space="preserve">. 2019.</w:t>
      </w:r>
      <w:r>
        <w:t xml:space="preserve"> </w:t>
      </w:r>
      <w:r>
        <w:t xml:space="preserve">“Automation and new tasks: How technology displaces and reinstates labor.”</w:t>
      </w:r>
      <w:r>
        <w:t xml:space="preserve"> </w:t>
      </w:r>
      <w:r>
        <w:rPr>
          <w:i/>
          <w:iCs/>
        </w:rPr>
        <w:t xml:space="preserve">Journal of Economic Perspectives</w:t>
      </w:r>
      <w:r>
        <w:t xml:space="preserve"> </w:t>
      </w:r>
      <w:r>
        <w:t xml:space="preserve">33(2): 3–30. DOI:</w:t>
      </w:r>
      <w:r>
        <w:t xml:space="preserve"> </w:t>
      </w:r>
      <w:hyperlink r:id="rId64">
        <w:r>
          <w:rPr>
            <w:rStyle w:val="Hyperlink"/>
          </w:rPr>
          <w:t xml:space="preserve">10.1257/jep.33.2.3</w:t>
        </w:r>
      </w:hyperlink>
      <w:r>
        <w:t xml:space="preserve">.</w:t>
      </w:r>
    </w:p>
    <w:bookmarkEnd w:id="65"/>
    <w:bookmarkStart w:id="67" w:name="ref-andreadis2025"/>
    <w:p>
      <w:pPr>
        <w:pStyle w:val="Bibliography"/>
      </w:pPr>
      <w:r>
        <w:rPr>
          <w:b/>
          <w:bCs/>
        </w:rPr>
        <w:t xml:space="preserve">Andreadis, L.</w:t>
      </w:r>
      <w:r>
        <w:t xml:space="preserve">,</w:t>
      </w:r>
      <w:r>
        <w:t xml:space="preserve"> </w:t>
      </w:r>
      <w:r>
        <w:rPr>
          <w:b/>
          <w:bCs/>
        </w:rPr>
        <w:t xml:space="preserve">E. Kalotychou</w:t>
      </w:r>
      <w:r>
        <w:t xml:space="preserve">,</w:t>
      </w:r>
      <w:r>
        <w:t xml:space="preserve"> </w:t>
      </w:r>
      <w:r>
        <w:rPr>
          <w:b/>
          <w:bCs/>
        </w:rPr>
        <w:t xml:space="preserve">M. Chatzikonstantinou</w:t>
      </w:r>
      <w:r>
        <w:t xml:space="preserve">,</w:t>
      </w:r>
      <w:r>
        <w:t xml:space="preserve"> </w:t>
      </w:r>
      <w:r>
        <w:rPr>
          <w:b/>
          <w:bCs/>
        </w:rPr>
        <w:t xml:space="preserve">C. Louca</w:t>
      </w:r>
      <w:r>
        <w:t xml:space="preserve">,</w:t>
      </w:r>
      <w:r>
        <w:t xml:space="preserve"> </w:t>
      </w:r>
      <w:r>
        <w:rPr>
          <w:b/>
          <w:bCs/>
        </w:rPr>
        <w:t xml:space="preserve">C. A. Makridis</w:t>
      </w:r>
      <w:r>
        <w:t xml:space="preserve">. 2025.</w:t>
      </w:r>
      <w:r>
        <w:t xml:space="preserve"> </w:t>
      </w:r>
      <w:r>
        <w:t xml:space="preserve">“Local heterogeneity in artificial intelligence jobs over time and space.”</w:t>
      </w:r>
      <w:r>
        <w:t xml:space="preserve"> </w:t>
      </w:r>
      <w:r>
        <w:rPr>
          <w:i/>
          <w:iCs/>
        </w:rPr>
        <w:t xml:space="preserve">AEA Papers and Proceedings</w:t>
      </w:r>
      <w:r>
        <w:t xml:space="preserve"> </w:t>
      </w:r>
      <w:r>
        <w:t xml:space="preserve">115: 29–34. DOI:</w:t>
      </w:r>
      <w:r>
        <w:t xml:space="preserve"> </w:t>
      </w:r>
      <w:hyperlink r:id="rId66">
        <w:r>
          <w:rPr>
            <w:rStyle w:val="Hyperlink"/>
          </w:rPr>
          <w:t xml:space="preserve">10.1257/pandp.20251001</w:t>
        </w:r>
      </w:hyperlink>
      <w:r>
        <w:t xml:space="preserve">.</w:t>
      </w:r>
    </w:p>
    <w:bookmarkEnd w:id="67"/>
    <w:bookmarkStart w:id="68" w:name="ref-angrist2009mostly"/>
    <w:p>
      <w:pPr>
        <w:pStyle w:val="Bibliography"/>
      </w:pPr>
      <w:r>
        <w:rPr>
          <w:b/>
          <w:bCs/>
        </w:rPr>
        <w:t xml:space="preserve">Angrist, J. D.</w:t>
      </w:r>
      <w:r>
        <w:t xml:space="preserve">,</w:t>
      </w:r>
      <w:r>
        <w:t xml:space="preserve"> </w:t>
      </w:r>
      <w:r>
        <w:rPr>
          <w:b/>
          <w:bCs/>
        </w:rPr>
        <w:t xml:space="preserve">J.-S. Pischke</w:t>
      </w:r>
      <w:r>
        <w:t xml:space="preserve">. 2009.</w:t>
      </w:r>
      <w:r>
        <w:t xml:space="preserve"> </w:t>
      </w:r>
      <w:r>
        <w:rPr>
          <w:i/>
          <w:iCs/>
        </w:rPr>
        <w:t xml:space="preserve">Mostly harmless econometrics: An empiricist’s companion</w:t>
      </w:r>
      <w:r>
        <w:t xml:space="preserve"> </w:t>
      </w:r>
      <w:r>
        <w:t xml:space="preserve">Princeton, NJ: Princeton University Press.</w:t>
      </w:r>
    </w:p>
    <w:bookmarkEnd w:id="68"/>
    <w:bookmarkStart w:id="70" w:name="ref-modelsummary"/>
    <w:p>
      <w:pPr>
        <w:pStyle w:val="Bibliography"/>
      </w:pPr>
      <w:r>
        <w:rPr>
          <w:b/>
          <w:bCs/>
        </w:rPr>
        <w:t xml:space="preserve">Arel-Bundock, V.</w:t>
      </w:r>
      <w:r>
        <w:t xml:space="preserve"> 2022.</w:t>
      </w:r>
      <w:r>
        <w:t xml:space="preserve"> </w:t>
      </w:r>
      <w:r>
        <w:t xml:space="preserve">“</w:t>
      </w:r>
      <w:r>
        <w:t xml:space="preserve">modelsummary</w:t>
      </w:r>
      <w:r>
        <w:t xml:space="preserve">: Data and model summaries in</w:t>
      </w:r>
      <w:r>
        <w:t xml:space="preserve"> </w:t>
      </w:r>
      <w:r>
        <w:t xml:space="preserve">R</w:t>
      </w:r>
      <w:r>
        <w:t xml:space="preserve">.”</w:t>
      </w:r>
      <w:r>
        <w:t xml:space="preserve"> </w:t>
      </w:r>
      <w:r>
        <w:rPr>
          <w:i/>
          <w:iCs/>
        </w:rPr>
        <w:t xml:space="preserve">Journal of Statistical Software</w:t>
      </w:r>
      <w:r>
        <w:t xml:space="preserve"> </w:t>
      </w:r>
      <w:r>
        <w:t xml:space="preserve">103(1): 1–23. DOI:</w:t>
      </w:r>
      <w:r>
        <w:t xml:space="preserve"> </w:t>
      </w:r>
      <w:hyperlink r:id="rId69">
        <w:r>
          <w:rPr>
            <w:rStyle w:val="Hyperlink"/>
          </w:rPr>
          <w:t xml:space="preserve">10.18637/jss.v103.i01</w:t>
        </w:r>
      </w:hyperlink>
      <w:r>
        <w:t xml:space="preserve">.</w:t>
      </w:r>
    </w:p>
    <w:bookmarkEnd w:id="70"/>
    <w:bookmarkStart w:id="72" w:name="ref-autor2015"/>
    <w:p>
      <w:pPr>
        <w:pStyle w:val="Bibliography"/>
      </w:pPr>
      <w:r>
        <w:rPr>
          <w:b/>
          <w:bCs/>
        </w:rPr>
        <w:t xml:space="preserve">Autor, D. H.</w:t>
      </w:r>
      <w:r>
        <w:t xml:space="preserve"> 2015.</w:t>
      </w:r>
      <w:r>
        <w:t xml:space="preserve"> </w:t>
      </w:r>
      <w:r>
        <w:t xml:space="preserve">“Why are there still so many jobs? The history and future of workplace automation.”</w:t>
      </w:r>
      <w:r>
        <w:t xml:space="preserve"> </w:t>
      </w:r>
      <w:r>
        <w:rPr>
          <w:i/>
          <w:iCs/>
        </w:rPr>
        <w:t xml:space="preserve">Journal of Economic Perspectives</w:t>
      </w:r>
      <w:r>
        <w:t xml:space="preserve"> </w:t>
      </w:r>
      <w:r>
        <w:t xml:space="preserve">29(3): 3–30. DOI:</w:t>
      </w:r>
      <w:r>
        <w:t xml:space="preserve"> </w:t>
      </w:r>
      <w:hyperlink r:id="rId71">
        <w:r>
          <w:rPr>
            <w:rStyle w:val="Hyperlink"/>
          </w:rPr>
          <w:t xml:space="preserve">10.1257/jep.29.3.3</w:t>
        </w:r>
      </w:hyperlink>
      <w:r>
        <w:t xml:space="preserve">.</w:t>
      </w:r>
    </w:p>
    <w:bookmarkEnd w:id="72"/>
    <w:bookmarkStart w:id="74" w:name="ref-babina2024"/>
    <w:p>
      <w:pPr>
        <w:pStyle w:val="Bibliography"/>
      </w:pPr>
      <w:r>
        <w:rPr>
          <w:b/>
          <w:bCs/>
        </w:rPr>
        <w:t xml:space="preserve">Babina, T.</w:t>
      </w:r>
      <w:r>
        <w:t xml:space="preserve">,</w:t>
      </w:r>
      <w:r>
        <w:t xml:space="preserve"> </w:t>
      </w:r>
      <w:r>
        <w:rPr>
          <w:b/>
          <w:bCs/>
        </w:rPr>
        <w:t xml:space="preserve">A. Fedyk</w:t>
      </w:r>
      <w:r>
        <w:t xml:space="preserve">,</w:t>
      </w:r>
      <w:r>
        <w:t xml:space="preserve"> </w:t>
      </w:r>
      <w:r>
        <w:rPr>
          <w:b/>
          <w:bCs/>
        </w:rPr>
        <w:t xml:space="preserve">A. He</w:t>
      </w:r>
      <w:r>
        <w:t xml:space="preserve">,</w:t>
      </w:r>
      <w:r>
        <w:t xml:space="preserve"> </w:t>
      </w:r>
      <w:r>
        <w:rPr>
          <w:b/>
          <w:bCs/>
        </w:rPr>
        <w:t xml:space="preserve">J. Hodson</w:t>
      </w:r>
      <w:r>
        <w:t xml:space="preserve">. 2024.</w:t>
      </w:r>
      <w:r>
        <w:t xml:space="preserve"> </w:t>
      </w:r>
      <w:r>
        <w:t xml:space="preserve">“Artificial intelligence, firm growth, and product innovation.”</w:t>
      </w:r>
      <w:r>
        <w:t xml:space="preserve"> </w:t>
      </w:r>
      <w:r>
        <w:rPr>
          <w:i/>
          <w:iCs/>
        </w:rPr>
        <w:t xml:space="preserve">Journal of Financial Economics</w:t>
      </w:r>
      <w:r>
        <w:t xml:space="preserve"> </w:t>
      </w:r>
      <w:r>
        <w:t xml:space="preserve">151(C): 103745. DOI:</w:t>
      </w:r>
      <w:r>
        <w:t xml:space="preserve"> </w:t>
      </w:r>
      <w:hyperlink r:id="rId73">
        <w:r>
          <w:rPr>
            <w:rStyle w:val="Hyperlink"/>
          </w:rPr>
          <w:t xml:space="preserve">10.1016/j.jfineco.2023.103745</w:t>
        </w:r>
      </w:hyperlink>
      <w:r>
        <w:t xml:space="preserve">.</w:t>
      </w:r>
    </w:p>
    <w:bookmarkEnd w:id="74"/>
    <w:bookmarkStart w:id="76" w:name="ref-beckett2023"/>
    <w:p>
      <w:pPr>
        <w:pStyle w:val="Bibliography"/>
      </w:pPr>
      <w:r>
        <w:rPr>
          <w:b/>
          <w:bCs/>
        </w:rPr>
        <w:t xml:space="preserve">Beckett, E.</w:t>
      </w:r>
      <w:r>
        <w:t xml:space="preserve"> 2023.</w:t>
      </w:r>
      <w:r>
        <w:t xml:space="preserve"> </w:t>
      </w:r>
      <w:r>
        <w:t xml:space="preserve">“Demand for</w:t>
      </w:r>
      <w:r>
        <w:t xml:space="preserve"> </w:t>
      </w:r>
      <w:r>
        <w:t xml:space="preserve">AI</w:t>
      </w:r>
      <w:r>
        <w:t xml:space="preserve"> </w:t>
      </w:r>
      <w:r>
        <w:t xml:space="preserve">skills continues climbing.”</w:t>
      </w:r>
      <w:r>
        <w:t xml:space="preserve"> </w:t>
      </w:r>
      <w:r>
        <w:t xml:space="preserve">Lightcast Blog.</w:t>
      </w:r>
      <w:r>
        <w:t xml:space="preserve"> </w:t>
      </w:r>
      <w:hyperlink r:id="rId75">
        <w:r>
          <w:rPr>
            <w:rStyle w:val="Hyperlink"/>
          </w:rPr>
          <w:t xml:space="preserve">https://lightcast.io/</w:t>
        </w:r>
      </w:hyperlink>
      <w:r>
        <w:t xml:space="preserve">.</w:t>
      </w:r>
    </w:p>
    <w:bookmarkEnd w:id="76"/>
    <w:bookmarkStart w:id="77" w:name="ref-fixest"/>
    <w:p>
      <w:pPr>
        <w:pStyle w:val="Bibliography"/>
      </w:pPr>
      <w:r>
        <w:rPr>
          <w:b/>
          <w:bCs/>
        </w:rPr>
        <w:t xml:space="preserve">Bergé, L.</w:t>
      </w:r>
      <w:r>
        <w:t xml:space="preserve"> 2018.</w:t>
      </w:r>
      <w:r>
        <w:t xml:space="preserve"> </w:t>
      </w:r>
      <w:r>
        <w:t xml:space="preserve">“Efficient estimation of maximum likelihood models with multiple fixed-effects: The</w:t>
      </w:r>
      <w:r>
        <w:t xml:space="preserve"> </w:t>
      </w:r>
      <w:r>
        <w:t xml:space="preserve">R</w:t>
      </w:r>
      <w:r>
        <w:t xml:space="preserve"> </w:t>
      </w:r>
      <w:r>
        <w:t xml:space="preserve">package</w:t>
      </w:r>
      <w:r>
        <w:t xml:space="preserve"> </w:t>
      </w:r>
      <w:r>
        <w:t xml:space="preserve">FENmlm</w:t>
      </w:r>
      <w:r>
        <w:t xml:space="preserve">.”</w:t>
      </w:r>
      <w:r>
        <w:t xml:space="preserve"> </w:t>
      </w:r>
      <w:r>
        <w:rPr>
          <w:i/>
          <w:iCs/>
        </w:rPr>
        <w:t xml:space="preserve">CREA Discussion Papers</w:t>
      </w:r>
      <w:r>
        <w:t xml:space="preserve"> </w:t>
      </w:r>
      <w:r>
        <w:t xml:space="preserve">(13).</w:t>
      </w:r>
    </w:p>
    <w:bookmarkEnd w:id="77"/>
    <w:bookmarkStart w:id="78" w:name="ref-beveridge1944"/>
    <w:p>
      <w:pPr>
        <w:pStyle w:val="Bibliography"/>
      </w:pPr>
      <w:r>
        <w:rPr>
          <w:b/>
          <w:bCs/>
        </w:rPr>
        <w:t xml:space="preserve">Beveridge, W. H.</w:t>
      </w:r>
      <w:r>
        <w:t xml:space="preserve"> 1944.</w:t>
      </w:r>
      <w:r>
        <w:t xml:space="preserve"> </w:t>
      </w:r>
      <w:r>
        <w:rPr>
          <w:i/>
          <w:iCs/>
        </w:rPr>
        <w:t xml:space="preserve">Full employment in a free society</w:t>
      </w:r>
      <w:r>
        <w:t xml:space="preserve"> </w:t>
      </w:r>
      <w:r>
        <w:t xml:space="preserve">London: George Allen; Unwin.</w:t>
      </w:r>
    </w:p>
    <w:bookmarkEnd w:id="78"/>
    <w:bookmarkStart w:id="80" w:name="ref-bogin2019"/>
    <w:p>
      <w:pPr>
        <w:pStyle w:val="Bibliography"/>
      </w:pPr>
      <w:r>
        <w:rPr>
          <w:b/>
          <w:bCs/>
        </w:rPr>
        <w:t xml:space="preserve">Bogin, A.</w:t>
      </w:r>
      <w:r>
        <w:t xml:space="preserve">,</w:t>
      </w:r>
      <w:r>
        <w:t xml:space="preserve"> </w:t>
      </w:r>
      <w:r>
        <w:rPr>
          <w:b/>
          <w:bCs/>
        </w:rPr>
        <w:t xml:space="preserve">W. Doerner</w:t>
      </w:r>
      <w:r>
        <w:t xml:space="preserve">,</w:t>
      </w:r>
      <w:r>
        <w:t xml:space="preserve"> </w:t>
      </w:r>
      <w:r>
        <w:rPr>
          <w:b/>
          <w:bCs/>
        </w:rPr>
        <w:t xml:space="preserve">W. Larson</w:t>
      </w:r>
      <w:r>
        <w:t xml:space="preserve">. 2019.</w:t>
      </w:r>
      <w:r>
        <w:t xml:space="preserve"> </w:t>
      </w:r>
      <w:r>
        <w:t xml:space="preserve">“Local house price dynamics: New indices and stylized facts.”</w:t>
      </w:r>
      <w:r>
        <w:t xml:space="preserve"> </w:t>
      </w:r>
      <w:r>
        <w:rPr>
          <w:i/>
          <w:iCs/>
        </w:rPr>
        <w:t xml:space="preserve">Real Estate Economics</w:t>
      </w:r>
      <w:r>
        <w:t xml:space="preserve"> </w:t>
      </w:r>
      <w:r>
        <w:t xml:space="preserve">47(2): 365–398. DOI:</w:t>
      </w:r>
      <w:r>
        <w:t xml:space="preserve"> </w:t>
      </w:r>
      <w:hyperlink r:id="rId79">
        <w:r>
          <w:rPr>
            <w:rStyle w:val="Hyperlink"/>
          </w:rPr>
          <w:t xml:space="preserve">10.1111/1540-6229.12233</w:t>
        </w:r>
      </w:hyperlink>
      <w:r>
        <w:t xml:space="preserve">.</w:t>
      </w:r>
    </w:p>
    <w:bookmarkEnd w:id="80"/>
    <w:bookmarkStart w:id="82" w:name="ref-brynjolfsson2021"/>
    <w:p>
      <w:pPr>
        <w:pStyle w:val="Bibliography"/>
      </w:pPr>
      <w:r>
        <w:rPr>
          <w:b/>
          <w:bCs/>
        </w:rPr>
        <w:t xml:space="preserve">Brynjolfsson, E.</w:t>
      </w:r>
      <w:r>
        <w:t xml:space="preserve">,</w:t>
      </w:r>
      <w:r>
        <w:t xml:space="preserve"> </w:t>
      </w:r>
      <w:r>
        <w:rPr>
          <w:b/>
          <w:bCs/>
        </w:rPr>
        <w:t xml:space="preserve">D. Rock</w:t>
      </w:r>
      <w:r>
        <w:t xml:space="preserve">,</w:t>
      </w:r>
      <w:r>
        <w:t xml:space="preserve"> </w:t>
      </w:r>
      <w:r>
        <w:rPr>
          <w:b/>
          <w:bCs/>
        </w:rPr>
        <w:t xml:space="preserve">C. Syverson</w:t>
      </w:r>
      <w:r>
        <w:t xml:space="preserve">. 2021.</w:t>
      </w:r>
      <w:r>
        <w:t xml:space="preserve"> </w:t>
      </w:r>
      <w:r>
        <w:t xml:space="preserve">“The productivity</w:t>
      </w:r>
      <w:r>
        <w:t xml:space="preserve"> </w:t>
      </w:r>
      <w:r>
        <w:t xml:space="preserve">J</w:t>
      </w:r>
      <w:r>
        <w:t xml:space="preserve">-curve: How intangibles complement general-purpose technologies.”</w:t>
      </w:r>
      <w:r>
        <w:t xml:space="preserve"> </w:t>
      </w:r>
      <w:r>
        <w:rPr>
          <w:i/>
          <w:iCs/>
        </w:rPr>
        <w:t xml:space="preserve">American Economic Journal: Macroeconomics</w:t>
      </w:r>
      <w:r>
        <w:t xml:space="preserve"> </w:t>
      </w:r>
      <w:r>
        <w:t xml:space="preserve">13(1): 333–372. DOI:</w:t>
      </w:r>
      <w:r>
        <w:t xml:space="preserve"> </w:t>
      </w:r>
      <w:hyperlink r:id="rId81">
        <w:r>
          <w:rPr>
            <w:rStyle w:val="Hyperlink"/>
          </w:rPr>
          <w:t xml:space="preserve">10.1257/mac.20180386</w:t>
        </w:r>
      </w:hyperlink>
      <w:r>
        <w:t xml:space="preserve">.</w:t>
      </w:r>
    </w:p>
    <w:bookmarkEnd w:id="82"/>
    <w:bookmarkStart w:id="84" w:name="ref-cinelli2022"/>
    <w:p>
      <w:pPr>
        <w:pStyle w:val="Bibliography"/>
      </w:pPr>
      <w:r>
        <w:rPr>
          <w:b/>
          <w:bCs/>
        </w:rPr>
        <w:t xml:space="preserve">Cinelli, C.</w:t>
      </w:r>
      <w:r>
        <w:t xml:space="preserve">,</w:t>
      </w:r>
      <w:r>
        <w:t xml:space="preserve"> </w:t>
      </w:r>
      <w:r>
        <w:rPr>
          <w:b/>
          <w:bCs/>
        </w:rPr>
        <w:t xml:space="preserve">C. Hazlett</w:t>
      </w:r>
      <w:r>
        <w:t xml:space="preserve">. 2020.</w:t>
      </w:r>
      <w:r>
        <w:t xml:space="preserve"> </w:t>
      </w:r>
      <w:r>
        <w:t xml:space="preserve">“Making sense of sensitivity: Extending omitted variable bias.”</w:t>
      </w:r>
      <w:r>
        <w:t xml:space="preserve"> </w:t>
      </w:r>
      <w:r>
        <w:rPr>
          <w:i/>
          <w:iCs/>
        </w:rPr>
        <w:t xml:space="preserve">Journal of the Royal Statistical Society: Series B (Statistical Methodology)</w:t>
      </w:r>
      <w:r>
        <w:t xml:space="preserve"> </w:t>
      </w:r>
      <w:r>
        <w:t xml:space="preserve">82(1): 39–67. DOI:</w:t>
      </w:r>
      <w:r>
        <w:t xml:space="preserve"> </w:t>
      </w:r>
      <w:hyperlink r:id="rId83">
        <w:r>
          <w:rPr>
            <w:rStyle w:val="Hyperlink"/>
          </w:rPr>
          <w:t xml:space="preserve">10.1111/rssb.12348</w:t>
        </w:r>
      </w:hyperlink>
      <w:r>
        <w:t xml:space="preserve">.</w:t>
      </w:r>
    </w:p>
    <w:bookmarkEnd w:id="84"/>
    <w:bookmarkStart w:id="85" w:name="ref-cunningham2021causal"/>
    <w:p>
      <w:pPr>
        <w:pStyle w:val="Bibliography"/>
      </w:pPr>
      <w:r>
        <w:rPr>
          <w:b/>
          <w:bCs/>
        </w:rPr>
        <w:t xml:space="preserve">Cunningham, S.</w:t>
      </w:r>
      <w:r>
        <w:t xml:space="preserve"> 2021.</w:t>
      </w:r>
      <w:r>
        <w:t xml:space="preserve"> </w:t>
      </w:r>
      <w:r>
        <w:rPr>
          <w:i/>
          <w:iCs/>
        </w:rPr>
        <w:t xml:space="preserve">Causal inference: The mixtape</w:t>
      </w:r>
      <w:r>
        <w:t xml:space="preserve"> </w:t>
      </w:r>
      <w:r>
        <w:t xml:space="preserve">New Haven, CT: Yale University Press.</w:t>
      </w:r>
    </w:p>
    <w:bookmarkEnd w:id="85"/>
    <w:bookmarkStart w:id="87" w:name="ref-usmap"/>
    <w:p>
      <w:pPr>
        <w:pStyle w:val="Bibliography"/>
      </w:pPr>
      <w:r>
        <w:rPr>
          <w:b/>
          <w:bCs/>
        </w:rPr>
        <w:t xml:space="preserve">Di Lorenzo, P.</w:t>
      </w:r>
      <w:r>
        <w:t xml:space="preserve"> 2024.</w:t>
      </w:r>
      <w:r>
        <w:t xml:space="preserve"> </w:t>
      </w:r>
      <w:r>
        <w:rPr>
          <w:i/>
          <w:iCs/>
        </w:rPr>
        <w:t xml:space="preserve">Usmap: US maps including alaska and hawaii</w:t>
      </w:r>
      <w:r>
        <w:t xml:space="preserve"> </w:t>
      </w:r>
      <w:hyperlink r:id="rId86">
        <w:r>
          <w:rPr>
            <w:rStyle w:val="Hyperlink"/>
          </w:rPr>
          <w:t xml:space="preserve">https://CRAN.R-project.org/package=usmap</w:t>
        </w:r>
      </w:hyperlink>
      <w:r>
        <w:t xml:space="preserve">.</w:t>
      </w:r>
    </w:p>
    <w:bookmarkEnd w:id="87"/>
    <w:bookmarkStart w:id="88" w:name="ref-diamond2015"/>
    <w:p>
      <w:pPr>
        <w:pStyle w:val="Bibliography"/>
      </w:pPr>
      <w:r>
        <w:rPr>
          <w:b/>
          <w:bCs/>
        </w:rPr>
        <w:t xml:space="preserve">Diamond, P. A.</w:t>
      </w:r>
      <w:r>
        <w:t xml:space="preserve">,</w:t>
      </w:r>
      <w:r>
        <w:t xml:space="preserve"> </w:t>
      </w:r>
      <w:r>
        <w:rPr>
          <w:b/>
          <w:bCs/>
        </w:rPr>
        <w:t xml:space="preserve">A. Sahin</w:t>
      </w:r>
      <w:r>
        <w:t xml:space="preserve">. 2015.</w:t>
      </w:r>
      <w:r>
        <w:t xml:space="preserve"> </w:t>
      </w:r>
      <w:r>
        <w:t xml:space="preserve">“Shifts in the beveridge curve.”</w:t>
      </w:r>
      <w:r>
        <w:t xml:space="preserve"> </w:t>
      </w:r>
      <w:r>
        <w:rPr>
          <w:i/>
          <w:iCs/>
        </w:rPr>
        <w:t xml:space="preserve">Research in Economics</w:t>
      </w:r>
      <w:r>
        <w:t xml:space="preserve"> </w:t>
      </w:r>
      <w:r>
        <w:t xml:space="preserve">69(1): 18–25.</w:t>
      </w:r>
    </w:p>
    <w:bookmarkEnd w:id="88"/>
    <w:bookmarkStart w:id="90" w:name="ref-eloundou2024"/>
    <w:p>
      <w:pPr>
        <w:pStyle w:val="Bibliography"/>
      </w:pPr>
      <w:r>
        <w:rPr>
          <w:b/>
          <w:bCs/>
        </w:rPr>
        <w:t xml:space="preserve">Eloundou, T.</w:t>
      </w:r>
      <w:r>
        <w:t xml:space="preserve">,</w:t>
      </w:r>
      <w:r>
        <w:t xml:space="preserve"> </w:t>
      </w:r>
      <w:r>
        <w:rPr>
          <w:b/>
          <w:bCs/>
        </w:rPr>
        <w:t xml:space="preserve">S. Manning</w:t>
      </w:r>
      <w:r>
        <w:t xml:space="preserve">,</w:t>
      </w:r>
      <w:r>
        <w:t xml:space="preserve"> </w:t>
      </w:r>
      <w:r>
        <w:rPr>
          <w:b/>
          <w:bCs/>
        </w:rPr>
        <w:t xml:space="preserve">P. Mishkin</w:t>
      </w:r>
      <w:r>
        <w:t xml:space="preserve">,</w:t>
      </w:r>
      <w:r>
        <w:t xml:space="preserve"> </w:t>
      </w:r>
      <w:r>
        <w:rPr>
          <w:b/>
          <w:bCs/>
        </w:rPr>
        <w:t xml:space="preserve">D. Rock</w:t>
      </w:r>
      <w:r>
        <w:t xml:space="preserve">. 2024.</w:t>
      </w:r>
      <w:r>
        <w:t xml:space="preserve"> </w:t>
      </w:r>
      <w:r>
        <w:t xml:space="preserve">“</w:t>
      </w:r>
      <w:r>
        <w:t xml:space="preserve">GPTs</w:t>
      </w:r>
      <w:r>
        <w:t xml:space="preserve"> </w:t>
      </w:r>
      <w:r>
        <w:t xml:space="preserve">are</w:t>
      </w:r>
      <w:r>
        <w:t xml:space="preserve"> </w:t>
      </w:r>
      <w:r>
        <w:t xml:space="preserve">GPTs</w:t>
      </w:r>
      <w:r>
        <w:t xml:space="preserve">: Labor market impact potential of</w:t>
      </w:r>
      <w:r>
        <w:t xml:space="preserve"> </w:t>
      </w:r>
      <w:r>
        <w:t xml:space="preserve">LLMs</w:t>
      </w:r>
      <w:r>
        <w:t xml:space="preserve">.”</w:t>
      </w:r>
      <w:r>
        <w:t xml:space="preserve"> </w:t>
      </w:r>
      <w:r>
        <w:rPr>
          <w:i/>
          <w:iCs/>
        </w:rPr>
        <w:t xml:space="preserve">Science</w:t>
      </w:r>
      <w:r>
        <w:t xml:space="preserve"> </w:t>
      </w:r>
      <w:r>
        <w:t xml:space="preserve">384(6702): 1306–1308. DOI:</w:t>
      </w:r>
      <w:r>
        <w:t xml:space="preserve"> </w:t>
      </w:r>
      <w:hyperlink r:id="rId89">
        <w:r>
          <w:rPr>
            <w:rStyle w:val="Hyperlink"/>
          </w:rPr>
          <w:t xml:space="preserve">10.1126/science.adj0998</w:t>
        </w:r>
      </w:hyperlink>
      <w:r>
        <w:t xml:space="preserve">.</w:t>
      </w:r>
    </w:p>
    <w:bookmarkEnd w:id="90"/>
    <w:bookmarkStart w:id="91" w:name="ref-gibbons2015spatial"/>
    <w:p>
      <w:pPr>
        <w:pStyle w:val="Bibliography"/>
      </w:pPr>
      <w:r>
        <w:rPr>
          <w:b/>
          <w:bCs/>
        </w:rPr>
        <w:t xml:space="preserve">Gibbons, S.</w:t>
      </w:r>
      <w:r>
        <w:t xml:space="preserve">,</w:t>
      </w:r>
      <w:r>
        <w:t xml:space="preserve"> </w:t>
      </w:r>
      <w:r>
        <w:rPr>
          <w:b/>
          <w:bCs/>
        </w:rPr>
        <w:t xml:space="preserve">H. G. Overman</w:t>
      </w:r>
      <w:r>
        <w:t xml:space="preserve">,</w:t>
      </w:r>
      <w:r>
        <w:t xml:space="preserve"> </w:t>
      </w:r>
      <w:r>
        <w:rPr>
          <w:b/>
          <w:bCs/>
        </w:rPr>
        <w:t xml:space="preserve">E. Patacchini</w:t>
      </w:r>
      <w:r>
        <w:t xml:space="preserve">. 2015.</w:t>
      </w:r>
      <w:r>
        <w:t xml:space="preserve"> </w:t>
      </w:r>
      <w:r>
        <w:t xml:space="preserve">“Spatial methods.”</w:t>
      </w:r>
      <w:r>
        <w:t xml:space="preserve"> </w:t>
      </w:r>
      <w:r>
        <w:rPr>
          <w:i/>
          <w:iCs/>
        </w:rPr>
        <w:t xml:space="preserve">Handbook of Regional and Urban Economics</w:t>
      </w:r>
      <w:r>
        <w:t xml:space="preserve"> </w:t>
      </w:r>
      <w:r>
        <w:t xml:space="preserve">5: 115–168.</w:t>
      </w:r>
    </w:p>
    <w:bookmarkEnd w:id="91"/>
    <w:bookmarkStart w:id="93" w:name="ref-giczy2022"/>
    <w:p>
      <w:pPr>
        <w:pStyle w:val="Bibliography"/>
      </w:pPr>
      <w:r>
        <w:rPr>
          <w:b/>
          <w:bCs/>
        </w:rPr>
        <w:t xml:space="preserve">Giczy, A. V.</w:t>
      </w:r>
      <w:r>
        <w:t xml:space="preserve">,</w:t>
      </w:r>
      <w:r>
        <w:t xml:space="preserve"> </w:t>
      </w:r>
      <w:r>
        <w:rPr>
          <w:b/>
          <w:bCs/>
        </w:rPr>
        <w:t xml:space="preserve">N. A. Pairolero</w:t>
      </w:r>
      <w:r>
        <w:t xml:space="preserve">,</w:t>
      </w:r>
      <w:r>
        <w:t xml:space="preserve"> </w:t>
      </w:r>
      <w:r>
        <w:rPr>
          <w:b/>
          <w:bCs/>
        </w:rPr>
        <w:t xml:space="preserve">A. A. Toole</w:t>
      </w:r>
      <w:r>
        <w:t xml:space="preserve">. 2022.</w:t>
      </w:r>
      <w:r>
        <w:t xml:space="preserve"> </w:t>
      </w:r>
      <w:r>
        <w:t xml:space="preserve">“Identifying artificial intelligence (</w:t>
      </w:r>
      <w:r>
        <w:t xml:space="preserve">AI</w:t>
      </w:r>
      <w:r>
        <w:t xml:space="preserve">) invention: A novel</w:t>
      </w:r>
      <w:r>
        <w:t xml:space="preserve"> </w:t>
      </w:r>
      <w:r>
        <w:t xml:space="preserve">AI</w:t>
      </w:r>
      <w:r>
        <w:t xml:space="preserve"> </w:t>
      </w:r>
      <w:r>
        <w:t xml:space="preserve">patent dataset.”</w:t>
      </w:r>
      <w:r>
        <w:t xml:space="preserve"> </w:t>
      </w:r>
      <w:r>
        <w:rPr>
          <w:i/>
          <w:iCs/>
        </w:rPr>
        <w:t xml:space="preserve">The Journal of Technology Transfer</w:t>
      </w:r>
      <w:r>
        <w:t xml:space="preserve"> </w:t>
      </w:r>
      <w:r>
        <w:t xml:space="preserve">47(2): 476–505. DOI:</w:t>
      </w:r>
      <w:r>
        <w:t xml:space="preserve"> </w:t>
      </w:r>
      <w:hyperlink r:id="rId92">
        <w:r>
          <w:rPr>
            <w:rStyle w:val="Hyperlink"/>
          </w:rPr>
          <w:t xml:space="preserve">10.1007/s10961-021-09900-2</w:t>
        </w:r>
      </w:hyperlink>
      <w:r>
        <w:t xml:space="preserve">.</w:t>
      </w:r>
    </w:p>
    <w:bookmarkEnd w:id="93"/>
    <w:bookmarkStart w:id="95" w:name="ref-holland1986"/>
    <w:p>
      <w:pPr>
        <w:pStyle w:val="Bibliography"/>
      </w:pPr>
      <w:r>
        <w:rPr>
          <w:b/>
          <w:bCs/>
        </w:rPr>
        <w:t xml:space="preserve">Holland, P. W.</w:t>
      </w:r>
      <w:r>
        <w:t xml:space="preserve"> 1986.</w:t>
      </w:r>
      <w:r>
        <w:t xml:space="preserve"> </w:t>
      </w:r>
      <w:r>
        <w:t xml:space="preserve">“Statistics and causal inference.”</w:t>
      </w:r>
      <w:r>
        <w:t xml:space="preserve"> </w:t>
      </w:r>
      <w:r>
        <w:rPr>
          <w:i/>
          <w:iCs/>
        </w:rPr>
        <w:t xml:space="preserve">Journal of the American Statistical Association</w:t>
      </w:r>
      <w:r>
        <w:t xml:space="preserve"> </w:t>
      </w:r>
      <w:r>
        <w:t xml:space="preserve">81(396): 945–960. DOI:</w:t>
      </w:r>
      <w:r>
        <w:t xml:space="preserve"> </w:t>
      </w:r>
      <w:hyperlink r:id="rId94">
        <w:r>
          <w:rPr>
            <w:rStyle w:val="Hyperlink"/>
          </w:rPr>
          <w:t xml:space="preserve">10.1080/01621459.1986.10478354</w:t>
        </w:r>
      </w:hyperlink>
      <w:r>
        <w:t xml:space="preserve">.</w:t>
      </w:r>
    </w:p>
    <w:bookmarkEnd w:id="95"/>
    <w:bookmarkStart w:id="97" w:name="ref-ihaka1996r"/>
    <w:p>
      <w:pPr>
        <w:pStyle w:val="Bibliography"/>
      </w:pPr>
      <w:r>
        <w:rPr>
          <w:b/>
          <w:bCs/>
        </w:rPr>
        <w:t xml:space="preserve">Ihaka, R.</w:t>
      </w:r>
      <w:r>
        <w:t xml:space="preserve">,</w:t>
      </w:r>
      <w:r>
        <w:t xml:space="preserve"> </w:t>
      </w:r>
      <w:r>
        <w:rPr>
          <w:b/>
          <w:bCs/>
        </w:rPr>
        <w:t xml:space="preserve">R. Gentleman</w:t>
      </w:r>
      <w:r>
        <w:t xml:space="preserve">. 1996.</w:t>
      </w:r>
      <w:r>
        <w:t xml:space="preserve"> </w:t>
      </w:r>
      <w:r>
        <w:t xml:space="preserve">“R: A language for data analysis and graphics.”</w:t>
      </w:r>
      <w:r>
        <w:t xml:space="preserve"> </w:t>
      </w:r>
      <w:r>
        <w:rPr>
          <w:i/>
          <w:iCs/>
        </w:rPr>
        <w:t xml:space="preserve">Journal of Computational and Graphical Statistics</w:t>
      </w:r>
      <w:r>
        <w:t xml:space="preserve"> </w:t>
      </w:r>
      <w:r>
        <w:t xml:space="preserve">5(3): 299–314. DOI:</w:t>
      </w:r>
      <w:r>
        <w:t xml:space="preserve"> </w:t>
      </w:r>
      <w:hyperlink r:id="rId96">
        <w:r>
          <w:rPr>
            <w:rStyle w:val="Hyperlink"/>
          </w:rPr>
          <w:t xml:space="preserve">10.1080/10618600.1996.10474713</w:t>
        </w:r>
      </w:hyperlink>
      <w:r>
        <w:t xml:space="preserve">.</w:t>
      </w:r>
    </w:p>
    <w:bookmarkEnd w:id="97"/>
    <w:bookmarkStart w:id="99" w:name="ref-kline2014"/>
    <w:p>
      <w:pPr>
        <w:pStyle w:val="Bibliography"/>
      </w:pPr>
      <w:r>
        <w:rPr>
          <w:b/>
          <w:bCs/>
        </w:rPr>
        <w:t xml:space="preserve">Kline, P.</w:t>
      </w:r>
      <w:r>
        <w:t xml:space="preserve">,</w:t>
      </w:r>
      <w:r>
        <w:t xml:space="preserve"> </w:t>
      </w:r>
      <w:r>
        <w:rPr>
          <w:b/>
          <w:bCs/>
        </w:rPr>
        <w:t xml:space="preserve">E. Moretti</w:t>
      </w:r>
      <w:r>
        <w:t xml:space="preserve">. 2014.</w:t>
      </w:r>
      <w:r>
        <w:t xml:space="preserve"> </w:t>
      </w:r>
      <w:r>
        <w:t xml:space="preserve">“People, places, and public policy: Some simple welfare economics of local economic development programs.”</w:t>
      </w:r>
      <w:r>
        <w:t xml:space="preserve"> </w:t>
      </w:r>
      <w:r>
        <w:rPr>
          <w:i/>
          <w:iCs/>
        </w:rPr>
        <w:t xml:space="preserve">Annual Review of Economics</w:t>
      </w:r>
      <w:r>
        <w:t xml:space="preserve"> </w:t>
      </w:r>
      <w:r>
        <w:t xml:space="preserve">6: 629–662. DOI:</w:t>
      </w:r>
      <w:r>
        <w:t xml:space="preserve"> </w:t>
      </w:r>
      <w:hyperlink r:id="rId98">
        <w:r>
          <w:rPr>
            <w:rStyle w:val="Hyperlink"/>
          </w:rPr>
          <w:t xml:space="preserve">10.1146/annurev-economics-080213-041024</w:t>
        </w:r>
      </w:hyperlink>
      <w:r>
        <w:t xml:space="preserve">.</w:t>
      </w:r>
    </w:p>
    <w:bookmarkEnd w:id="99"/>
    <w:bookmarkStart w:id="101" w:name="ref-kronmal1993spurious"/>
    <w:p>
      <w:pPr>
        <w:pStyle w:val="Bibliography"/>
      </w:pPr>
      <w:r>
        <w:rPr>
          <w:b/>
          <w:bCs/>
        </w:rPr>
        <w:t xml:space="preserve">Kronmal, R. A.</w:t>
      </w:r>
      <w:r>
        <w:t xml:space="preserve"> 1993.</w:t>
      </w:r>
      <w:r>
        <w:t xml:space="preserve"> </w:t>
      </w:r>
      <w:r>
        <w:t xml:space="preserve">“Spurious correlation and the fallacy of the ratio standard revisited.”</w:t>
      </w:r>
      <w:r>
        <w:t xml:space="preserve"> </w:t>
      </w:r>
      <w:r>
        <w:rPr>
          <w:i/>
          <w:iCs/>
        </w:rPr>
        <w:t xml:space="preserve">Journal of the Royal Statistical Society: Series A (Statistics in Society)</w:t>
      </w:r>
      <w:r>
        <w:t xml:space="preserve"> </w:t>
      </w:r>
      <w:r>
        <w:t xml:space="preserve">156(3): 379–392. DOI:</w:t>
      </w:r>
      <w:r>
        <w:t xml:space="preserve"> </w:t>
      </w:r>
      <w:hyperlink r:id="rId100">
        <w:r>
          <w:rPr>
            <w:rStyle w:val="Hyperlink"/>
          </w:rPr>
          <w:t xml:space="preserve">10.2307/2983064</w:t>
        </w:r>
      </w:hyperlink>
      <w:r>
        <w:t xml:space="preserve">.</w:t>
      </w:r>
    </w:p>
    <w:bookmarkEnd w:id="101"/>
    <w:bookmarkStart w:id="103" w:name="ref-moretti2004"/>
    <w:p>
      <w:pPr>
        <w:pStyle w:val="Bibliography"/>
      </w:pPr>
      <w:r>
        <w:rPr>
          <w:b/>
          <w:bCs/>
        </w:rPr>
        <w:t xml:space="preserve">Moretti, E.</w:t>
      </w:r>
      <w:r>
        <w:t xml:space="preserve"> 2004.</w:t>
      </w:r>
      <w:r>
        <w:t xml:space="preserve"> </w:t>
      </w:r>
      <w:r>
        <w:t xml:space="preserve">“Estimating the social return to higher education: Evidence from longitudinal and repeated cross-sectional data.”</w:t>
      </w:r>
      <w:r>
        <w:t xml:space="preserve"> </w:t>
      </w:r>
      <w:r>
        <w:rPr>
          <w:i/>
          <w:iCs/>
        </w:rPr>
        <w:t xml:space="preserve">Journal of Econometrics</w:t>
      </w:r>
      <w:r>
        <w:t xml:space="preserve"> </w:t>
      </w:r>
      <w:r>
        <w:t xml:space="preserve">121(1-2): 175–212. DOI:</w:t>
      </w:r>
      <w:r>
        <w:t xml:space="preserve"> </w:t>
      </w:r>
      <w:hyperlink r:id="rId102">
        <w:r>
          <w:rPr>
            <w:rStyle w:val="Hyperlink"/>
          </w:rPr>
          <w:t xml:space="preserve">10.1016/j.jeconom.2003.10.015</w:t>
        </w:r>
      </w:hyperlink>
      <w:r>
        <w:t xml:space="preserve">.</w:t>
      </w:r>
    </w:p>
    <w:bookmarkEnd w:id="103"/>
    <w:bookmarkStart w:id="105" w:name="ref-RCoreTeam"/>
    <w:p>
      <w:pPr>
        <w:pStyle w:val="Bibliography"/>
      </w:pPr>
      <w:r>
        <w:rPr>
          <w:b/>
          <w:bCs/>
        </w:rPr>
        <w:t xml:space="preserve">R Core Team</w:t>
      </w:r>
      <w:r>
        <w:t xml:space="preserve">. 2024.</w:t>
      </w:r>
      <w:r>
        <w:t xml:space="preserve"> </w:t>
      </w:r>
      <w:r>
        <w:rPr>
          <w:i/>
          <w:iCs/>
        </w:rPr>
        <w:t xml:space="preserve">R: A language and environment for statistical computing</w:t>
      </w:r>
      <w:r>
        <w:t xml:space="preserve"> </w:t>
      </w:r>
      <w:r>
        <w:t xml:space="preserve">Vienna, Austria: R Foundation for Statistical Computing.</w:t>
      </w:r>
      <w:r>
        <w:t xml:space="preserve"> </w:t>
      </w:r>
      <w:hyperlink r:id="rId104">
        <w:r>
          <w:rPr>
            <w:rStyle w:val="Hyperlink"/>
          </w:rPr>
          <w:t xml:space="preserve">https://www.R-project.org/</w:t>
        </w:r>
      </w:hyperlink>
      <w:r>
        <w:t xml:space="preserve">.</w:t>
      </w:r>
    </w:p>
    <w:bookmarkEnd w:id="105"/>
    <w:bookmarkStart w:id="107" w:name="ref-solon2015"/>
    <w:p>
      <w:pPr>
        <w:pStyle w:val="Bibliography"/>
      </w:pPr>
      <w:r>
        <w:rPr>
          <w:b/>
          <w:bCs/>
        </w:rPr>
        <w:t xml:space="preserve">Solon, G.</w:t>
      </w:r>
      <w:r>
        <w:t xml:space="preserve">,</w:t>
      </w:r>
      <w:r>
        <w:t xml:space="preserve"> </w:t>
      </w:r>
      <w:r>
        <w:rPr>
          <w:b/>
          <w:bCs/>
        </w:rPr>
        <w:t xml:space="preserve">S. J. Haider</w:t>
      </w:r>
      <w:r>
        <w:t xml:space="preserve">,</w:t>
      </w:r>
      <w:r>
        <w:t xml:space="preserve"> </w:t>
      </w:r>
      <w:r>
        <w:rPr>
          <w:b/>
          <w:bCs/>
        </w:rPr>
        <w:t xml:space="preserve">J. M. Wooldridge</w:t>
      </w:r>
      <w:r>
        <w:t xml:space="preserve">. 2015.</w:t>
      </w:r>
      <w:r>
        <w:t xml:space="preserve"> </w:t>
      </w:r>
      <w:r>
        <w:t xml:space="preserve">“What are we weighting for?”</w:t>
      </w:r>
      <w:r>
        <w:t xml:space="preserve"> </w:t>
      </w:r>
      <w:r>
        <w:rPr>
          <w:i/>
          <w:iCs/>
        </w:rPr>
        <w:t xml:space="preserve">Journal of Human Resources</w:t>
      </w:r>
      <w:r>
        <w:t xml:space="preserve"> </w:t>
      </w:r>
      <w:r>
        <w:t xml:space="preserve">50(2): 301–316. DOI:</w:t>
      </w:r>
      <w:r>
        <w:t xml:space="preserve"> </w:t>
      </w:r>
      <w:hyperlink r:id="rId106">
        <w:r>
          <w:rPr>
            <w:rStyle w:val="Hyperlink"/>
          </w:rPr>
          <w:t xml:space="preserve">10.3368/jhr.50.2.301</w:t>
        </w:r>
      </w:hyperlink>
      <w:r>
        <w:t xml:space="preserve">.</w:t>
      </w:r>
    </w:p>
    <w:bookmarkEnd w:id="107"/>
    <w:bookmarkStart w:id="109" w:name="ref-bls_laus"/>
    <w:p>
      <w:pPr>
        <w:pStyle w:val="Bibliography"/>
      </w:pPr>
      <w:r>
        <w:rPr>
          <w:b/>
          <w:bCs/>
        </w:rPr>
        <w:t xml:space="preserve">U.S. Bureau of Labor Statistics</w:t>
      </w:r>
      <w:r>
        <w:t xml:space="preserve">. 2024.</w:t>
      </w:r>
      <w:r>
        <w:t xml:space="preserve"> </w:t>
      </w:r>
      <w:r>
        <w:t xml:space="preserve">“Local area unemployment statistics (</w:t>
      </w:r>
      <w:r>
        <w:t xml:space="preserve">LAUS</w:t>
      </w:r>
      <w:r>
        <w:t xml:space="preserve">).”</w:t>
      </w:r>
      <w:r>
        <w:t xml:space="preserve"> </w:t>
      </w:r>
      <w:hyperlink r:id="rId108">
        <w:r>
          <w:rPr>
            <w:rStyle w:val="Hyperlink"/>
          </w:rPr>
          <w:t xml:space="preserve">https://www.bls.gov/lau/</w:t>
        </w:r>
      </w:hyperlink>
      <w:r>
        <w:t xml:space="preserve">.</w:t>
      </w:r>
    </w:p>
    <w:bookmarkEnd w:id="109"/>
    <w:bookmarkStart w:id="111" w:name="ref-census_acs"/>
    <w:p>
      <w:pPr>
        <w:pStyle w:val="Bibliography"/>
      </w:pPr>
      <w:r>
        <w:rPr>
          <w:b/>
          <w:bCs/>
        </w:rPr>
        <w:t xml:space="preserve">U.S. Census Bureau</w:t>
      </w:r>
      <w:r>
        <w:t xml:space="preserve">. 2024a.</w:t>
      </w:r>
      <w:r>
        <w:t xml:space="preserve"> </w:t>
      </w:r>
      <w:r>
        <w:t xml:space="preserve">“American community survey (</w:t>
      </w:r>
      <w:r>
        <w:t xml:space="preserve">ACS</w:t>
      </w:r>
      <w:r>
        <w:t xml:space="preserve">) 5-year data.”</w:t>
      </w:r>
      <w:r>
        <w:t xml:space="preserve"> </w:t>
      </w:r>
      <w:r>
        <w:t xml:space="preserve">Accessed July 1, 2024.</w:t>
      </w:r>
      <w:r>
        <w:t xml:space="preserve"> </w:t>
      </w:r>
      <w:hyperlink r:id="rId110">
        <w:r>
          <w:rPr>
            <w:rStyle w:val="Hyperlink"/>
          </w:rPr>
          <w:t xml:space="preserve">https://www.census.gov/data/datasets/time-series/econ/acs/acs-datasets.html</w:t>
        </w:r>
      </w:hyperlink>
      <w:r>
        <w:t xml:space="preserve">.</w:t>
      </w:r>
    </w:p>
    <w:bookmarkEnd w:id="111"/>
    <w:bookmarkStart w:id="113" w:name="ref-census_cbp"/>
    <w:p>
      <w:pPr>
        <w:pStyle w:val="Bibliography"/>
      </w:pPr>
      <w:r>
        <w:rPr>
          <w:b/>
          <w:bCs/>
        </w:rPr>
        <w:t xml:space="preserve">U.S. Census Bureau</w:t>
      </w:r>
      <w:r>
        <w:t xml:space="preserve">. 2024b.</w:t>
      </w:r>
      <w:r>
        <w:t xml:space="preserve"> </w:t>
      </w:r>
      <w:r>
        <w:t xml:space="preserve">“County business patterns (</w:t>
      </w:r>
      <w:r>
        <w:t xml:space="preserve">CBP</w:t>
      </w:r>
      <w:r>
        <w:t xml:space="preserve">).”</w:t>
      </w:r>
      <w:r>
        <w:t xml:space="preserve"> </w:t>
      </w:r>
      <w:r>
        <w:t xml:space="preserve">Accessed July 1, 2024.</w:t>
      </w:r>
      <w:r>
        <w:t xml:space="preserve"> </w:t>
      </w:r>
      <w:hyperlink r:id="rId112">
        <w:r>
          <w:rPr>
            <w:rStyle w:val="Hyperlink"/>
          </w:rPr>
          <w:t xml:space="preserve">https://www.census.gov/programs-surveys/cbp/data/datasets.html</w:t>
        </w:r>
      </w:hyperlink>
      <w:r>
        <w:t xml:space="preserve">.</w:t>
      </w:r>
    </w:p>
    <w:bookmarkEnd w:id="113"/>
    <w:bookmarkStart w:id="115" w:name="ref-census_qwi"/>
    <w:p>
      <w:pPr>
        <w:pStyle w:val="Bibliography"/>
      </w:pPr>
      <w:r>
        <w:rPr>
          <w:b/>
          <w:bCs/>
        </w:rPr>
        <w:t xml:space="preserve">U.S. Census Bureau</w:t>
      </w:r>
      <w:r>
        <w:t xml:space="preserve">. 2024c.</w:t>
      </w:r>
      <w:r>
        <w:t xml:space="preserve"> </w:t>
      </w:r>
      <w:r>
        <w:t xml:space="preserve">“Quarterly workforce indicators (</w:t>
      </w:r>
      <w:r>
        <w:t xml:space="preserve">QWI</w:t>
      </w:r>
      <w:r>
        <w:t xml:space="preserve">).”</w:t>
      </w:r>
      <w:r>
        <w:t xml:space="preserve"> </w:t>
      </w:r>
      <w:r>
        <w:t xml:space="preserve">LEHD Program; Accessed July 1, 2024.</w:t>
      </w:r>
      <w:r>
        <w:t xml:space="preserve"> </w:t>
      </w:r>
      <w:hyperlink r:id="rId114">
        <w:r>
          <w:rPr>
            <w:rStyle w:val="Hyperlink"/>
          </w:rPr>
          <w:t xml:space="preserve">https://lehd.ces.census.gov/data/</w:t>
        </w:r>
      </w:hyperlink>
      <w:r>
        <w:t xml:space="preserve">.</w:t>
      </w:r>
    </w:p>
    <w:bookmarkEnd w:id="115"/>
    <w:bookmarkStart w:id="117" w:name="ref-tidyverse"/>
    <w:p>
      <w:pPr>
        <w:pStyle w:val="Bibliography"/>
      </w:pPr>
      <w:r>
        <w:rPr>
          <w:b/>
          <w:bCs/>
        </w:rPr>
        <w:t xml:space="preserve">Wickham, H.</w:t>
      </w:r>
      <w:r>
        <w:t xml:space="preserve">,</w:t>
      </w:r>
      <w:r>
        <w:t xml:space="preserve"> </w:t>
      </w:r>
      <w:r>
        <w:rPr>
          <w:b/>
          <w:bCs/>
        </w:rPr>
        <w:t xml:space="preserve">M. Averick</w:t>
      </w:r>
      <w:r>
        <w:t xml:space="preserve">,</w:t>
      </w:r>
      <w:r>
        <w:t xml:space="preserve"> </w:t>
      </w:r>
      <w:r>
        <w:rPr>
          <w:b/>
          <w:bCs/>
        </w:rPr>
        <w:t xml:space="preserve">J. Bryan</w:t>
      </w:r>
      <w:r>
        <w:t xml:space="preserve">,</w:t>
      </w:r>
      <w:r>
        <w:t xml:space="preserve"> </w:t>
      </w:r>
      <w:r>
        <w:rPr>
          <w:b/>
          <w:bCs/>
        </w:rPr>
        <w:t xml:space="preserve">W. Chang</w:t>
      </w:r>
      <w:r>
        <w:t xml:space="preserve">,</w:t>
      </w:r>
      <w:r>
        <w:t xml:space="preserve"> </w:t>
      </w:r>
      <w:r>
        <w:rPr>
          <w:b/>
          <w:bCs/>
        </w:rPr>
        <w:t xml:space="preserve">L. D. McGowan</w:t>
      </w:r>
      <w:r>
        <w:t xml:space="preserve">,</w:t>
      </w:r>
      <w:r>
        <w:t xml:space="preserve"> </w:t>
      </w:r>
      <w:r>
        <w:rPr>
          <w:b/>
          <w:bCs/>
        </w:rPr>
        <w:t xml:space="preserve">R. François</w:t>
      </w:r>
      <w:r>
        <w:t xml:space="preserve">,</w:t>
      </w:r>
      <w:r>
        <w:t xml:space="preserve"> </w:t>
      </w:r>
      <w:r>
        <w:rPr>
          <w:b/>
          <w:bCs/>
        </w:rPr>
        <w:t xml:space="preserve">G. Grolemund</w:t>
      </w:r>
      <w:r>
        <w:t xml:space="preserve">, et al. 2019.</w:t>
      </w:r>
      <w:r>
        <w:t xml:space="preserve"> </w:t>
      </w:r>
      <w:r>
        <w:t xml:space="preserve">“Welcome to the</w:t>
      </w:r>
      <w:r>
        <w:t xml:space="preserve"> </w:t>
      </w:r>
      <w:r>
        <w:t xml:space="preserve">Tidyverse</w:t>
      </w:r>
      <w:r>
        <w:t xml:space="preserve">.”</w:t>
      </w:r>
      <w:r>
        <w:t xml:space="preserve"> </w:t>
      </w:r>
      <w:r>
        <w:rPr>
          <w:i/>
          <w:iCs/>
        </w:rPr>
        <w:t xml:space="preserve">Journal of Open Source Software</w:t>
      </w:r>
      <w:r>
        <w:t xml:space="preserve"> </w:t>
      </w:r>
      <w:r>
        <w:t xml:space="preserve">4(43): 1686. DOI:</w:t>
      </w:r>
      <w:r>
        <w:t xml:space="preserve"> </w:t>
      </w:r>
      <w:hyperlink r:id="rId116">
        <w:r>
          <w:rPr>
            <w:rStyle w:val="Hyperlink"/>
          </w:rPr>
          <w:t xml:space="preserve">10.21105/joss.01686</w:t>
        </w:r>
      </w:hyperlink>
      <w:r>
        <w:t xml:space="preserve">.</w:t>
      </w:r>
    </w:p>
    <w:bookmarkEnd w:id="117"/>
    <w:bookmarkStart w:id="118" w:name="ref-wooldridge2005"/>
    <w:p>
      <w:pPr>
        <w:pStyle w:val="Bibliography"/>
      </w:pPr>
      <w:r>
        <w:rPr>
          <w:b/>
          <w:bCs/>
        </w:rPr>
        <w:t xml:space="preserve">Wooldridge, J. M.</w:t>
      </w:r>
      <w:r>
        <w:t xml:space="preserve"> 2005.</w:t>
      </w:r>
      <w:r>
        <w:t xml:space="preserve"> </w:t>
      </w:r>
      <w:r>
        <w:t xml:space="preserve">“Unobserved heterogeneity and estimation of average partial effects.”</w:t>
      </w:r>
      <w:r>
        <w:t xml:space="preserve"> </w:t>
      </w:r>
      <w:r>
        <w:t xml:space="preserve">In</w:t>
      </w:r>
      <w:r>
        <w:t xml:space="preserve"> </w:t>
      </w:r>
      <w:r>
        <w:rPr>
          <w:i/>
          <w:iCs/>
        </w:rPr>
        <w:t xml:space="preserve">Identification and inference for econometric models: Essays in honor of thomas rothenberg</w:t>
      </w:r>
      <w:r>
        <w:t xml:space="preserve">, Cambridge University Press.</w:t>
      </w:r>
    </w:p>
    <w:bookmarkEnd w:id="118"/>
    <w:bookmarkEnd w:id="119"/>
    <w:bookmarkEnd w:id="1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Solon High School,</w:t>
      </w:r>
      <w:r>
        <w:t xml:space="preserve"> </w:t>
      </w:r>
      <w:hyperlink r:id="rId10">
        <w:r>
          <w:rPr>
            <w:rStyle w:val="Hyperlink"/>
          </w:rPr>
          <w:t xml:space="preserve">jacobkhaykin27@solonschools.net</w:t>
        </w:r>
      </w:hyperlink>
    </w:p>
  </w:footnote>
  <w:footnote w:id="11">
    <w:p>
      <w:pPr>
        <w:pStyle w:val="FootnoteText"/>
      </w:pPr>
      <w:r>
        <w:rPr>
          <w:rStyle w:val="FootnoteReference"/>
        </w:rPr>
        <w:footnoteRef/>
      </w:r>
      <w:r>
        <w:t xml:space="preserve"> </w:t>
      </w:r>
      <w:r>
        <w:t xml:space="preserve">New College of Florida,</w:t>
      </w:r>
      <w:r>
        <w:t xml:space="preserve"> </w:t>
      </w:r>
      <w:hyperlink r:id="rId12">
        <w:r>
          <w:rPr>
            <w:rStyle w:val="Hyperlink"/>
          </w:rPr>
          <w:t xml:space="preserve">dakane@ncf.edu</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1"/>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51" Target="media/rId51.png" /><Relationship Type="http://schemas.openxmlformats.org/officeDocument/2006/relationships/image" Id="rId47" Target="media/rId47.png" /><Relationship Type="http://schemas.openxmlformats.org/officeDocument/2006/relationships/image" Id="rId21" Target="media/rId21.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hyperlink" Id="rId86" Target="https://CRAN.R-project.org/package=usmap" TargetMode="External" /><Relationship Type="http://schemas.openxmlformats.org/officeDocument/2006/relationships/hyperlink" Id="rId92" Target="https://doi.org/10.1007/s10961-021-09900-2" TargetMode="External" /><Relationship Type="http://schemas.openxmlformats.org/officeDocument/2006/relationships/hyperlink" Id="rId102" Target="https://doi.org/10.1016/j.jeconom.2003.10.015" TargetMode="External" /><Relationship Type="http://schemas.openxmlformats.org/officeDocument/2006/relationships/hyperlink" Id="rId73" Target="https://doi.org/10.1016/j.jfineco.2023.103745" TargetMode="External" /><Relationship Type="http://schemas.openxmlformats.org/officeDocument/2006/relationships/hyperlink" Id="rId94" Target="https://doi.org/10.1080/01621459.1986.10478354" TargetMode="External" /><Relationship Type="http://schemas.openxmlformats.org/officeDocument/2006/relationships/hyperlink" Id="rId96" Target="https://doi.org/10.1080/10618600.1996.10474713" TargetMode="External" /><Relationship Type="http://schemas.openxmlformats.org/officeDocument/2006/relationships/hyperlink" Id="rId62" Target="https://doi.org/10.1086/718327" TargetMode="External" /><Relationship Type="http://schemas.openxmlformats.org/officeDocument/2006/relationships/hyperlink" Id="rId79" Target="https://doi.org/10.1111/1540-6229.12233" TargetMode="External" /><Relationship Type="http://schemas.openxmlformats.org/officeDocument/2006/relationships/hyperlink" Id="rId83" Target="https://doi.org/10.1111/rssb.12348" TargetMode="External" /><Relationship Type="http://schemas.openxmlformats.org/officeDocument/2006/relationships/hyperlink" Id="rId89" Target="https://doi.org/10.1126/science.adj0998" TargetMode="External" /><Relationship Type="http://schemas.openxmlformats.org/officeDocument/2006/relationships/hyperlink" Id="rId98" Target="https://doi.org/10.1146/annurev-economics-080213-041024" TargetMode="External" /><Relationship Type="http://schemas.openxmlformats.org/officeDocument/2006/relationships/hyperlink" Id="rId71" Target="https://doi.org/10.1257/jep.29.3.3" TargetMode="External" /><Relationship Type="http://schemas.openxmlformats.org/officeDocument/2006/relationships/hyperlink" Id="rId64" Target="https://doi.org/10.1257/jep.33.2.3" TargetMode="External" /><Relationship Type="http://schemas.openxmlformats.org/officeDocument/2006/relationships/hyperlink" Id="rId81" Target="https://doi.org/10.1257/mac.20180386" TargetMode="External" /><Relationship Type="http://schemas.openxmlformats.org/officeDocument/2006/relationships/hyperlink" Id="rId66" Target="https://doi.org/10.1257/pandp.20251001" TargetMode="External" /><Relationship Type="http://schemas.openxmlformats.org/officeDocument/2006/relationships/hyperlink" Id="rId69" Target="https://doi.org/10.18637/jss.v103.i01" TargetMode="External" /><Relationship Type="http://schemas.openxmlformats.org/officeDocument/2006/relationships/hyperlink" Id="rId116" Target="https://doi.org/10.21105/joss.01686" TargetMode="External" /><Relationship Type="http://schemas.openxmlformats.org/officeDocument/2006/relationships/hyperlink" Id="rId100" Target="https://doi.org/10.2307/2983064" TargetMode="External" /><Relationship Type="http://schemas.openxmlformats.org/officeDocument/2006/relationships/hyperlink" Id="rId106" Target="https://doi.org/10.3368/jhr.50.2.301" TargetMode="External" /><Relationship Type="http://schemas.openxmlformats.org/officeDocument/2006/relationships/hyperlink" Id="rId60" Target="https://doi.org/10.3386/w32487" TargetMode="External" /><Relationship Type="http://schemas.openxmlformats.org/officeDocument/2006/relationships/hyperlink" Id="rId114" Target="https://lehd.ces.census.gov/data/" TargetMode="External" /><Relationship Type="http://schemas.openxmlformats.org/officeDocument/2006/relationships/hyperlink" Id="rId75" Target="https://lightcast.io/" TargetMode="External" /><Relationship Type="http://schemas.openxmlformats.org/officeDocument/2006/relationships/hyperlink" Id="rId104" Target="https://www.R-project.org/" TargetMode="External" /><Relationship Type="http://schemas.openxmlformats.org/officeDocument/2006/relationships/hyperlink" Id="rId108" Target="https://www.bls.gov/lau/" TargetMode="External" /><Relationship Type="http://schemas.openxmlformats.org/officeDocument/2006/relationships/hyperlink" Id="rId110" Target="https://www.census.gov/data/datasets/time-series/econ/acs/acs-datasets.html" TargetMode="External" /><Relationship Type="http://schemas.openxmlformats.org/officeDocument/2006/relationships/hyperlink" Id="rId112" Target="https://www.census.gov/programs-surveys/cbp/data/datasets.html" TargetMode="External" /><Relationship Type="http://schemas.openxmlformats.org/officeDocument/2006/relationships/hyperlink" Id="rId12" Target="mailto:dakane@ncf.edu" TargetMode="External" /><Relationship Type="http://schemas.openxmlformats.org/officeDocument/2006/relationships/hyperlink" Id="rId10" Target="mailto:jacobkhaykin27@solonschools.net" TargetMode="External" /></Relationships>
</file>

<file path=word/_rels/footnotes.xml.rels><?xml version="1.0" encoding="UTF-8"?><Relationships xmlns="http://schemas.openxmlformats.org/package/2006/relationships"><Relationship Type="http://schemas.openxmlformats.org/officeDocument/2006/relationships/hyperlink" Id="rId86" Target="https://CRAN.R-project.org/package=usmap" TargetMode="External" /><Relationship Type="http://schemas.openxmlformats.org/officeDocument/2006/relationships/hyperlink" Id="rId92" Target="https://doi.org/10.1007/s10961-021-09900-2" TargetMode="External" /><Relationship Type="http://schemas.openxmlformats.org/officeDocument/2006/relationships/hyperlink" Id="rId102" Target="https://doi.org/10.1016/j.jeconom.2003.10.015" TargetMode="External" /><Relationship Type="http://schemas.openxmlformats.org/officeDocument/2006/relationships/hyperlink" Id="rId73" Target="https://doi.org/10.1016/j.jfineco.2023.103745" TargetMode="External" /><Relationship Type="http://schemas.openxmlformats.org/officeDocument/2006/relationships/hyperlink" Id="rId94" Target="https://doi.org/10.1080/01621459.1986.10478354" TargetMode="External" /><Relationship Type="http://schemas.openxmlformats.org/officeDocument/2006/relationships/hyperlink" Id="rId96" Target="https://doi.org/10.1080/10618600.1996.10474713" TargetMode="External" /><Relationship Type="http://schemas.openxmlformats.org/officeDocument/2006/relationships/hyperlink" Id="rId62" Target="https://doi.org/10.1086/718327" TargetMode="External" /><Relationship Type="http://schemas.openxmlformats.org/officeDocument/2006/relationships/hyperlink" Id="rId79" Target="https://doi.org/10.1111/1540-6229.12233" TargetMode="External" /><Relationship Type="http://schemas.openxmlformats.org/officeDocument/2006/relationships/hyperlink" Id="rId83" Target="https://doi.org/10.1111/rssb.12348" TargetMode="External" /><Relationship Type="http://schemas.openxmlformats.org/officeDocument/2006/relationships/hyperlink" Id="rId89" Target="https://doi.org/10.1126/science.adj0998" TargetMode="External" /><Relationship Type="http://schemas.openxmlformats.org/officeDocument/2006/relationships/hyperlink" Id="rId98" Target="https://doi.org/10.1146/annurev-economics-080213-041024" TargetMode="External" /><Relationship Type="http://schemas.openxmlformats.org/officeDocument/2006/relationships/hyperlink" Id="rId71" Target="https://doi.org/10.1257/jep.29.3.3" TargetMode="External" /><Relationship Type="http://schemas.openxmlformats.org/officeDocument/2006/relationships/hyperlink" Id="rId64" Target="https://doi.org/10.1257/jep.33.2.3" TargetMode="External" /><Relationship Type="http://schemas.openxmlformats.org/officeDocument/2006/relationships/hyperlink" Id="rId81" Target="https://doi.org/10.1257/mac.20180386" TargetMode="External" /><Relationship Type="http://schemas.openxmlformats.org/officeDocument/2006/relationships/hyperlink" Id="rId66" Target="https://doi.org/10.1257/pandp.20251001" TargetMode="External" /><Relationship Type="http://schemas.openxmlformats.org/officeDocument/2006/relationships/hyperlink" Id="rId69" Target="https://doi.org/10.18637/jss.v103.i01" TargetMode="External" /><Relationship Type="http://schemas.openxmlformats.org/officeDocument/2006/relationships/hyperlink" Id="rId116" Target="https://doi.org/10.21105/joss.01686" TargetMode="External" /><Relationship Type="http://schemas.openxmlformats.org/officeDocument/2006/relationships/hyperlink" Id="rId100" Target="https://doi.org/10.2307/2983064" TargetMode="External" /><Relationship Type="http://schemas.openxmlformats.org/officeDocument/2006/relationships/hyperlink" Id="rId106" Target="https://doi.org/10.3368/jhr.50.2.301" TargetMode="External" /><Relationship Type="http://schemas.openxmlformats.org/officeDocument/2006/relationships/hyperlink" Id="rId60" Target="https://doi.org/10.3386/w32487" TargetMode="External" /><Relationship Type="http://schemas.openxmlformats.org/officeDocument/2006/relationships/hyperlink" Id="rId114" Target="https://lehd.ces.census.gov/data/" TargetMode="External" /><Relationship Type="http://schemas.openxmlformats.org/officeDocument/2006/relationships/hyperlink" Id="rId75" Target="https://lightcast.io/" TargetMode="External" /><Relationship Type="http://schemas.openxmlformats.org/officeDocument/2006/relationships/hyperlink" Id="rId104" Target="https://www.R-project.org/" TargetMode="External" /><Relationship Type="http://schemas.openxmlformats.org/officeDocument/2006/relationships/hyperlink" Id="rId108" Target="https://www.bls.gov/lau/" TargetMode="External" /><Relationship Type="http://schemas.openxmlformats.org/officeDocument/2006/relationships/hyperlink" Id="rId110" Target="https://www.census.gov/data/datasets/time-series/econ/acs/acs-datasets.html" TargetMode="External" /><Relationship Type="http://schemas.openxmlformats.org/officeDocument/2006/relationships/hyperlink" Id="rId112" Target="https://www.census.gov/programs-surveys/cbp/data/datasets.html" TargetMode="External" /><Relationship Type="http://schemas.openxmlformats.org/officeDocument/2006/relationships/hyperlink" Id="rId12" Target="mailto:dakane@ncf.edu" TargetMode="External" /><Relationship Type="http://schemas.openxmlformats.org/officeDocument/2006/relationships/hyperlink" Id="rId10" Target="mailto:jacobkhaykin27@solonschools.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Heterogeneity in Artificial Intelligence Jobs Over Time and Space</dc:title>
  <dc:creator>Jacob Khaykin; David Kane</dc:creator>
  <cp:keywords/>
  <dcterms:created xsi:type="dcterms:W3CDTF">2026-09-06T17:39:30Z</dcterms:created>
  <dcterms:modified xsi:type="dcterms:W3CDTF">2026-09-06T17:39:30Z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csl">
    <vt:lpwstr>aea.csl</vt:lpwstr>
  </property>
  <property fmtid="{D5CDD505-2E9C-101B-9397-08002B2CF9AE}" pid="7" name="engine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labels">
    <vt:lpwstr/>
  </property>
  <property fmtid="{D5CDD505-2E9C-101B-9397-08002B2CF9AE}" pid="12" name="link-citations">
    <vt:lpwstr>True</vt:lpwstr>
  </property>
  <property fmtid="{D5CDD505-2E9C-101B-9397-08002B2CF9AE}" pid="13" name="nocite">
    <vt:lpwstr>@*</vt:lpwstr>
  </property>
  <property fmtid="{D5CDD505-2E9C-101B-9397-08002B2CF9AE}" pid="14" name="profiles">
    <vt:lpwstr/>
  </property>
  <property fmtid="{D5CDD505-2E9C-101B-9397-08002B2CF9AE}" pid="15" name="subtitle">
    <vt:lpwstr>A Replication Study of Andreadis et al. (AEA Papers and Proceedings, 2025)</vt:lpwstr>
  </property>
  <property fmtid="{D5CDD505-2E9C-101B-9397-08002B2CF9AE}" pid="16" name="toc-title">
    <vt:lpwstr>Table of contents</vt:lpwstr>
  </property>
</Properties>
</file>