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 Heterogeneity in Artificial Intelligence Jobs Over Time and Space</w:t>
      </w:r>
    </w:p>
    <w:p>
      <w:pPr>
        <w:pStyle w:val="Subtitle"/>
      </w:pPr>
      <w:r>
        <w:t xml:space="preserve">A Replication Study of Andreadis et al. (AEA Papers and Proceedings, 2025)</w:t>
      </w:r>
    </w:p>
    <w:p>
      <w:pPr>
        <w:pStyle w:val="Author"/>
      </w:pPr>
      <w:r>
        <w:t xml:space="preserve">Jacob Khaykin</w:t>
      </w:r>
      <w:r>
        <w:rPr>
          <w:rStyle w:val="FootnoteReference"/>
        </w:rPr>
        <w:footnoteReference w:id="20"/>
      </w:r>
    </w:p>
    <w:p>
      <w:pPr>
        <w:pStyle w:val="Author"/>
      </w:pPr>
      <w:r>
        <w:t xml:space="preserve">David Kane</w:t>
      </w:r>
      <w:r>
        <w:rPr>
          <w:rStyle w:val="FootnoteReference"/>
        </w:rPr>
        <w:footnoteReference w:id="22"/>
      </w:r>
    </w:p>
    <w:p>
      <w:pPr>
        <w:pStyle w:val="FirstParagraph"/>
      </w:pPr>
      <w:r>
        <w:t xml:space="preserve">Journal of Comments and Replications in Economics, Volume x, 202x-x, DOI: xxxxx</w:t>
      </w:r>
    </w:p>
    <w:p>
      <w:pPr>
        <w:pStyle w:val="BodyText"/>
      </w:pPr>
      <w:r>
        <w:rPr>
          <w:i/>
          <w:iCs/>
        </w:rPr>
        <w:t xml:space="preserve">JEL: J24, O33, R11</w:t>
      </w:r>
    </w:p>
    <w:p>
      <w:pPr>
        <w:pStyle w:val="BodyText"/>
      </w:pPr>
      <w:r>
        <w:rPr>
          <w:i/>
          <w:iCs/>
        </w:rPr>
        <w:t xml:space="preserve">Keywords:</w:t>
      </w:r>
      <w:r>
        <w:t xml:space="preserve"> </w:t>
      </w:r>
      <w:r>
        <w:t xml:space="preserve">Artificial Intelligence, Regional Economics, Labor Markets</w:t>
      </w:r>
    </w:p>
    <w:p>
      <w:pPr>
        <w:pStyle w:val="BodyText"/>
      </w:pPr>
      <w:r>
        <w:rPr>
          <w:i/>
          <w:iCs/>
        </w:rPr>
        <w:t xml:space="preserve">Data Availability:</w:t>
      </w:r>
      <w:r>
        <w:t xml:space="preserve"> </w:t>
      </w:r>
      <w:r>
        <w:t xml:space="preserve">The R code and data to reproduce this replication are available in this repository: https://github.com/JacobKhay/JustReplicationAI-Share.</w:t>
      </w:r>
    </w:p>
    <w:bookmarkStart w:id="24" w:name="abstract"/>
    <w:p>
      <w:pPr>
        <w:pStyle w:val="Heading2"/>
      </w:pPr>
      <w:r>
        <w:t xml:space="preserve">Abstract</w:t>
      </w:r>
    </w:p>
    <w:p>
      <w:pPr>
        <w:pStyle w:val="FirstParagraph"/>
      </w:pPr>
      <w:r>
        <w:t xml:space="preserve">This paper replicates the analysis of</w:t>
      </w:r>
      <w:r>
        <w:t xml:space="preserve"> </w:t>
      </w:r>
      <w:r>
        <w:t xml:space="preserve">Andreadis et al. (</w:t>
      </w:r>
      <w:hyperlink w:anchor="ref-andreadis2025">
        <w:r>
          <w:rPr>
            <w:rStyle w:val="Hyperlink"/>
          </w:rPr>
          <w:t xml:space="preserve">2025</w:t>
        </w:r>
      </w:hyperlink>
      <w:r>
        <w:t xml:space="preserve">)</w:t>
      </w:r>
      <w:r>
        <w:t xml:space="preserve"> </w:t>
      </w:r>
      <w:r>
        <w:t xml:space="preserve">on the local heterogeneity in artificial intelligence jobs across U.S. counties from 2014 to 2023.</w:t>
      </w:r>
      <w:r>
        <w:t xml:space="preserve"> </w:t>
      </w:r>
      <w:r>
        <w:t xml:space="preserve">Andreadis et al. (</w:t>
      </w:r>
      <w:hyperlink w:anchor="ref-andreadis2025">
        <w:r>
          <w:rPr>
            <w:rStyle w:val="Hyperlink"/>
          </w:rPr>
          <w:t xml:space="preserve">2025</w:t>
        </w:r>
      </w:hyperlink>
      <w:r>
        <w:t xml:space="preserve">)</w:t>
      </w:r>
      <w:r>
        <w:t xml:space="preserve"> </w:t>
      </w:r>
      <w:r>
        <w:t xml:space="preserve">document substantial variation in AI-related job postings and identify key correlates including education, innovation, and industry factors. We successfully reproduce their main results and extend the analysis by employing log-population weights to assess robustness. The core associations persist, though all magnitudes attenuate. Additionally, we highlight unsupported causal claims in the original study given its observational design. Our findings affirm stable correlational patterns while emphasizing caution in interpretation.</w:t>
      </w:r>
    </w:p>
    <w:p>
      <w:pPr>
        <w:pStyle w:val="BodyText"/>
      </w:pPr>
      <w:r>
        <w:t xml:space="preserve">Declaration: There are no financial conflicts of interest to share.</w:t>
      </w:r>
    </w:p>
    <w:p>
      <w:r>
        <w:br w:type="page"/>
      </w:r>
    </w:p>
    <w:bookmarkEnd w:id="24"/>
    <w:bookmarkStart w:id="25" w:name="introduction"/>
    <w:p>
      <w:pPr>
        <w:pStyle w:val="Heading2"/>
      </w:pPr>
      <w:r>
        <w:t xml:space="preserve">Introduction</w:t>
      </w:r>
    </w:p>
    <w:p>
      <w:pPr>
        <w:pStyle w:val="FirstParagraph"/>
      </w:pPr>
      <w:r>
        <w:t xml:space="preserve">Recent work by</w:t>
      </w:r>
      <w:r>
        <w:t xml:space="preserve"> </w:t>
      </w:r>
      <w:r>
        <w:t xml:space="preserve">Andreadis et al. (</w:t>
      </w:r>
      <w:hyperlink w:anchor="ref-andreadis2025">
        <w:r>
          <w:rPr>
            <w:rStyle w:val="Hyperlink"/>
          </w:rPr>
          <w:t xml:space="preserve">2025</w:t>
        </w:r>
      </w:hyperlink>
      <w:r>
        <w:t xml:space="preserve">)</w:t>
      </w:r>
      <w:r>
        <w:t xml:space="preserve"> </w:t>
      </w:r>
      <w:r>
        <w:t xml:space="preserve">investigates how local economic and innovation factors shape the geography of AI-related employment in the United States. The authors model the level of AI job concentration and the change in AI employment from 2014 to 2023 using county-level data drawn from Lightcast, U.S. Census ACS, USPTO patent data, and other sources. Their regressions include controls for demographics, industry mix, and state fixed effects, with the stated goal of identifying the</w:t>
      </w:r>
      <w:r>
        <w:t xml:space="preserve"> </w:t>
      </w:r>
      <w:r>
        <w:t xml:space="preserve">“drivers”</w:t>
      </w:r>
      <w:r>
        <w:t xml:space="preserve"> </w:t>
      </w:r>
      <w:r>
        <w:t xml:space="preserve">and</w:t>
      </w:r>
      <w:r>
        <w:t xml:space="preserve"> </w:t>
      </w:r>
      <w:r>
        <w:t xml:space="preserve">“determinants”</w:t>
      </w:r>
      <w:r>
        <w:t xml:space="preserve"> </w:t>
      </w:r>
      <w:r>
        <w:t xml:space="preserve">of AI adoption across counties.</w:t>
      </w:r>
    </w:p>
    <w:p>
      <w:pPr>
        <w:pStyle w:val="BodyText"/>
      </w:pPr>
      <w:r>
        <w:t xml:space="preserve">The importance of understanding AI’s geographic distribution cannot be overstated. As</w:t>
      </w:r>
      <w:r>
        <w:t xml:space="preserve"> </w:t>
      </w:r>
      <w:r>
        <w:t xml:space="preserve">Eloundou et al. (</w:t>
      </w:r>
      <w:hyperlink w:anchor="ref-eloundou2024">
        <w:r>
          <w:rPr>
            <w:rStyle w:val="Hyperlink"/>
          </w:rPr>
          <w:t xml:space="preserve">2024</w:t>
        </w:r>
      </w:hyperlink>
      <w:r>
        <w:t xml:space="preserve">)</w:t>
      </w:r>
      <w:r>
        <w:t xml:space="preserve"> </w:t>
      </w:r>
      <w:r>
        <w:t xml:space="preserve">project that up to 80% of the workforce could see at least 10% of their tasks influenced by AI and large language models, the spatial concentration of AI-related employment has significant implications for regional economic development and inequality. Understanding which local characteristics correlate with AI adoption helps policymakers and researchers anticipate the distributional consequences of this technological transformation.</w:t>
      </w:r>
    </w:p>
    <w:p>
      <w:pPr>
        <w:pStyle w:val="BodyText"/>
      </w:pPr>
      <w:r>
        <w:t xml:space="preserve">The original study employ weighted least squares regression with population weights to account for heteroscedasticity and emphasize results in more populous counties. Their primary regression specifications can be expressed as:</w:t>
      </w:r>
    </w:p>
    <w:p>
      <w:pPr>
        <w:pStyle w:val="BodyText"/>
      </w:pPr>
      <m:oMathPara>
        <m:oMathParaPr>
          <m:jc m:val="center"/>
        </m:oMathParaPr>
        <m:oMath>
          <m:r>
            <m:t>A</m:t>
          </m:r>
          <m:sSub>
            <m:e>
              <m:r>
                <m:t>I</m:t>
              </m:r>
            </m:e>
            <m:sub>
              <m:r>
                <m:t>i</m:t>
              </m:r>
              <m:r>
                <m:t>t</m:t>
              </m:r>
            </m:sub>
          </m:sSub>
          <m:r>
            <m:rPr>
              <m:sty m:val="p"/>
            </m:rPr>
            <m:t>=</m:t>
          </m:r>
          <m:r>
            <m:t>α</m:t>
          </m:r>
          <m:r>
            <m:rPr>
              <m:sty m:val="p"/>
            </m:rPr>
            <m:t>+</m:t>
          </m:r>
          <m:sSub>
            <m:e>
              <m:r>
                <m:t>β</m:t>
              </m:r>
            </m:e>
            <m:sub>
              <m:r>
                <m:t>1</m:t>
              </m:r>
            </m:sub>
          </m:sSub>
          <m:r>
            <m:t>D</m:t>
          </m:r>
          <m:r>
            <m:t>e</m:t>
          </m:r>
          <m:r>
            <m:t>m</m:t>
          </m:r>
          <m:r>
            <m:t>o</m:t>
          </m:r>
          <m:sSub>
            <m:e>
              <m:r>
                <m:t>g</m:t>
              </m:r>
            </m:e>
            <m:sub>
              <m:r>
                <m:t>i</m:t>
              </m:r>
              <m:r>
                <m:t>t</m:t>
              </m:r>
              <m:r>
                <m:rPr>
                  <m:sty m:val="p"/>
                </m:rPr>
                <m:t>−</m:t>
              </m:r>
              <m:r>
                <m:t>1</m:t>
              </m:r>
            </m:sub>
          </m:sSub>
          <m:r>
            <m:rPr>
              <m:sty m:val="p"/>
            </m:rPr>
            <m:t>+</m:t>
          </m:r>
          <m:sSub>
            <m:e>
              <m:r>
                <m:t>β</m:t>
              </m:r>
            </m:e>
            <m:sub>
              <m:r>
                <m:t>2</m:t>
              </m:r>
            </m:sub>
          </m:sSub>
          <m:r>
            <m:t>I</m:t>
          </m:r>
          <m:r>
            <m:t>n</m:t>
          </m:r>
          <m:r>
            <m:t>n</m:t>
          </m:r>
          <m:r>
            <m:t>o</m:t>
          </m:r>
          <m:sSub>
            <m:e>
              <m:r>
                <m:t>v</m:t>
              </m:r>
            </m:e>
            <m:sub>
              <m:r>
                <m:t>i</m:t>
              </m:r>
              <m:r>
                <m:t>t</m:t>
              </m:r>
              <m:r>
                <m:rPr>
                  <m:sty m:val="p"/>
                </m:rPr>
                <m:t>−</m:t>
              </m:r>
              <m:r>
                <m:t>1</m:t>
              </m:r>
            </m:sub>
          </m:sSub>
          <m:r>
            <m:rPr>
              <m:sty m:val="p"/>
            </m:rPr>
            <m:t>+</m:t>
          </m:r>
          <m:sSub>
            <m:e>
              <m:r>
                <m:t>β</m:t>
              </m:r>
            </m:e>
            <m:sub>
              <m:r>
                <m:t>3</m:t>
              </m:r>
            </m:sub>
          </m:sSub>
          <m:r>
            <m:t>I</m:t>
          </m:r>
          <m:r>
            <m:t>n</m:t>
          </m:r>
          <m:r>
            <m:t>d</m:t>
          </m:r>
          <m:r>
            <m:t>u</m:t>
          </m:r>
          <m:r>
            <m:t>s</m:t>
          </m:r>
          <m:r>
            <m:t>t</m:t>
          </m:r>
          <m:r>
            <m:t>r</m:t>
          </m:r>
          <m:sSub>
            <m:e>
              <m:r>
                <m:t>y</m:t>
              </m:r>
            </m:e>
            <m:sub>
              <m:r>
                <m:t>i</m:t>
              </m:r>
              <m:r>
                <m:t>t</m:t>
              </m:r>
              <m:r>
                <m:rPr>
                  <m:sty m:val="p"/>
                </m:rPr>
                <m:t>−</m:t>
              </m:r>
              <m:r>
                <m:t>1</m:t>
              </m:r>
            </m:sub>
          </m:sSub>
          <m:r>
            <m:rPr>
              <m:sty m:val="p"/>
            </m:rPr>
            <m:t>+</m:t>
          </m:r>
          <m:sSub>
            <m:e>
              <m:r>
                <m:t>δ</m:t>
              </m:r>
            </m:e>
            <m:sub>
              <m:r>
                <m:t>i</m:t>
              </m:r>
            </m:sub>
          </m:sSub>
          <m:r>
            <m:rPr>
              <m:sty m:val="p"/>
            </m:rPr>
            <m:t>+</m:t>
          </m:r>
          <m:sSub>
            <m:e>
              <m:r>
                <m:t>γ</m:t>
              </m:r>
            </m:e>
            <m:sub>
              <m:r>
                <m:t>t</m:t>
              </m:r>
            </m:sub>
          </m:sSub>
          <m:r>
            <m:rPr>
              <m:sty m:val="p"/>
            </m:rPr>
            <m:t>+</m:t>
          </m:r>
          <m:sSub>
            <m:e>
              <m:r>
                <m:t>ϵ</m:t>
              </m:r>
            </m:e>
            <m:sub>
              <m:r>
                <m:t>i</m:t>
              </m:r>
              <m:r>
                <m:t>t</m:t>
              </m:r>
            </m:sub>
          </m:sSub>
          <m:r>
            <m:t> </m:t>
          </m:r>
          <m:d>
            <m:dPr>
              <m:begChr m:val="("/>
              <m:sepChr m:val=""/>
              <m:endChr m:val=")"/>
              <m:grow/>
            </m:dPr>
            <m:e>
              <m:r>
                <m:t>1</m:t>
              </m:r>
            </m:e>
          </m:d>
        </m:oMath>
      </m:oMathPara>
    </w:p>
    <w:p>
      <w:pPr>
        <w:pStyle w:val="FirstParagraph"/>
      </w:pPr>
      <w:r>
        <w:t xml:space="preserve">where</w:t>
      </w:r>
      <w:r>
        <w:t xml:space="preserve"> </w:t>
      </w:r>
      <m:oMath>
        <m:r>
          <m:t>A</m:t>
        </m:r>
        <m:sSub>
          <m:e>
            <m:r>
              <m:t>I</m:t>
            </m:r>
          </m:e>
          <m:sub>
            <m:r>
              <m:t>i</m:t>
            </m:r>
            <m:r>
              <m:t>t</m:t>
            </m:r>
          </m:sub>
        </m:sSub>
      </m:oMath>
      <w:r>
        <w:t xml:space="preserve"> </w:t>
      </w:r>
      <w:r>
        <w:t xml:space="preserve">represents the AI job share in county</w:t>
      </w:r>
      <w:r>
        <w:t xml:space="preserve"> </w:t>
      </w:r>
      <m:oMath>
        <m:r>
          <m:t>i</m:t>
        </m:r>
      </m:oMath>
      <w:r>
        <w:t xml:space="preserve"> </w:t>
      </w:r>
      <w:r>
        <w:t xml:space="preserve">at time</w:t>
      </w:r>
      <w:r>
        <w:t xml:space="preserve"> </w:t>
      </w:r>
      <m:oMath>
        <m:r>
          <m:t>t</m:t>
        </m:r>
      </m:oMath>
      <w:r>
        <w:t xml:space="preserve">,</w:t>
      </w:r>
      <w:r>
        <w:t xml:space="preserve"> </w:t>
      </w:r>
      <m:oMath>
        <m:r>
          <m:t>D</m:t>
        </m:r>
        <m:r>
          <m:t>e</m:t>
        </m:r>
        <m:r>
          <m:t>m</m:t>
        </m:r>
        <m:r>
          <m:t>o</m:t>
        </m:r>
        <m:sSub>
          <m:e>
            <m:r>
              <m:t>g</m:t>
            </m:r>
          </m:e>
          <m:sub>
            <m:r>
              <m:t>i</m:t>
            </m:r>
            <m:r>
              <m:t>t</m:t>
            </m:r>
            <m:r>
              <m:rPr>
                <m:sty m:val="p"/>
              </m:rPr>
              <m:t>−</m:t>
            </m:r>
            <m:r>
              <m:t>1</m:t>
            </m:r>
          </m:sub>
        </m:sSub>
      </m:oMath>
      <w:r>
        <w:t xml:space="preserve">,</w:t>
      </w:r>
      <w:r>
        <w:t xml:space="preserve"> </w:t>
      </w:r>
      <m:oMath>
        <m:r>
          <m:t>I</m:t>
        </m:r>
        <m:r>
          <m:t>n</m:t>
        </m:r>
        <m:r>
          <m:t>n</m:t>
        </m:r>
        <m:r>
          <m:t>o</m:t>
        </m:r>
        <m:sSub>
          <m:e>
            <m:r>
              <m:t>v</m:t>
            </m:r>
          </m:e>
          <m:sub>
            <m:r>
              <m:t>i</m:t>
            </m:r>
            <m:r>
              <m:t>t</m:t>
            </m:r>
            <m:r>
              <m:rPr>
                <m:sty m:val="p"/>
              </m:rPr>
              <m:t>−</m:t>
            </m:r>
            <m:r>
              <m:t>1</m:t>
            </m:r>
          </m:sub>
        </m:sSub>
      </m:oMath>
      <w:r>
        <w:t xml:space="preserve">, and</w:t>
      </w:r>
      <w:r>
        <w:t xml:space="preserve"> </w:t>
      </w:r>
      <m:oMath>
        <m:r>
          <m:t>I</m:t>
        </m:r>
        <m:r>
          <m:t>n</m:t>
        </m:r>
        <m:r>
          <m:t>d</m:t>
        </m:r>
        <m:r>
          <m:t>u</m:t>
        </m:r>
        <m:r>
          <m:t>s</m:t>
        </m:r>
        <m:r>
          <m:t>t</m:t>
        </m:r>
        <m:r>
          <m:t>r</m:t>
        </m:r>
        <m:sSub>
          <m:e>
            <m:r>
              <m:t>y</m:t>
            </m:r>
          </m:e>
          <m:sub>
            <m:r>
              <m:t>i</m:t>
            </m:r>
            <m:r>
              <m:t>t</m:t>
            </m:r>
            <m:r>
              <m:rPr>
                <m:sty m:val="p"/>
              </m:rPr>
              <m:t>−</m:t>
            </m:r>
            <m:r>
              <m:t>1</m:t>
            </m:r>
          </m:sub>
        </m:sSub>
      </m:oMath>
      <w:r>
        <w:t xml:space="preserve"> </w:t>
      </w:r>
      <w:r>
        <w:t xml:space="preserve">are vectors of lagged demographic, innovation, and industry characteristics,</w:t>
      </w:r>
      <w:r>
        <w:t xml:space="preserve"> </w:t>
      </w:r>
      <m:oMath>
        <m:sSub>
          <m:e>
            <m:r>
              <m:t>δ</m:t>
            </m:r>
          </m:e>
          <m:sub>
            <m:r>
              <m:t>i</m:t>
            </m:r>
          </m:sub>
        </m:sSub>
      </m:oMath>
      <w:r>
        <w:t xml:space="preserve"> </w:t>
      </w:r>
      <w:r>
        <w:t xml:space="preserve">and</w:t>
      </w:r>
      <w:r>
        <w:t xml:space="preserve"> </w:t>
      </w:r>
      <m:oMath>
        <m:sSub>
          <m:e>
            <m:r>
              <m:t>γ</m:t>
            </m:r>
          </m:e>
          <m:sub>
            <m:r>
              <m:t>t</m:t>
            </m:r>
          </m:sub>
        </m:sSub>
      </m:oMath>
      <w:r>
        <w:t xml:space="preserve"> </w:t>
      </w:r>
      <w:r>
        <w:t xml:space="preserve">are county and year fixed effects, and</w:t>
      </w:r>
      <w:r>
        <w:t xml:space="preserve"> </w:t>
      </w:r>
      <m:oMath>
        <m:sSub>
          <m:e>
            <m:r>
              <m:t>ϵ</m:t>
            </m:r>
          </m:e>
          <m:sub>
            <m:r>
              <m:t>i</m:t>
            </m:r>
            <m:r>
              <m:t>t</m:t>
            </m:r>
          </m:sub>
        </m:sSub>
      </m:oMath>
      <w:r>
        <w:t xml:space="preserve"> </w:t>
      </w:r>
      <w:r>
        <w:t xml:space="preserve">is the error term.</w:t>
      </w:r>
    </w:p>
    <w:p>
      <w:pPr>
        <w:pStyle w:val="BodyText"/>
      </w:pPr>
      <w:r>
        <w:t xml:space="preserve">This replication serves two primary purposes: (1) to verify the reproducibility of the original findings, and (2) to assess their robustness using alternative weighting schemes. To evaluate the sensitivity of their findings, I re-estimate their models using weights based on the logarithm of county population:</w:t>
      </w:r>
      <w:r>
        <w:t xml:space="preserve"> </w:t>
      </w:r>
      <m:oMath>
        <m:sSub>
          <m:e>
            <m:r>
              <m:t>w</m:t>
            </m:r>
          </m:e>
          <m:sub>
            <m:r>
              <m:t>i</m:t>
            </m:r>
            <m:r>
              <m:t>t</m:t>
            </m:r>
          </m:sub>
        </m:sSub>
        <m:r>
          <m:rPr>
            <m:sty m:val="p"/>
          </m:rPr>
          <m:t>=</m:t>
        </m:r>
        <m:r>
          <m:rPr>
            <m:sty m:val="p"/>
          </m:rPr>
          <m:t>log</m:t>
        </m:r>
        <m:d>
          <m:dPr>
            <m:begChr m:val="("/>
            <m:sepChr m:val=""/>
            <m:endChr m:val=")"/>
            <m:grow/>
          </m:dPr>
          <m:e>
            <m:r>
              <m:t>P</m:t>
            </m:r>
            <m:r>
              <m:t>o</m:t>
            </m:r>
            <m:r>
              <m:t>p</m:t>
            </m:r>
            <m:r>
              <m:t>u</m:t>
            </m:r>
            <m:r>
              <m:t>l</m:t>
            </m:r>
            <m:r>
              <m:t>a</m:t>
            </m:r>
            <m:r>
              <m:t>t</m:t>
            </m:r>
            <m:r>
              <m:t>i</m:t>
            </m:r>
            <m:r>
              <m:t>o</m:t>
            </m:r>
            <m:sSub>
              <m:e>
                <m:r>
                  <m:t>n</m:t>
                </m:r>
              </m:e>
              <m:sub>
                <m:r>
                  <m:t>i</m:t>
                </m:r>
                <m:r>
                  <m:t>t</m:t>
                </m:r>
              </m:sub>
            </m:sSub>
          </m:e>
        </m:d>
      </m:oMath>
      <w:r>
        <w:t xml:space="preserve">. This adjustment mitigates the leverage of extremely small or large counties and helps assess the generalizability of the claims about AI adoption patterns.</w:t>
      </w:r>
    </w:p>
    <w:bookmarkEnd w:id="25"/>
    <w:bookmarkStart w:id="36" w:name="data"/>
    <w:p>
      <w:pPr>
        <w:pStyle w:val="Heading2"/>
      </w:pPr>
      <w:r>
        <w:t xml:space="preserve">Data</w:t>
      </w:r>
    </w:p>
    <w:p>
      <w:pPr>
        <w:pStyle w:val="FirstParagraph"/>
      </w:pPr>
      <w:r>
        <w:t xml:space="preserve">The study utilizes multiple data sources to construct a comprehensive county-level dataset spanning 2014-2023:</w:t>
      </w:r>
    </w:p>
    <w:p>
      <w:pPr>
        <w:pStyle w:val="BodyText"/>
      </w:pPr>
      <w:r>
        <w:rPr>
          <w:i/>
          <w:iCs/>
        </w:rPr>
        <w:t xml:space="preserve">AI Employment Data</w:t>
      </w:r>
      <w:r>
        <w:t xml:space="preserve">: Job posting data from Lightcast, which aggregates information from over 40,000 online job boards, newspapers, and employer websites. AI-related jobs are identified through skills and keywords associated with AI development and use. The dependent variable</w:t>
      </w:r>
      <w:r>
        <w:t xml:space="preserve"> </w:t>
      </w:r>
      <m:oMath>
        <m:r>
          <m:t>A</m:t>
        </m:r>
        <m:sSub>
          <m:e>
            <m:r>
              <m:t>I</m:t>
            </m:r>
          </m:e>
          <m:sub>
            <m:r>
              <m:t>i</m:t>
            </m:r>
            <m:r>
              <m:t>t</m:t>
            </m:r>
          </m:sub>
        </m:sSub>
      </m:oMath>
      <w:r>
        <w:t xml:space="preserve"> </w:t>
      </w:r>
      <w:r>
        <w:t xml:space="preserve">is defined as:</w:t>
      </w:r>
    </w:p>
    <w:p>
      <w:pPr>
        <w:pStyle w:val="BodyText"/>
      </w:pPr>
      <m:oMathPara>
        <m:oMathParaPr>
          <m:jc m:val="center"/>
        </m:oMathParaPr>
        <m:oMath>
          <m:r>
            <m:t>A</m:t>
          </m:r>
          <m:sSub>
            <m:e>
              <m:r>
                <m:t>I</m:t>
              </m:r>
            </m:e>
            <m:sub>
              <m:r>
                <m:t>i</m:t>
              </m:r>
              <m:r>
                <m:t>t</m:t>
              </m:r>
            </m:sub>
          </m:sSub>
          <m:r>
            <m:rPr>
              <m:sty m:val="p"/>
            </m:rPr>
            <m:t>=</m:t>
          </m:r>
          <m:f>
            <m:fPr>
              <m:type m:val="bar"/>
            </m:fPr>
            <m:num>
              <m:sSub>
                <m:e>
                  <m:r>
                    <m:rPr>
                      <m:nor/>
                      <m:sty m:val="p"/>
                    </m:rPr>
                    <m:t>AI job postings</m:t>
                  </m:r>
                </m:e>
                <m:sub>
                  <m:r>
                    <m:t>i</m:t>
                  </m:r>
                  <m:r>
                    <m:t>t</m:t>
                  </m:r>
                </m:sub>
              </m:sSub>
            </m:num>
            <m:den>
              <m:sSub>
                <m:e>
                  <m:r>
                    <m:rPr>
                      <m:nor/>
                      <m:sty m:val="p"/>
                    </m:rPr>
                    <m:t>Total job postings</m:t>
                  </m:r>
                </m:e>
                <m:sub>
                  <m:r>
                    <m:t>i</m:t>
                  </m:r>
                  <m:r>
                    <m:t>t</m:t>
                  </m:r>
                </m:sub>
              </m:sSub>
            </m:den>
          </m:f>
          <m:r>
            <m:rPr>
              <m:sty m:val="p"/>
            </m:rPr>
            <m:t>×</m:t>
          </m:r>
          <m:r>
            <m:t>100</m:t>
          </m:r>
          <m:r>
            <m:t> </m:t>
          </m:r>
          <m:d>
            <m:dPr>
              <m:begChr m:val="("/>
              <m:sepChr m:val=""/>
              <m:endChr m:val=")"/>
              <m:grow/>
            </m:dPr>
            <m:e>
              <m:r>
                <m:t>2</m:t>
              </m:r>
            </m:e>
          </m:d>
        </m:oMath>
      </m:oMathPara>
    </w:p>
    <w:p>
      <w:pPr>
        <w:pStyle w:val="FirstParagraph"/>
      </w:pPr>
      <w:r>
        <w:rPr>
          <w:i/>
          <w:iCs/>
        </w:rPr>
        <w:t xml:space="preserve">Demographic Variables</w:t>
      </w:r>
      <w:r>
        <w:t xml:space="preserve">: From the American Community Survey (ACS), including:</w:t>
      </w:r>
      <w:r>
        <w:t xml:space="preserve"> </w:t>
      </w:r>
      <w:r>
        <w:t xml:space="preserve">- Bachelor’s share: Percentage of workforce with bachelor’s degree or higher</w:t>
      </w:r>
      <w:r>
        <w:t xml:space="preserve"> </w:t>
      </w:r>
      <w:r>
        <w:t xml:space="preserve">- Black population share: Percentage of county population identifying as Black</w:t>
      </w:r>
      <w:r>
        <w:t xml:space="preserve"> </w:t>
      </w:r>
      <w:r>
        <w:t xml:space="preserve">- Poverty share: Percentage of population below federal poverty line</w:t>
      </w:r>
      <w:r>
        <w:t xml:space="preserve"> </w:t>
      </w:r>
      <w:r>
        <w:t xml:space="preserve">- Log population: Natural logarithm of county population</w:t>
      </w:r>
      <w:r>
        <w:t xml:space="preserve"> </w:t>
      </w:r>
      <w:r>
        <w:t xml:space="preserve">- Log median income: Natural logarithm of median household income</w:t>
      </w:r>
    </w:p>
    <w:p>
      <w:pPr>
        <w:pStyle w:val="BodyText"/>
      </w:pPr>
      <w:r>
        <w:rPr>
          <w:i/>
          <w:iCs/>
        </w:rPr>
        <w:t xml:space="preserve">Innovation Indicators</w:t>
      </w:r>
      <w:r>
        <w:t xml:space="preserve">:</w:t>
      </w:r>
      <w:r>
        <w:t xml:space="preserve"> </w:t>
      </w:r>
      <w:r>
        <w:t xml:space="preserve">- Patents per employee: USPTO patent counts normalized by employment</w:t>
      </w:r>
      <w:r>
        <w:t xml:space="preserve"> </w:t>
      </w:r>
      <w:r>
        <w:t xml:space="preserve">- AI patents share: Percentage of patents classified as AI-related</w:t>
      </w:r>
      <w:r>
        <w:t xml:space="preserve"> </w:t>
      </w:r>
      <w:r>
        <w:t xml:space="preserve">- STEM degrees share: Percentage of awarded degrees in STEM fields</w:t>
      </w:r>
      <w:r>
        <w:t xml:space="preserve"> </w:t>
      </w:r>
      <w:r>
        <w:t xml:space="preserve">- Degrees per capita: Total degrees awarded per capita</w:t>
      </w:r>
    </w:p>
    <w:p>
      <w:pPr>
        <w:pStyle w:val="BodyText"/>
      </w:pPr>
      <w:r>
        <w:rPr>
          <w:i/>
          <w:iCs/>
        </w:rPr>
        <w:t xml:space="preserve">Industry and Labor Market Variables</w:t>
      </w:r>
      <w:r>
        <w:t xml:space="preserve">:</w:t>
      </w:r>
      <w:r>
        <w:t xml:space="preserve"> </w:t>
      </w:r>
      <w:r>
        <w:t xml:space="preserve">- Labor market tightness: Ratio of job postings to unemployed workers</w:t>
      </w:r>
      <w:r>
        <w:t xml:space="preserve"> </w:t>
      </w:r>
      <w:r>
        <w:t xml:space="preserve">- Manufacturing intensity: Employment share in manufacturing sector</w:t>
      </w:r>
      <w:r>
        <w:t xml:space="preserve"> </w:t>
      </w:r>
      <w:r>
        <w:t xml:space="preserve">- ICT intensity: Employment share in information and communication technology</w:t>
      </w:r>
      <w:r>
        <w:t xml:space="preserve"> </w:t>
      </w:r>
      <w:r>
        <w:t xml:space="preserve">- Turnover rate: Worker separation rate from Quarterly Workforce Indicators</w:t>
      </w:r>
      <w:r>
        <w:t xml:space="preserve"> </w:t>
      </w:r>
      <w:r>
        <w:t xml:space="preserve">- Large establishments share: Percentage of employment in large firms</w:t>
      </w:r>
    </w:p>
    <w:p>
      <w:pPr>
        <w:pStyle w:val="BodyText"/>
      </w:pPr>
      <w:r>
        <w:rPr>
          <w:i/>
          <w:iCs/>
        </w:rPr>
        <w:t xml:space="preserve">Housing Market</w:t>
      </w:r>
      <w:r>
        <w:t xml:space="preserve">: House price growth from Federal Housing Finance Agency (FHFA)</w:t>
      </w:r>
    </w:p>
    <w:p>
      <w:pPr>
        <w:pStyle w:val="BodyText"/>
      </w:pPr>
      <w:r>
        <w:t xml:space="preserve">All explanatory variables are lagged by one year to address potential endogeneity concerns and are standardized as z-scores for interpretability.</w:t>
      </w:r>
    </w:p>
    <w:bookmarkStart w:id="32" w:name="reproduction-of-original-results"/>
    <w:p>
      <w:pPr>
        <w:pStyle w:val="Heading3"/>
      </w:pPr>
      <w:r>
        <w:t xml:space="preserve">Reproduction of Original Results</w:t>
      </w:r>
    </w:p>
    <w:p>
      <w:pPr>
        <w:pStyle w:val="FirstParagraph"/>
      </w:pPr>
      <w:r>
        <w:t xml:space="preserve">We successfully reproduced the main findings from Tables 1 and 2 of</w:t>
      </w:r>
      <w:r>
        <w:t xml:space="preserve"> </w:t>
      </w:r>
      <w:r>
        <w:t xml:space="preserve">Andreadis et al. (</w:t>
      </w:r>
      <w:hyperlink w:anchor="ref-andreadis2025">
        <w:r>
          <w:rPr>
            <w:rStyle w:val="Hyperlink"/>
          </w:rPr>
          <w:t xml:space="preserve">2025</w:t>
        </w:r>
      </w:hyperlink>
      <w:r>
        <w:t xml:space="preserve">)</w:t>
      </w:r>
      <w:r>
        <w:t xml:space="preserve">. The reproduction confirms the authors’ key empirical findings regarding the correlates of AI job concentration across U.S. counties. All coefficients, standard errors, and significance levels match the original results within rounding error, demonstrating the reproducibility of their analysis.</w:t>
      </w:r>
    </w:p>
    <w:bookmarkStart w:id="26" w:name="X3d31bae4e1d1b2350c6e661afb40962b7d17a7d"/>
    <w:p>
      <w:pPr>
        <w:pStyle w:val="Heading4"/>
      </w:pPr>
      <w:r>
        <w:t xml:space="preserve">Table 1: Replication of Table 1 from</w:t>
      </w:r>
      <w:r>
        <w:t xml:space="preserve"> </w:t>
      </w:r>
      <w:r>
        <w:t xml:space="preserve">Andreadis et al. (</w:t>
      </w:r>
      <w:hyperlink w:anchor="ref-andreadis2025">
        <w:r>
          <w:rPr>
            <w:rStyle w:val="Hyperlink"/>
          </w:rPr>
          <w:t xml:space="preserve">2025</w:t>
        </w:r>
      </w:hyperlink>
      <w:r>
        <w:t xml:space="preserve">)</w:t>
      </w:r>
      <w:r>
        <w:t xml:space="preserve"> </w:t>
      </w:r>
      <w:r>
        <w:t xml:space="preserve">- The Correlates of the Share of AI Jobs</w:t>
      </w:r>
    </w:p>
    <w:tbl>
      <w:tblPr>
        <w:tblStyle w:val="Table"/>
        <w:tblW w:type="pct" w:w="5000"/>
        <w:tblLayout w:type="fixed"/>
        <w:tblLook w:firstRow="1" w:lastRow="0" w:firstColumn="0" w:lastColumn="0" w:noHBand="0" w:noVBand="0" w:val="0020"/>
      </w:tblPr>
      <w:tblGrid>
        <w:gridCol w:w="1808"/>
        <w:gridCol w:w="1271"/>
        <w:gridCol w:w="1222"/>
        <w:gridCol w:w="1173"/>
        <w:gridCol w:w="1222"/>
        <w:gridCol w:w="1222"/>
      </w:tblGrid>
      <w:tr>
        <w:trPr>
          <w:tblHeader w:val="on"/>
        </w:trPr>
        <w:tc>
          <w:tcPr/>
          <w:p>
            <w:pPr>
              <w:pStyle w:val="Compact"/>
            </w:pPr>
            <w:r>
              <w:t xml:space="preserve">Variable</w:t>
            </w:r>
          </w:p>
        </w:tc>
        <w:tc>
          <w:tcPr/>
          <w:p>
            <w:pPr>
              <w:pStyle w:val="Compact"/>
            </w:pPr>
            <w:r>
              <w:t xml:space="preserve">(1) Demographics</w:t>
            </w:r>
          </w:p>
        </w:tc>
        <w:tc>
          <w:tcPr/>
          <w:p>
            <w:pPr>
              <w:pStyle w:val="Compact"/>
            </w:pPr>
            <w:r>
              <w:t xml:space="preserve">(2) Innovation</w:t>
            </w:r>
          </w:p>
        </w:tc>
        <w:tc>
          <w:tcPr/>
          <w:p>
            <w:pPr>
              <w:pStyle w:val="Compact"/>
            </w:pPr>
            <w:r>
              <w:t xml:space="preserve">(3) Industry</w:t>
            </w:r>
          </w:p>
        </w:tc>
        <w:tc>
          <w:tcPr/>
          <w:p>
            <w:pPr>
              <w:pStyle w:val="Compact"/>
            </w:pPr>
            <w:r>
              <w:t xml:space="preserve">(4) All Controls</w:t>
            </w:r>
          </w:p>
        </w:tc>
        <w:tc>
          <w:tcPr/>
          <w:p>
            <w:pPr>
              <w:pStyle w:val="Compact"/>
            </w:pPr>
            <w:r>
              <w:t xml:space="preserve">(5) All + State FE</w:t>
            </w:r>
          </w:p>
        </w:tc>
      </w:tr>
      <w:tr>
        <w:tc>
          <w:tcPr/>
          <w:p>
            <w:pPr>
              <w:pStyle w:val="Compact"/>
            </w:pPr>
            <w:r>
              <w:t xml:space="preserve">Bachelor’s share, z-score</w:t>
            </w:r>
          </w:p>
        </w:tc>
        <w:tc>
          <w:tcPr/>
          <w:p>
            <w:pPr>
              <w:pStyle w:val="Compact"/>
            </w:pPr>
            <w:r>
              <w:t xml:space="preserve">0.160***</w:t>
            </w:r>
          </w:p>
        </w:tc>
        <w:tc>
          <w:tcPr/>
          <w:p>
            <w:pPr>
              <w:pStyle w:val="Compact"/>
            </w:pPr>
          </w:p>
        </w:tc>
        <w:tc>
          <w:tcPr/>
          <w:p>
            <w:pPr>
              <w:pStyle w:val="Compact"/>
            </w:pPr>
          </w:p>
        </w:tc>
        <w:tc>
          <w:tcPr/>
          <w:p>
            <w:pPr>
              <w:pStyle w:val="Compact"/>
            </w:pPr>
            <w:r>
              <w:t xml:space="preserve">0.188**</w:t>
            </w:r>
          </w:p>
        </w:tc>
        <w:tc>
          <w:tcPr/>
          <w:p>
            <w:pPr>
              <w:pStyle w:val="Compact"/>
            </w:pPr>
            <w:r>
              <w:t xml:space="preserve">0.085</w:t>
            </w:r>
          </w:p>
        </w:tc>
      </w:tr>
      <w:tr>
        <w:tc>
          <w:tcPr/>
          <w:p>
            <w:pPr>
              <w:pStyle w:val="Compact"/>
            </w:pPr>
          </w:p>
        </w:tc>
        <w:tc>
          <w:tcPr/>
          <w:p>
            <w:pPr>
              <w:pStyle w:val="Compact"/>
            </w:pPr>
            <w:r>
              <w:t xml:space="preserve">(0.047)</w:t>
            </w:r>
          </w:p>
        </w:tc>
        <w:tc>
          <w:tcPr/>
          <w:p>
            <w:pPr>
              <w:pStyle w:val="Compact"/>
            </w:pPr>
          </w:p>
        </w:tc>
        <w:tc>
          <w:tcPr/>
          <w:p>
            <w:pPr>
              <w:pStyle w:val="Compact"/>
            </w:pPr>
          </w:p>
        </w:tc>
        <w:tc>
          <w:tcPr/>
          <w:p>
            <w:pPr>
              <w:pStyle w:val="Compact"/>
            </w:pPr>
            <w:r>
              <w:t xml:space="preserve">(0.067)</w:t>
            </w:r>
          </w:p>
        </w:tc>
        <w:tc>
          <w:tcPr/>
          <w:p>
            <w:pPr>
              <w:pStyle w:val="Compact"/>
            </w:pPr>
            <w:r>
              <w:t xml:space="preserve">(0.059)</w:t>
            </w:r>
          </w:p>
        </w:tc>
      </w:tr>
      <w:tr>
        <w:tc>
          <w:tcPr/>
          <w:p>
            <w:pPr>
              <w:pStyle w:val="Compact"/>
            </w:pPr>
            <w:r>
              <w:t xml:space="preserve">Black pop, z-score</w:t>
            </w:r>
          </w:p>
        </w:tc>
        <w:tc>
          <w:tcPr/>
          <w:p>
            <w:pPr>
              <w:pStyle w:val="Compact"/>
            </w:pPr>
            <w:r>
              <w:t xml:space="preserve">-0.121</w:t>
            </w:r>
          </w:p>
        </w:tc>
        <w:tc>
          <w:tcPr/>
          <w:p>
            <w:pPr>
              <w:pStyle w:val="Compact"/>
            </w:pPr>
          </w:p>
        </w:tc>
        <w:tc>
          <w:tcPr/>
          <w:p>
            <w:pPr>
              <w:pStyle w:val="Compact"/>
            </w:pPr>
          </w:p>
        </w:tc>
        <w:tc>
          <w:tcPr/>
          <w:p>
            <w:pPr>
              <w:pStyle w:val="Compact"/>
            </w:pPr>
            <w:r>
              <w:t xml:space="preserve">-0.121</w:t>
            </w:r>
          </w:p>
        </w:tc>
        <w:tc>
          <w:tcPr/>
          <w:p>
            <w:pPr>
              <w:pStyle w:val="Compact"/>
            </w:pPr>
            <w:r>
              <w:t xml:space="preserve">0.000</w:t>
            </w:r>
          </w:p>
        </w:tc>
      </w:tr>
      <w:tr>
        <w:tc>
          <w:tcPr/>
          <w:p>
            <w:pPr>
              <w:pStyle w:val="Compact"/>
            </w:pPr>
          </w:p>
        </w:tc>
        <w:tc>
          <w:tcPr/>
          <w:p>
            <w:pPr>
              <w:pStyle w:val="Compact"/>
            </w:pPr>
            <w:r>
              <w:t xml:space="preserve">(0.127)</w:t>
            </w:r>
          </w:p>
        </w:tc>
        <w:tc>
          <w:tcPr/>
          <w:p>
            <w:pPr>
              <w:pStyle w:val="Compact"/>
            </w:pPr>
          </w:p>
        </w:tc>
        <w:tc>
          <w:tcPr/>
          <w:p>
            <w:pPr>
              <w:pStyle w:val="Compact"/>
            </w:pPr>
          </w:p>
        </w:tc>
        <w:tc>
          <w:tcPr/>
          <w:p>
            <w:pPr>
              <w:pStyle w:val="Compact"/>
            </w:pPr>
            <w:r>
              <w:t xml:space="preserve">(0.185)</w:t>
            </w:r>
          </w:p>
        </w:tc>
        <w:tc>
          <w:tcPr/>
          <w:p>
            <w:pPr>
              <w:pStyle w:val="Compact"/>
            </w:pPr>
            <w:r>
              <w:t xml:space="preserve">(0.162)</w:t>
            </w:r>
          </w:p>
        </w:tc>
      </w:tr>
      <w:tr>
        <w:tc>
          <w:tcPr/>
          <w:p>
            <w:pPr>
              <w:pStyle w:val="Compact"/>
            </w:pPr>
            <w:r>
              <w:t xml:space="preserve">Poverty share, z-score</w:t>
            </w:r>
          </w:p>
        </w:tc>
        <w:tc>
          <w:tcPr/>
          <w:p>
            <w:pPr>
              <w:pStyle w:val="Compact"/>
            </w:pPr>
            <w:r>
              <w:t xml:space="preserve">0.044</w:t>
            </w:r>
          </w:p>
        </w:tc>
        <w:tc>
          <w:tcPr/>
          <w:p>
            <w:pPr>
              <w:pStyle w:val="Compact"/>
            </w:pPr>
          </w:p>
        </w:tc>
        <w:tc>
          <w:tcPr/>
          <w:p>
            <w:pPr>
              <w:pStyle w:val="Compact"/>
            </w:pPr>
          </w:p>
        </w:tc>
        <w:tc>
          <w:tcPr/>
          <w:p>
            <w:pPr>
              <w:pStyle w:val="Compact"/>
            </w:pPr>
            <w:r>
              <w:t xml:space="preserve">0.067+</w:t>
            </w:r>
          </w:p>
        </w:tc>
        <w:tc>
          <w:tcPr/>
          <w:p>
            <w:pPr>
              <w:pStyle w:val="Compact"/>
            </w:pPr>
            <w:r>
              <w:t xml:space="preserve">-0.003</w:t>
            </w:r>
          </w:p>
        </w:tc>
      </w:tr>
      <w:tr>
        <w:tc>
          <w:tcPr/>
          <w:p>
            <w:pPr>
              <w:pStyle w:val="Compact"/>
            </w:pPr>
          </w:p>
        </w:tc>
        <w:tc>
          <w:tcPr/>
          <w:p>
            <w:pPr>
              <w:pStyle w:val="Compact"/>
            </w:pPr>
            <w:r>
              <w:t xml:space="preserve">(0.028)</w:t>
            </w:r>
          </w:p>
        </w:tc>
        <w:tc>
          <w:tcPr/>
          <w:p>
            <w:pPr>
              <w:pStyle w:val="Compact"/>
            </w:pPr>
          </w:p>
        </w:tc>
        <w:tc>
          <w:tcPr/>
          <w:p>
            <w:pPr>
              <w:pStyle w:val="Compact"/>
            </w:pPr>
          </w:p>
        </w:tc>
        <w:tc>
          <w:tcPr/>
          <w:p>
            <w:pPr>
              <w:pStyle w:val="Compact"/>
            </w:pPr>
            <w:r>
              <w:t xml:space="preserve">(0.040)</w:t>
            </w:r>
          </w:p>
        </w:tc>
        <w:tc>
          <w:tcPr/>
          <w:p>
            <w:pPr>
              <w:pStyle w:val="Compact"/>
            </w:pPr>
            <w:r>
              <w:t xml:space="preserve">(0.037)</w:t>
            </w:r>
          </w:p>
        </w:tc>
      </w:tr>
      <w:tr>
        <w:tc>
          <w:tcPr/>
          <w:p>
            <w:pPr>
              <w:pStyle w:val="Compact"/>
            </w:pPr>
            <w:r>
              <w:t xml:space="preserve">log(Population), z-score</w:t>
            </w:r>
          </w:p>
        </w:tc>
        <w:tc>
          <w:tcPr/>
          <w:p>
            <w:pPr>
              <w:pStyle w:val="Compact"/>
            </w:pPr>
            <w:r>
              <w:t xml:space="preserve">0.807*</w:t>
            </w:r>
          </w:p>
        </w:tc>
        <w:tc>
          <w:tcPr/>
          <w:p>
            <w:pPr>
              <w:pStyle w:val="Compact"/>
            </w:pPr>
          </w:p>
        </w:tc>
        <w:tc>
          <w:tcPr/>
          <w:p>
            <w:pPr>
              <w:pStyle w:val="Compact"/>
            </w:pPr>
          </w:p>
        </w:tc>
        <w:tc>
          <w:tcPr/>
          <w:p>
            <w:pPr>
              <w:pStyle w:val="Compact"/>
            </w:pPr>
            <w:r>
              <w:t xml:space="preserve">0.219</w:t>
            </w:r>
          </w:p>
        </w:tc>
        <w:tc>
          <w:tcPr/>
          <w:p>
            <w:pPr>
              <w:pStyle w:val="Compact"/>
            </w:pPr>
            <w:r>
              <w:t xml:space="preserve">0.146</w:t>
            </w:r>
          </w:p>
        </w:tc>
      </w:tr>
      <w:tr>
        <w:tc>
          <w:tcPr/>
          <w:p>
            <w:pPr>
              <w:pStyle w:val="Compact"/>
            </w:pPr>
          </w:p>
        </w:tc>
        <w:tc>
          <w:tcPr/>
          <w:p>
            <w:pPr>
              <w:pStyle w:val="Compact"/>
            </w:pPr>
            <w:r>
              <w:t xml:space="preserve">(0.367)</w:t>
            </w:r>
          </w:p>
        </w:tc>
        <w:tc>
          <w:tcPr/>
          <w:p>
            <w:pPr>
              <w:pStyle w:val="Compact"/>
            </w:pPr>
          </w:p>
        </w:tc>
        <w:tc>
          <w:tcPr/>
          <w:p>
            <w:pPr>
              <w:pStyle w:val="Compact"/>
            </w:pPr>
          </w:p>
        </w:tc>
        <w:tc>
          <w:tcPr/>
          <w:p>
            <w:pPr>
              <w:pStyle w:val="Compact"/>
            </w:pPr>
            <w:r>
              <w:t xml:space="preserve">(0.444)</w:t>
            </w:r>
          </w:p>
        </w:tc>
        <w:tc>
          <w:tcPr/>
          <w:p>
            <w:pPr>
              <w:pStyle w:val="Compact"/>
            </w:pPr>
            <w:r>
              <w:t xml:space="preserve">(0.544)</w:t>
            </w:r>
          </w:p>
        </w:tc>
      </w:tr>
      <w:tr>
        <w:tc>
          <w:tcPr/>
          <w:p>
            <w:pPr>
              <w:pStyle w:val="Compact"/>
            </w:pPr>
            <w:r>
              <w:t xml:space="preserve">House Price Growth, z-score</w:t>
            </w:r>
          </w:p>
        </w:tc>
        <w:tc>
          <w:tcPr/>
          <w:p>
            <w:pPr>
              <w:pStyle w:val="Compact"/>
            </w:pPr>
            <w:r>
              <w:t xml:space="preserve">-0.019*</w:t>
            </w:r>
          </w:p>
        </w:tc>
        <w:tc>
          <w:tcPr/>
          <w:p>
            <w:pPr>
              <w:pStyle w:val="Compact"/>
            </w:pPr>
          </w:p>
        </w:tc>
        <w:tc>
          <w:tcPr/>
          <w:p>
            <w:pPr>
              <w:pStyle w:val="Compact"/>
            </w:pPr>
          </w:p>
        </w:tc>
        <w:tc>
          <w:tcPr/>
          <w:p>
            <w:pPr>
              <w:pStyle w:val="Compact"/>
            </w:pPr>
            <w:r>
              <w:t xml:space="preserve">-0.028*</w:t>
            </w:r>
          </w:p>
        </w:tc>
        <w:tc>
          <w:tcPr/>
          <w:p>
            <w:pPr>
              <w:pStyle w:val="Compact"/>
            </w:pPr>
            <w:r>
              <w:t xml:space="preserve">-0.032**</w:t>
            </w:r>
          </w:p>
        </w:tc>
      </w:tr>
      <w:tr>
        <w:tc>
          <w:tcPr/>
          <w:p>
            <w:pPr>
              <w:pStyle w:val="Compact"/>
            </w:pPr>
          </w:p>
        </w:tc>
        <w:tc>
          <w:tcPr/>
          <w:p>
            <w:pPr>
              <w:pStyle w:val="Compact"/>
            </w:pPr>
            <w:r>
              <w:t xml:space="preserve">(0.008)</w:t>
            </w:r>
          </w:p>
        </w:tc>
        <w:tc>
          <w:tcPr/>
          <w:p>
            <w:pPr>
              <w:pStyle w:val="Compact"/>
            </w:pPr>
          </w:p>
        </w:tc>
        <w:tc>
          <w:tcPr/>
          <w:p>
            <w:pPr>
              <w:pStyle w:val="Compact"/>
            </w:pPr>
          </w:p>
        </w:tc>
        <w:tc>
          <w:tcPr/>
          <w:p>
            <w:pPr>
              <w:pStyle w:val="Compact"/>
            </w:pPr>
            <w:r>
              <w:t xml:space="preserve">(0.012)</w:t>
            </w:r>
          </w:p>
        </w:tc>
        <w:tc>
          <w:tcPr/>
          <w:p>
            <w:pPr>
              <w:pStyle w:val="Compact"/>
            </w:pPr>
            <w:r>
              <w:t xml:space="preserve">(0.011)</w:t>
            </w:r>
          </w:p>
        </w:tc>
      </w:tr>
      <w:tr>
        <w:tc>
          <w:tcPr/>
          <w:p>
            <w:pPr>
              <w:pStyle w:val="Compact"/>
            </w:pPr>
            <w:r>
              <w:t xml:space="preserve">log(Median Income), z-score</w:t>
            </w:r>
          </w:p>
        </w:tc>
        <w:tc>
          <w:tcPr/>
          <w:p>
            <w:pPr>
              <w:pStyle w:val="Compact"/>
            </w:pPr>
            <w:r>
              <w:t xml:space="preserve">-0.022</w:t>
            </w:r>
          </w:p>
        </w:tc>
        <w:tc>
          <w:tcPr/>
          <w:p>
            <w:pPr>
              <w:pStyle w:val="Compact"/>
            </w:pPr>
          </w:p>
        </w:tc>
        <w:tc>
          <w:tcPr/>
          <w:p>
            <w:pPr>
              <w:pStyle w:val="Compact"/>
            </w:pPr>
          </w:p>
        </w:tc>
        <w:tc>
          <w:tcPr/>
          <w:p>
            <w:pPr>
              <w:pStyle w:val="Compact"/>
            </w:pPr>
            <w:r>
              <w:t xml:space="preserve">-0.001</w:t>
            </w:r>
          </w:p>
        </w:tc>
        <w:tc>
          <w:tcPr/>
          <w:p>
            <w:pPr>
              <w:pStyle w:val="Compact"/>
            </w:pPr>
            <w:r>
              <w:t xml:space="preserve">0.032</w:t>
            </w:r>
          </w:p>
        </w:tc>
      </w:tr>
      <w:tr>
        <w:tc>
          <w:tcPr/>
          <w:p>
            <w:pPr>
              <w:pStyle w:val="Compact"/>
            </w:pPr>
          </w:p>
        </w:tc>
        <w:tc>
          <w:tcPr/>
          <w:p>
            <w:pPr>
              <w:pStyle w:val="Compact"/>
            </w:pPr>
            <w:r>
              <w:t xml:space="preserve">(0.047)</w:t>
            </w:r>
          </w:p>
        </w:tc>
        <w:tc>
          <w:tcPr/>
          <w:p>
            <w:pPr>
              <w:pStyle w:val="Compact"/>
            </w:pPr>
          </w:p>
        </w:tc>
        <w:tc>
          <w:tcPr/>
          <w:p>
            <w:pPr>
              <w:pStyle w:val="Compact"/>
            </w:pPr>
          </w:p>
        </w:tc>
        <w:tc>
          <w:tcPr/>
          <w:p>
            <w:pPr>
              <w:pStyle w:val="Compact"/>
            </w:pPr>
            <w:r>
              <w:t xml:space="preserve">(0.065)</w:t>
            </w:r>
          </w:p>
        </w:tc>
        <w:tc>
          <w:tcPr/>
          <w:p>
            <w:pPr>
              <w:pStyle w:val="Compact"/>
            </w:pPr>
            <w:r>
              <w:t xml:space="preserve">(0.060)</w:t>
            </w:r>
          </w:p>
        </w:tc>
      </w:tr>
      <w:tr>
        <w:tc>
          <w:tcPr/>
          <w:p>
            <w:pPr>
              <w:pStyle w:val="Compact"/>
            </w:pPr>
            <w:r>
              <w:t xml:space="preserve">Labor Market Tightness, z-score</w:t>
            </w:r>
          </w:p>
        </w:tc>
        <w:tc>
          <w:tcPr/>
          <w:p>
            <w:pPr>
              <w:pStyle w:val="Compact"/>
            </w:pPr>
            <w:r>
              <w:t xml:space="preserve">0.255***</w:t>
            </w:r>
          </w:p>
        </w:tc>
        <w:tc>
          <w:tcPr/>
          <w:p>
            <w:pPr>
              <w:pStyle w:val="Compact"/>
            </w:pPr>
          </w:p>
        </w:tc>
        <w:tc>
          <w:tcPr/>
          <w:p>
            <w:pPr>
              <w:pStyle w:val="Compact"/>
            </w:pPr>
          </w:p>
        </w:tc>
        <w:tc>
          <w:tcPr/>
          <w:p>
            <w:pPr>
              <w:pStyle w:val="Compact"/>
            </w:pPr>
            <w:r>
              <w:t xml:space="preserve">0.315***</w:t>
            </w:r>
          </w:p>
        </w:tc>
        <w:tc>
          <w:tcPr/>
          <w:p>
            <w:pPr>
              <w:pStyle w:val="Compact"/>
            </w:pPr>
            <w:r>
              <w:t xml:space="preserve">0.372***</w:t>
            </w:r>
          </w:p>
        </w:tc>
      </w:tr>
      <w:tr>
        <w:tc>
          <w:tcPr/>
          <w:p>
            <w:pPr>
              <w:pStyle w:val="Compact"/>
            </w:pPr>
          </w:p>
        </w:tc>
        <w:tc>
          <w:tcPr/>
          <w:p>
            <w:pPr>
              <w:pStyle w:val="Compact"/>
            </w:pPr>
            <w:r>
              <w:t xml:space="preserve">(0.050)</w:t>
            </w:r>
          </w:p>
        </w:tc>
        <w:tc>
          <w:tcPr/>
          <w:p>
            <w:pPr>
              <w:pStyle w:val="Compact"/>
            </w:pPr>
          </w:p>
        </w:tc>
        <w:tc>
          <w:tcPr/>
          <w:p>
            <w:pPr>
              <w:pStyle w:val="Compact"/>
            </w:pPr>
          </w:p>
        </w:tc>
        <w:tc>
          <w:tcPr/>
          <w:p>
            <w:pPr>
              <w:pStyle w:val="Compact"/>
            </w:pPr>
            <w:r>
              <w:t xml:space="preserve">(0.063)</w:t>
            </w:r>
          </w:p>
        </w:tc>
        <w:tc>
          <w:tcPr/>
          <w:p>
            <w:pPr>
              <w:pStyle w:val="Compact"/>
            </w:pPr>
            <w:r>
              <w:t xml:space="preserve">(0.065)</w:t>
            </w:r>
          </w:p>
        </w:tc>
      </w:tr>
      <w:tr>
        <w:tc>
          <w:tcPr/>
          <w:p>
            <w:pPr>
              <w:pStyle w:val="Compact"/>
            </w:pPr>
            <w:r>
              <w:t xml:space="preserve">Patents per employee, z-score</w:t>
            </w:r>
          </w:p>
        </w:tc>
        <w:tc>
          <w:tcPr/>
          <w:p>
            <w:pPr>
              <w:pStyle w:val="Compact"/>
            </w:pPr>
          </w:p>
        </w:tc>
        <w:tc>
          <w:tcPr/>
          <w:p>
            <w:pPr>
              <w:pStyle w:val="Compact"/>
            </w:pPr>
            <w:r>
              <w:t xml:space="preserve">0.031**</w:t>
            </w:r>
          </w:p>
        </w:tc>
        <w:tc>
          <w:tcPr/>
          <w:p>
            <w:pPr>
              <w:pStyle w:val="Compact"/>
            </w:pPr>
          </w:p>
        </w:tc>
        <w:tc>
          <w:tcPr/>
          <w:p>
            <w:pPr>
              <w:pStyle w:val="Compact"/>
            </w:pPr>
            <w:r>
              <w:t xml:space="preserve">0.028*</w:t>
            </w:r>
          </w:p>
        </w:tc>
        <w:tc>
          <w:tcPr/>
          <w:p>
            <w:pPr>
              <w:pStyle w:val="Compact"/>
            </w:pPr>
            <w:r>
              <w:t xml:space="preserve">0.031*</w:t>
            </w:r>
          </w:p>
        </w:tc>
      </w:tr>
      <w:tr>
        <w:tc>
          <w:tcPr/>
          <w:p>
            <w:pPr>
              <w:pStyle w:val="Compact"/>
            </w:pPr>
          </w:p>
        </w:tc>
        <w:tc>
          <w:tcPr/>
          <w:p>
            <w:pPr>
              <w:pStyle w:val="Compact"/>
            </w:pPr>
          </w:p>
        </w:tc>
        <w:tc>
          <w:tcPr/>
          <w:p>
            <w:pPr>
              <w:pStyle w:val="Compact"/>
            </w:pPr>
            <w:r>
              <w:t xml:space="preserve">(0.012)</w:t>
            </w:r>
          </w:p>
        </w:tc>
        <w:tc>
          <w:tcPr/>
          <w:p>
            <w:pPr>
              <w:pStyle w:val="Compact"/>
            </w:pPr>
          </w:p>
        </w:tc>
        <w:tc>
          <w:tcPr/>
          <w:p>
            <w:pPr>
              <w:pStyle w:val="Compact"/>
            </w:pPr>
            <w:r>
              <w:t xml:space="preserve">(0.012)</w:t>
            </w:r>
          </w:p>
        </w:tc>
        <w:tc>
          <w:tcPr/>
          <w:p>
            <w:pPr>
              <w:pStyle w:val="Compact"/>
            </w:pPr>
            <w:r>
              <w:t xml:space="preserve">(0.014)</w:t>
            </w:r>
          </w:p>
        </w:tc>
      </w:tr>
      <w:tr>
        <w:tc>
          <w:tcPr/>
          <w:p>
            <w:pPr>
              <w:pStyle w:val="Compact"/>
            </w:pPr>
            <w:r>
              <w:t xml:space="preserve">AI patents’ share, z-score</w:t>
            </w:r>
          </w:p>
        </w:tc>
        <w:tc>
          <w:tcPr/>
          <w:p>
            <w:pPr>
              <w:pStyle w:val="Compact"/>
            </w:pPr>
          </w:p>
        </w:tc>
        <w:tc>
          <w:tcPr/>
          <w:p>
            <w:pPr>
              <w:pStyle w:val="Compact"/>
            </w:pPr>
            <w:r>
              <w:t xml:space="preserve">0.009</w:t>
            </w:r>
          </w:p>
        </w:tc>
        <w:tc>
          <w:tcPr/>
          <w:p>
            <w:pPr>
              <w:pStyle w:val="Compact"/>
            </w:pPr>
          </w:p>
        </w:tc>
        <w:tc>
          <w:tcPr/>
          <w:p>
            <w:pPr>
              <w:pStyle w:val="Compact"/>
            </w:pPr>
            <w:r>
              <w:t xml:space="preserve">0.009</w:t>
            </w:r>
          </w:p>
        </w:tc>
        <w:tc>
          <w:tcPr/>
          <w:p>
            <w:pPr>
              <w:pStyle w:val="Compact"/>
            </w:pPr>
            <w:r>
              <w:t xml:space="preserve">0.003</w:t>
            </w:r>
          </w:p>
        </w:tc>
      </w:tr>
      <w:tr>
        <w:tc>
          <w:tcPr/>
          <w:p>
            <w:pPr>
              <w:pStyle w:val="Compact"/>
            </w:pPr>
          </w:p>
        </w:tc>
        <w:tc>
          <w:tcPr/>
          <w:p>
            <w:pPr>
              <w:pStyle w:val="Compact"/>
            </w:pPr>
          </w:p>
        </w:tc>
        <w:tc>
          <w:tcPr/>
          <w:p>
            <w:pPr>
              <w:pStyle w:val="Compact"/>
            </w:pPr>
            <w:r>
              <w:t xml:space="preserve">(0.007)</w:t>
            </w:r>
          </w:p>
        </w:tc>
        <w:tc>
          <w:tcPr/>
          <w:p>
            <w:pPr>
              <w:pStyle w:val="Compact"/>
            </w:pPr>
          </w:p>
        </w:tc>
        <w:tc>
          <w:tcPr/>
          <w:p>
            <w:pPr>
              <w:pStyle w:val="Compact"/>
            </w:pPr>
            <w:r>
              <w:t xml:space="preserve">(0.006)</w:t>
            </w:r>
          </w:p>
        </w:tc>
        <w:tc>
          <w:tcPr/>
          <w:p>
            <w:pPr>
              <w:pStyle w:val="Compact"/>
            </w:pPr>
            <w:r>
              <w:t xml:space="preserve">(0.005)</w:t>
            </w:r>
          </w:p>
        </w:tc>
      </w:tr>
      <w:tr>
        <w:tc>
          <w:tcPr/>
          <w:p>
            <w:pPr>
              <w:pStyle w:val="Compact"/>
            </w:pPr>
            <w:r>
              <w:t xml:space="preserve">Degrees awarded per capita</w:t>
            </w:r>
          </w:p>
        </w:tc>
        <w:tc>
          <w:tcPr/>
          <w:p>
            <w:pPr>
              <w:pStyle w:val="Compact"/>
            </w:pPr>
          </w:p>
        </w:tc>
        <w:tc>
          <w:tcPr/>
          <w:p>
            <w:pPr>
              <w:pStyle w:val="Compact"/>
            </w:pPr>
            <w:r>
              <w:t xml:space="preserve">0.013</w:t>
            </w:r>
          </w:p>
        </w:tc>
        <w:tc>
          <w:tcPr/>
          <w:p>
            <w:pPr>
              <w:pStyle w:val="Compact"/>
            </w:pPr>
          </w:p>
        </w:tc>
        <w:tc>
          <w:tcPr/>
          <w:p>
            <w:pPr>
              <w:pStyle w:val="Compact"/>
            </w:pPr>
            <w:r>
              <w:t xml:space="preserve">0.034</w:t>
            </w:r>
          </w:p>
        </w:tc>
        <w:tc>
          <w:tcPr/>
          <w:p>
            <w:pPr>
              <w:pStyle w:val="Compact"/>
            </w:pPr>
            <w:r>
              <w:t xml:space="preserve">0.034</w:t>
            </w:r>
          </w:p>
        </w:tc>
      </w:tr>
      <w:tr>
        <w:tc>
          <w:tcPr/>
          <w:p>
            <w:pPr>
              <w:pStyle w:val="Compact"/>
            </w:pPr>
          </w:p>
        </w:tc>
        <w:tc>
          <w:tcPr/>
          <w:p>
            <w:pPr>
              <w:pStyle w:val="Compact"/>
            </w:pPr>
          </w:p>
        </w:tc>
        <w:tc>
          <w:tcPr/>
          <w:p>
            <w:pPr>
              <w:pStyle w:val="Compact"/>
            </w:pPr>
            <w:r>
              <w:t xml:space="preserve">(0.026)</w:t>
            </w:r>
          </w:p>
        </w:tc>
        <w:tc>
          <w:tcPr/>
          <w:p>
            <w:pPr>
              <w:pStyle w:val="Compact"/>
            </w:pPr>
          </w:p>
        </w:tc>
        <w:tc>
          <w:tcPr/>
          <w:p>
            <w:pPr>
              <w:pStyle w:val="Compact"/>
            </w:pPr>
            <w:r>
              <w:t xml:space="preserve">(0.026)</w:t>
            </w:r>
          </w:p>
        </w:tc>
        <w:tc>
          <w:tcPr/>
          <w:p>
            <w:pPr>
              <w:pStyle w:val="Compact"/>
            </w:pPr>
            <w:r>
              <w:t xml:space="preserve">(0.027)</w:t>
            </w:r>
          </w:p>
        </w:tc>
      </w:tr>
      <w:tr>
        <w:tc>
          <w:tcPr/>
          <w:p>
            <w:pPr>
              <w:pStyle w:val="Compact"/>
            </w:pPr>
            <w:r>
              <w:t xml:space="preserve">STEM Degrees’ share</w:t>
            </w:r>
          </w:p>
        </w:tc>
        <w:tc>
          <w:tcPr/>
          <w:p>
            <w:pPr>
              <w:pStyle w:val="Compact"/>
            </w:pPr>
          </w:p>
        </w:tc>
        <w:tc>
          <w:tcPr/>
          <w:p>
            <w:pPr>
              <w:pStyle w:val="Compact"/>
            </w:pPr>
            <w:r>
              <w:t xml:space="preserve">0.072**</w:t>
            </w:r>
          </w:p>
        </w:tc>
        <w:tc>
          <w:tcPr/>
          <w:p>
            <w:pPr>
              <w:pStyle w:val="Compact"/>
            </w:pPr>
          </w:p>
        </w:tc>
        <w:tc>
          <w:tcPr/>
          <w:p>
            <w:pPr>
              <w:pStyle w:val="Compact"/>
            </w:pPr>
            <w:r>
              <w:t xml:space="preserve">0.058**</w:t>
            </w:r>
          </w:p>
        </w:tc>
        <w:tc>
          <w:tcPr/>
          <w:p>
            <w:pPr>
              <w:pStyle w:val="Compact"/>
            </w:pPr>
            <w:r>
              <w:t xml:space="preserve">0.048*</w:t>
            </w:r>
          </w:p>
        </w:tc>
      </w:tr>
      <w:tr>
        <w:tc>
          <w:tcPr/>
          <w:p>
            <w:pPr>
              <w:pStyle w:val="Compact"/>
            </w:pPr>
          </w:p>
        </w:tc>
        <w:tc>
          <w:tcPr/>
          <w:p>
            <w:pPr>
              <w:pStyle w:val="Compact"/>
            </w:pPr>
          </w:p>
        </w:tc>
        <w:tc>
          <w:tcPr/>
          <w:p>
            <w:pPr>
              <w:pStyle w:val="Compact"/>
            </w:pPr>
            <w:r>
              <w:t xml:space="preserve">(0.023)</w:t>
            </w:r>
          </w:p>
        </w:tc>
        <w:tc>
          <w:tcPr/>
          <w:p>
            <w:pPr>
              <w:pStyle w:val="Compact"/>
            </w:pPr>
          </w:p>
        </w:tc>
        <w:tc>
          <w:tcPr/>
          <w:p>
            <w:pPr>
              <w:pStyle w:val="Compact"/>
            </w:pPr>
            <w:r>
              <w:t xml:space="preserve">(0.022)</w:t>
            </w:r>
          </w:p>
        </w:tc>
        <w:tc>
          <w:tcPr/>
          <w:p>
            <w:pPr>
              <w:pStyle w:val="Compact"/>
            </w:pPr>
            <w:r>
              <w:t xml:space="preserve">(0.020)</w:t>
            </w:r>
          </w:p>
        </w:tc>
      </w:tr>
      <w:tr>
        <w:tc>
          <w:tcPr/>
          <w:p>
            <w:pPr>
              <w:pStyle w:val="Compact"/>
            </w:pPr>
            <w:r>
              <w:t xml:space="preserve">Large Establishments, z-score</w:t>
            </w:r>
          </w:p>
        </w:tc>
        <w:tc>
          <w:tcPr/>
          <w:p>
            <w:pPr>
              <w:pStyle w:val="Compact"/>
            </w:pPr>
          </w:p>
        </w:tc>
        <w:tc>
          <w:tcPr/>
          <w:p>
            <w:pPr>
              <w:pStyle w:val="Compact"/>
            </w:pPr>
          </w:p>
        </w:tc>
        <w:tc>
          <w:tcPr/>
          <w:p>
            <w:pPr>
              <w:pStyle w:val="Compact"/>
            </w:pPr>
            <w:r>
              <w:t xml:space="preserve">-0.002</w:t>
            </w:r>
          </w:p>
        </w:tc>
        <w:tc>
          <w:tcPr/>
          <w:p>
            <w:pPr>
              <w:pStyle w:val="Compact"/>
            </w:pPr>
            <w:r>
              <w:t xml:space="preserve">-0.037</w:t>
            </w:r>
          </w:p>
        </w:tc>
        <w:tc>
          <w:tcPr/>
          <w:p>
            <w:pPr>
              <w:pStyle w:val="Compact"/>
            </w:pPr>
            <w:r>
              <w:t xml:space="preserve">-0.036</w:t>
            </w:r>
          </w:p>
        </w:tc>
      </w:tr>
      <w:tr>
        <w:tc>
          <w:tcPr/>
          <w:p>
            <w:pPr>
              <w:pStyle w:val="Compact"/>
            </w:pPr>
          </w:p>
        </w:tc>
        <w:tc>
          <w:tcPr/>
          <w:p>
            <w:pPr>
              <w:pStyle w:val="Compact"/>
            </w:pPr>
          </w:p>
        </w:tc>
        <w:tc>
          <w:tcPr/>
          <w:p>
            <w:pPr>
              <w:pStyle w:val="Compact"/>
            </w:pPr>
          </w:p>
        </w:tc>
        <w:tc>
          <w:tcPr/>
          <w:p>
            <w:pPr>
              <w:pStyle w:val="Compact"/>
            </w:pPr>
            <w:r>
              <w:t xml:space="preserve">(0.025)</w:t>
            </w:r>
          </w:p>
        </w:tc>
        <w:tc>
          <w:tcPr/>
          <w:p>
            <w:pPr>
              <w:pStyle w:val="Compact"/>
            </w:pPr>
            <w:r>
              <w:t xml:space="preserve">(0.028)</w:t>
            </w:r>
          </w:p>
        </w:tc>
        <w:tc>
          <w:tcPr/>
          <w:p>
            <w:pPr>
              <w:pStyle w:val="Compact"/>
            </w:pPr>
            <w:r>
              <w:t xml:space="preserve">(0.029)</w:t>
            </w:r>
          </w:p>
        </w:tc>
      </w:tr>
      <w:tr>
        <w:tc>
          <w:tcPr/>
          <w:p>
            <w:pPr>
              <w:pStyle w:val="Compact"/>
            </w:pPr>
            <w:r>
              <w:t xml:space="preserve">ICT sector Intensity, z-score</w:t>
            </w:r>
          </w:p>
        </w:tc>
        <w:tc>
          <w:tcPr/>
          <w:p>
            <w:pPr>
              <w:pStyle w:val="Compact"/>
            </w:pPr>
          </w:p>
        </w:tc>
        <w:tc>
          <w:tcPr/>
          <w:p>
            <w:pPr>
              <w:pStyle w:val="Compact"/>
            </w:pPr>
          </w:p>
        </w:tc>
        <w:tc>
          <w:tcPr/>
          <w:p>
            <w:pPr>
              <w:pStyle w:val="Compact"/>
            </w:pPr>
            <w:r>
              <w:t xml:space="preserve">0.010</w:t>
            </w:r>
          </w:p>
        </w:tc>
        <w:tc>
          <w:tcPr/>
          <w:p>
            <w:pPr>
              <w:pStyle w:val="Compact"/>
            </w:pPr>
            <w:r>
              <w:t xml:space="preserve">0.038*</w:t>
            </w:r>
          </w:p>
        </w:tc>
        <w:tc>
          <w:tcPr/>
          <w:p>
            <w:pPr>
              <w:pStyle w:val="Compact"/>
            </w:pPr>
            <w:r>
              <w:t xml:space="preserve">0.040*</w:t>
            </w:r>
          </w:p>
        </w:tc>
      </w:tr>
      <w:tr>
        <w:tc>
          <w:tcPr/>
          <w:p>
            <w:pPr>
              <w:pStyle w:val="Compact"/>
            </w:pPr>
          </w:p>
        </w:tc>
        <w:tc>
          <w:tcPr/>
          <w:p>
            <w:pPr>
              <w:pStyle w:val="Compact"/>
            </w:pPr>
          </w:p>
        </w:tc>
        <w:tc>
          <w:tcPr/>
          <w:p>
            <w:pPr>
              <w:pStyle w:val="Compact"/>
            </w:pPr>
          </w:p>
        </w:tc>
        <w:tc>
          <w:tcPr/>
          <w:p>
            <w:pPr>
              <w:pStyle w:val="Compact"/>
            </w:pPr>
            <w:r>
              <w:t xml:space="preserve">(0.014)</w:t>
            </w:r>
          </w:p>
        </w:tc>
        <w:tc>
          <w:tcPr/>
          <w:p>
            <w:pPr>
              <w:pStyle w:val="Compact"/>
            </w:pPr>
            <w:r>
              <w:t xml:space="preserve">(0.017)</w:t>
            </w:r>
          </w:p>
        </w:tc>
        <w:tc>
          <w:tcPr/>
          <w:p>
            <w:pPr>
              <w:pStyle w:val="Compact"/>
            </w:pPr>
            <w:r>
              <w:t xml:space="preserve">(0.016)</w:t>
            </w:r>
          </w:p>
        </w:tc>
      </w:tr>
      <w:tr>
        <w:tc>
          <w:tcPr/>
          <w:p>
            <w:pPr>
              <w:pStyle w:val="Compact"/>
            </w:pPr>
            <w:r>
              <w:t xml:space="preserve">Manufacturing Intensity</w:t>
            </w:r>
          </w:p>
        </w:tc>
        <w:tc>
          <w:tcPr/>
          <w:p>
            <w:pPr>
              <w:pStyle w:val="Compact"/>
            </w:pPr>
          </w:p>
        </w:tc>
        <w:tc>
          <w:tcPr/>
          <w:p>
            <w:pPr>
              <w:pStyle w:val="Compact"/>
            </w:pPr>
          </w:p>
        </w:tc>
        <w:tc>
          <w:tcPr/>
          <w:p>
            <w:pPr>
              <w:pStyle w:val="Compact"/>
            </w:pPr>
            <w:r>
              <w:t xml:space="preserve">-0.057***</w:t>
            </w:r>
          </w:p>
        </w:tc>
        <w:tc>
          <w:tcPr/>
          <w:p>
            <w:pPr>
              <w:pStyle w:val="Compact"/>
            </w:pPr>
            <w:r>
              <w:t xml:space="preserve">-0.048***</w:t>
            </w:r>
          </w:p>
        </w:tc>
        <w:tc>
          <w:tcPr/>
          <w:p>
            <w:pPr>
              <w:pStyle w:val="Compact"/>
            </w:pPr>
            <w:r>
              <w:t xml:space="preserve">-0.034*</w:t>
            </w:r>
          </w:p>
        </w:tc>
      </w:tr>
      <w:tr>
        <w:tc>
          <w:tcPr/>
          <w:p>
            <w:pPr>
              <w:pStyle w:val="Compact"/>
            </w:pPr>
          </w:p>
        </w:tc>
        <w:tc>
          <w:tcPr/>
          <w:p>
            <w:pPr>
              <w:pStyle w:val="Compact"/>
            </w:pPr>
          </w:p>
        </w:tc>
        <w:tc>
          <w:tcPr/>
          <w:p>
            <w:pPr>
              <w:pStyle w:val="Compact"/>
            </w:pPr>
          </w:p>
        </w:tc>
        <w:tc>
          <w:tcPr/>
          <w:p>
            <w:pPr>
              <w:pStyle w:val="Compact"/>
            </w:pPr>
            <w:r>
              <w:t xml:space="preserve">(0.012)</w:t>
            </w:r>
          </w:p>
        </w:tc>
        <w:tc>
          <w:tcPr/>
          <w:p>
            <w:pPr>
              <w:pStyle w:val="Compact"/>
            </w:pPr>
            <w:r>
              <w:t xml:space="preserve">(0.014)</w:t>
            </w:r>
          </w:p>
        </w:tc>
        <w:tc>
          <w:tcPr/>
          <w:p>
            <w:pPr>
              <w:pStyle w:val="Compact"/>
            </w:pPr>
            <w:r>
              <w:t xml:space="preserve">(0.015)</w:t>
            </w:r>
          </w:p>
        </w:tc>
      </w:tr>
      <w:tr>
        <w:tc>
          <w:tcPr/>
          <w:p>
            <w:pPr>
              <w:pStyle w:val="Compact"/>
            </w:pPr>
            <w:r>
              <w:t xml:space="preserve">Turnover Rate, z-score</w:t>
            </w:r>
          </w:p>
        </w:tc>
        <w:tc>
          <w:tcPr/>
          <w:p>
            <w:pPr>
              <w:pStyle w:val="Compact"/>
            </w:pPr>
          </w:p>
        </w:tc>
        <w:tc>
          <w:tcPr/>
          <w:p>
            <w:pPr>
              <w:pStyle w:val="Compact"/>
            </w:pPr>
          </w:p>
        </w:tc>
        <w:tc>
          <w:tcPr/>
          <w:p>
            <w:pPr>
              <w:pStyle w:val="Compact"/>
            </w:pPr>
            <w:r>
              <w:t xml:space="preserve">0.034**</w:t>
            </w:r>
          </w:p>
        </w:tc>
        <w:tc>
          <w:tcPr/>
          <w:p>
            <w:pPr>
              <w:pStyle w:val="Compact"/>
            </w:pPr>
            <w:r>
              <w:t xml:space="preserve">0.016</w:t>
            </w:r>
          </w:p>
        </w:tc>
        <w:tc>
          <w:tcPr/>
          <w:p>
            <w:pPr>
              <w:pStyle w:val="Compact"/>
            </w:pPr>
            <w:r>
              <w:t xml:space="preserve">0.010</w:t>
            </w:r>
          </w:p>
        </w:tc>
      </w:tr>
      <w:tr>
        <w:tc>
          <w:tcPr/>
          <w:p>
            <w:pPr>
              <w:pStyle w:val="Compact"/>
            </w:pPr>
          </w:p>
        </w:tc>
        <w:tc>
          <w:tcPr/>
          <w:p>
            <w:pPr>
              <w:pStyle w:val="Compact"/>
            </w:pPr>
          </w:p>
        </w:tc>
        <w:tc>
          <w:tcPr/>
          <w:p>
            <w:pPr>
              <w:pStyle w:val="Compact"/>
            </w:pPr>
          </w:p>
        </w:tc>
        <w:tc>
          <w:tcPr/>
          <w:p>
            <w:pPr>
              <w:pStyle w:val="Compact"/>
            </w:pPr>
            <w:r>
              <w:t xml:space="preserve">(0.011)</w:t>
            </w:r>
          </w:p>
        </w:tc>
        <w:tc>
          <w:tcPr/>
          <w:p>
            <w:pPr>
              <w:pStyle w:val="Compact"/>
            </w:pPr>
            <w:r>
              <w:t xml:space="preserve">(0.017)</w:t>
            </w:r>
          </w:p>
        </w:tc>
        <w:tc>
          <w:tcPr/>
          <w:p>
            <w:pPr>
              <w:pStyle w:val="Compact"/>
            </w:pPr>
            <w:r>
              <w:t xml:space="preserve">(0.016)</w:t>
            </w:r>
          </w:p>
        </w:tc>
      </w:tr>
      <w:tr>
        <w:tc>
          <w:tcPr/>
          <w:p>
            <w:pPr>
              <w:pStyle w:val="Compact"/>
            </w:pPr>
            <w:r>
              <w:rPr>
                <w:b/>
                <w:bCs/>
              </w:rPr>
              <w:t xml:space="preserve">Observations</w:t>
            </w:r>
          </w:p>
        </w:tc>
        <w:tc>
          <w:tcPr/>
          <w:p>
            <w:pPr>
              <w:pStyle w:val="Compact"/>
            </w:pPr>
            <w:r>
              <w:rPr>
                <w:b/>
                <w:bCs/>
              </w:rPr>
              <w:t xml:space="preserve">27,497</w:t>
            </w:r>
          </w:p>
        </w:tc>
        <w:tc>
          <w:tcPr/>
          <w:p>
            <w:pPr>
              <w:pStyle w:val="Compact"/>
            </w:pPr>
            <w:r>
              <w:rPr>
                <w:b/>
                <w:bCs/>
              </w:rPr>
              <w:t xml:space="preserve">22,744</w:t>
            </w:r>
          </w:p>
        </w:tc>
        <w:tc>
          <w:tcPr/>
          <w:p>
            <w:pPr>
              <w:pStyle w:val="Compact"/>
            </w:pPr>
            <w:r>
              <w:rPr>
                <w:b/>
                <w:bCs/>
              </w:rPr>
              <w:t xml:space="preserve">24,651</w:t>
            </w:r>
          </w:p>
        </w:tc>
        <w:tc>
          <w:tcPr/>
          <w:p>
            <w:pPr>
              <w:pStyle w:val="Compact"/>
            </w:pPr>
            <w:r>
              <w:rPr>
                <w:b/>
                <w:bCs/>
              </w:rPr>
              <w:t xml:space="preserve">19,184</w:t>
            </w:r>
          </w:p>
        </w:tc>
        <w:tc>
          <w:tcPr/>
          <w:p>
            <w:pPr>
              <w:pStyle w:val="Compact"/>
            </w:pPr>
            <w:r>
              <w:rPr>
                <w:b/>
                <w:bCs/>
              </w:rPr>
              <w:t xml:space="preserve">19,184</w:t>
            </w:r>
          </w:p>
        </w:tc>
      </w:tr>
      <w:tr>
        <w:tc>
          <w:tcPr/>
          <w:p>
            <w:pPr>
              <w:pStyle w:val="Compact"/>
            </w:pPr>
            <w:r>
              <w:rPr>
                <w:b/>
                <w:bCs/>
              </w:rPr>
              <w:t xml:space="preserve">R²</w:t>
            </w:r>
          </w:p>
        </w:tc>
        <w:tc>
          <w:tcPr/>
          <w:p>
            <w:pPr>
              <w:pStyle w:val="Compact"/>
            </w:pPr>
            <w:r>
              <w:rPr>
                <w:b/>
                <w:bCs/>
              </w:rPr>
              <w:t xml:space="preserve">0.704</w:t>
            </w:r>
          </w:p>
        </w:tc>
        <w:tc>
          <w:tcPr/>
          <w:p>
            <w:pPr>
              <w:pStyle w:val="Compact"/>
            </w:pPr>
            <w:r>
              <w:rPr>
                <w:b/>
                <w:bCs/>
              </w:rPr>
              <w:t xml:space="preserve">0.721</w:t>
            </w:r>
          </w:p>
        </w:tc>
        <w:tc>
          <w:tcPr/>
          <w:p>
            <w:pPr>
              <w:pStyle w:val="Compact"/>
            </w:pPr>
            <w:r>
              <w:rPr>
                <w:b/>
                <w:bCs/>
              </w:rPr>
              <w:t xml:space="preserve">0.694</w:t>
            </w:r>
          </w:p>
        </w:tc>
        <w:tc>
          <w:tcPr/>
          <w:p>
            <w:pPr>
              <w:pStyle w:val="Compact"/>
            </w:pPr>
            <w:r>
              <w:rPr>
                <w:b/>
                <w:bCs/>
              </w:rPr>
              <w:t xml:space="preserve">0.758</w:t>
            </w:r>
          </w:p>
        </w:tc>
        <w:tc>
          <w:tcPr/>
          <w:p>
            <w:pPr>
              <w:pStyle w:val="Compact"/>
            </w:pPr>
            <w:r>
              <w:rPr>
                <w:b/>
                <w:bCs/>
              </w:rPr>
              <w:t xml:space="preserve">0.778</w:t>
            </w:r>
          </w:p>
        </w:tc>
      </w:tr>
      <w:tr>
        <w:tc>
          <w:tcPr/>
          <w:p>
            <w:pPr>
              <w:pStyle w:val="Compact"/>
            </w:pPr>
            <w:r>
              <w:rPr>
                <w:b/>
                <w:bCs/>
              </w:rPr>
              <w:t xml:space="preserve">Within R²</w:t>
            </w:r>
          </w:p>
        </w:tc>
        <w:tc>
          <w:tcPr/>
          <w:p>
            <w:pPr>
              <w:pStyle w:val="Compact"/>
            </w:pPr>
            <w:r>
              <w:rPr>
                <w:b/>
                <w:bCs/>
              </w:rPr>
              <w:t xml:space="preserve">0.057</w:t>
            </w:r>
          </w:p>
        </w:tc>
        <w:tc>
          <w:tcPr/>
          <w:p>
            <w:pPr>
              <w:pStyle w:val="Compact"/>
            </w:pPr>
            <w:r>
              <w:rPr>
                <w:b/>
                <w:bCs/>
              </w:rPr>
              <w:t xml:space="preserve">0.003</w:t>
            </w:r>
          </w:p>
        </w:tc>
        <w:tc>
          <w:tcPr/>
          <w:p>
            <w:pPr>
              <w:pStyle w:val="Compact"/>
            </w:pPr>
            <w:r>
              <w:rPr>
                <w:b/>
                <w:bCs/>
              </w:rPr>
              <w:t xml:space="preserve">0.002</w:t>
            </w:r>
          </w:p>
        </w:tc>
        <w:tc>
          <w:tcPr/>
          <w:p>
            <w:pPr>
              <w:pStyle w:val="Compact"/>
            </w:pPr>
            <w:r>
              <w:rPr>
                <w:b/>
                <w:bCs/>
              </w:rPr>
              <w:t xml:space="preserve">0.059</w:t>
            </w:r>
          </w:p>
        </w:tc>
        <w:tc>
          <w:tcPr/>
          <w:p>
            <w:pPr>
              <w:pStyle w:val="Compact"/>
            </w:pPr>
            <w:r>
              <w:rPr>
                <w:b/>
                <w:bCs/>
              </w:rPr>
              <w:t xml:space="preserve">0.063</w:t>
            </w:r>
          </w:p>
        </w:tc>
      </w:tr>
    </w:tbl>
    <w:bookmarkEnd w:id="26"/>
    <w:bookmarkStart w:id="31" w:name="X11d747ea42040bded137d0712a118616c8d87b1"/>
    <w:p>
      <w:pPr>
        <w:pStyle w:val="Heading4"/>
      </w:pPr>
      <w:r>
        <w:t xml:space="preserve">Table 2: Replication of Table 2 from</w:t>
      </w:r>
      <w:r>
        <w:t xml:space="preserve"> </w:t>
      </w:r>
      <w:r>
        <w:t xml:space="preserve">Andreadis et al. (</w:t>
      </w:r>
      <w:hyperlink w:anchor="ref-andreadis2025">
        <w:r>
          <w:rPr>
            <w:rStyle w:val="Hyperlink"/>
          </w:rPr>
          <w:t xml:space="preserve">2025</w:t>
        </w:r>
      </w:hyperlink>
      <w:r>
        <w:t xml:space="preserve">)</w:t>
      </w:r>
      <w:r>
        <w:t xml:space="preserve"> </w:t>
      </w:r>
      <w:r>
        <w:t xml:space="preserve">- The Correlates of the Percentage Point Change in the Share of AI Jobs</w:t>
      </w:r>
    </w:p>
    <w:tbl>
      <w:tblPr>
        <w:tblStyle w:val="Table"/>
        <w:tblW w:type="pct" w:w="5000"/>
        <w:tblLayout w:type="fixed"/>
        <w:tblLook w:firstRow="1" w:lastRow="0" w:firstColumn="0" w:lastColumn="0" w:noHBand="0" w:noVBand="0" w:val="0020"/>
      </w:tblPr>
      <w:tblGrid>
        <w:gridCol w:w="1808"/>
        <w:gridCol w:w="1271"/>
        <w:gridCol w:w="1222"/>
        <w:gridCol w:w="1173"/>
        <w:gridCol w:w="1222"/>
        <w:gridCol w:w="1222"/>
      </w:tblGrid>
      <w:tr>
        <w:trPr>
          <w:tblHeader w:val="on"/>
        </w:trPr>
        <w:tc>
          <w:tcPr/>
          <w:p>
            <w:pPr>
              <w:pStyle w:val="Compact"/>
            </w:pPr>
            <w:r>
              <w:t xml:space="preserve">Variable</w:t>
            </w:r>
          </w:p>
        </w:tc>
        <w:tc>
          <w:tcPr/>
          <w:p>
            <w:pPr>
              <w:pStyle w:val="Compact"/>
            </w:pPr>
            <w:r>
              <w:t xml:space="preserve">(1) Demographics</w:t>
            </w:r>
          </w:p>
        </w:tc>
        <w:tc>
          <w:tcPr/>
          <w:p>
            <w:pPr>
              <w:pStyle w:val="Compact"/>
            </w:pPr>
            <w:r>
              <w:t xml:space="preserve">(2) Innovation</w:t>
            </w:r>
          </w:p>
        </w:tc>
        <w:tc>
          <w:tcPr/>
          <w:p>
            <w:pPr>
              <w:pStyle w:val="Compact"/>
            </w:pPr>
            <w:r>
              <w:t xml:space="preserve">(3) Industry</w:t>
            </w:r>
          </w:p>
        </w:tc>
        <w:tc>
          <w:tcPr/>
          <w:p>
            <w:pPr>
              <w:pStyle w:val="Compact"/>
            </w:pPr>
            <w:r>
              <w:t xml:space="preserve">(4) All Controls</w:t>
            </w:r>
          </w:p>
        </w:tc>
        <w:tc>
          <w:tcPr/>
          <w:p>
            <w:pPr>
              <w:pStyle w:val="Compact"/>
            </w:pPr>
            <w:r>
              <w:t xml:space="preserve">(5) All + State FE</w:t>
            </w:r>
          </w:p>
        </w:tc>
      </w:tr>
      <w:tr>
        <w:tc>
          <w:tcPr/>
          <w:p>
            <w:pPr>
              <w:pStyle w:val="Compact"/>
            </w:pPr>
            <w:r>
              <w:rPr>
                <w:b/>
                <w:bCs/>
              </w:rPr>
              <w:t xml:space="preserve">Constant</w:t>
            </w:r>
          </w:p>
        </w:tc>
        <w:tc>
          <w:tcPr/>
          <w:p>
            <w:pPr>
              <w:pStyle w:val="Compact"/>
            </w:pPr>
            <w:r>
              <w:t xml:space="preserve">0.007</w:t>
            </w:r>
          </w:p>
        </w:tc>
        <w:tc>
          <w:tcPr/>
          <w:p>
            <w:pPr>
              <w:pStyle w:val="Compact"/>
            </w:pPr>
          </w:p>
        </w:tc>
        <w:tc>
          <w:tcPr/>
          <w:p>
            <w:pPr>
              <w:pStyle w:val="Compact"/>
            </w:pPr>
          </w:p>
        </w:tc>
        <w:tc>
          <w:tcPr/>
          <w:p>
            <w:pPr>
              <w:pStyle w:val="Compact"/>
            </w:pPr>
            <w:r>
              <w:t xml:space="preserve">-0.073</w:t>
            </w:r>
          </w:p>
        </w:tc>
        <w:tc>
          <w:tcPr/>
          <w:p>
            <w:pPr>
              <w:pStyle w:val="Compact"/>
            </w:pPr>
            <w:r>
              <w:t xml:space="preserve">-0.138**</w:t>
            </w:r>
          </w:p>
        </w:tc>
      </w:tr>
      <w:tr>
        <w:tc>
          <w:tcPr/>
          <w:p>
            <w:pPr>
              <w:pStyle w:val="Compact"/>
            </w:pPr>
          </w:p>
        </w:tc>
        <w:tc>
          <w:tcPr/>
          <w:p>
            <w:pPr>
              <w:pStyle w:val="Compact"/>
            </w:pPr>
            <w:r>
              <w:t xml:space="preserve">(0.027)</w:t>
            </w:r>
          </w:p>
        </w:tc>
        <w:tc>
          <w:tcPr/>
          <w:p>
            <w:pPr>
              <w:pStyle w:val="Compact"/>
            </w:pPr>
          </w:p>
        </w:tc>
        <w:tc>
          <w:tcPr/>
          <w:p>
            <w:pPr>
              <w:pStyle w:val="Compact"/>
            </w:pPr>
          </w:p>
        </w:tc>
        <w:tc>
          <w:tcPr/>
          <w:p>
            <w:pPr>
              <w:pStyle w:val="Compact"/>
            </w:pPr>
            <w:r>
              <w:t xml:space="preserve">(0.050)</w:t>
            </w:r>
          </w:p>
        </w:tc>
        <w:tc>
          <w:tcPr/>
          <w:p>
            <w:pPr>
              <w:pStyle w:val="Compact"/>
            </w:pPr>
            <w:r>
              <w:t xml:space="preserve">(0.043)</w:t>
            </w:r>
          </w:p>
        </w:tc>
      </w:tr>
      <w:tr>
        <w:tc>
          <w:tcPr/>
          <w:p>
            <w:pPr>
              <w:pStyle w:val="Compact"/>
            </w:pPr>
            <w:r>
              <w:t xml:space="preserve">Bachelors, %</w:t>
            </w:r>
          </w:p>
        </w:tc>
        <w:tc>
          <w:tcPr/>
          <w:p>
            <w:pPr>
              <w:pStyle w:val="Compact"/>
            </w:pPr>
            <w:r>
              <w:t xml:space="preserve">0.018</w:t>
            </w:r>
          </w:p>
        </w:tc>
        <w:tc>
          <w:tcPr/>
          <w:p>
            <w:pPr>
              <w:pStyle w:val="Compact"/>
            </w:pPr>
          </w:p>
        </w:tc>
        <w:tc>
          <w:tcPr/>
          <w:p>
            <w:pPr>
              <w:pStyle w:val="Compact"/>
            </w:pPr>
          </w:p>
        </w:tc>
        <w:tc>
          <w:tcPr/>
          <w:p>
            <w:pPr>
              <w:pStyle w:val="Compact"/>
            </w:pPr>
            <w:r>
              <w:t xml:space="preserve">0.049</w:t>
            </w:r>
          </w:p>
        </w:tc>
        <w:tc>
          <w:tcPr/>
          <w:p>
            <w:pPr>
              <w:pStyle w:val="Compact"/>
            </w:pPr>
            <w:r>
              <w:t xml:space="preserve">0.051</w:t>
            </w:r>
          </w:p>
        </w:tc>
      </w:tr>
      <w:tr>
        <w:tc>
          <w:tcPr/>
          <w:p>
            <w:pPr>
              <w:pStyle w:val="Compact"/>
            </w:pPr>
          </w:p>
        </w:tc>
        <w:tc>
          <w:tcPr/>
          <w:p>
            <w:pPr>
              <w:pStyle w:val="Compact"/>
            </w:pPr>
            <w:r>
              <w:t xml:space="preserve">(0.019)</w:t>
            </w:r>
          </w:p>
        </w:tc>
        <w:tc>
          <w:tcPr/>
          <w:p>
            <w:pPr>
              <w:pStyle w:val="Compact"/>
            </w:pPr>
          </w:p>
        </w:tc>
        <w:tc>
          <w:tcPr/>
          <w:p>
            <w:pPr>
              <w:pStyle w:val="Compact"/>
            </w:pPr>
          </w:p>
        </w:tc>
        <w:tc>
          <w:tcPr/>
          <w:p>
            <w:pPr>
              <w:pStyle w:val="Compact"/>
            </w:pPr>
            <w:r>
              <w:t xml:space="preserve">(0.033)</w:t>
            </w:r>
          </w:p>
        </w:tc>
        <w:tc>
          <w:tcPr/>
          <w:p>
            <w:pPr>
              <w:pStyle w:val="Compact"/>
            </w:pPr>
            <w:r>
              <w:t xml:space="preserve">(0.033)</w:t>
            </w:r>
          </w:p>
        </w:tc>
      </w:tr>
      <w:tr>
        <w:tc>
          <w:tcPr/>
          <w:p>
            <w:pPr>
              <w:pStyle w:val="Compact"/>
            </w:pPr>
            <w:r>
              <w:t xml:space="preserve">Black, %</w:t>
            </w:r>
          </w:p>
        </w:tc>
        <w:tc>
          <w:tcPr/>
          <w:p>
            <w:pPr>
              <w:pStyle w:val="Compact"/>
            </w:pPr>
            <w:r>
              <w:t xml:space="preserve">0.068+</w:t>
            </w:r>
          </w:p>
        </w:tc>
        <w:tc>
          <w:tcPr/>
          <w:p>
            <w:pPr>
              <w:pStyle w:val="Compact"/>
            </w:pPr>
          </w:p>
        </w:tc>
        <w:tc>
          <w:tcPr/>
          <w:p>
            <w:pPr>
              <w:pStyle w:val="Compact"/>
            </w:pPr>
          </w:p>
        </w:tc>
        <w:tc>
          <w:tcPr/>
          <w:p>
            <w:pPr>
              <w:pStyle w:val="Compact"/>
            </w:pPr>
            <w:r>
              <w:t xml:space="preserve">0.054</w:t>
            </w:r>
          </w:p>
        </w:tc>
        <w:tc>
          <w:tcPr/>
          <w:p>
            <w:pPr>
              <w:pStyle w:val="Compact"/>
            </w:pPr>
            <w:r>
              <w:t xml:space="preserve">0.113</w:t>
            </w:r>
          </w:p>
        </w:tc>
      </w:tr>
      <w:tr>
        <w:tc>
          <w:tcPr/>
          <w:p>
            <w:pPr>
              <w:pStyle w:val="Compact"/>
            </w:pPr>
          </w:p>
        </w:tc>
        <w:tc>
          <w:tcPr/>
          <w:p>
            <w:pPr>
              <w:pStyle w:val="Compact"/>
            </w:pPr>
            <w:r>
              <w:t xml:space="preserve">(0.037)</w:t>
            </w:r>
          </w:p>
        </w:tc>
        <w:tc>
          <w:tcPr/>
          <w:p>
            <w:pPr>
              <w:pStyle w:val="Compact"/>
            </w:pPr>
          </w:p>
        </w:tc>
        <w:tc>
          <w:tcPr/>
          <w:p>
            <w:pPr>
              <w:pStyle w:val="Compact"/>
            </w:pPr>
          </w:p>
        </w:tc>
        <w:tc>
          <w:tcPr/>
          <w:p>
            <w:pPr>
              <w:pStyle w:val="Compact"/>
            </w:pPr>
            <w:r>
              <w:t xml:space="preserve">(0.069)</w:t>
            </w:r>
          </w:p>
        </w:tc>
        <w:tc>
          <w:tcPr/>
          <w:p>
            <w:pPr>
              <w:pStyle w:val="Compact"/>
            </w:pPr>
            <w:r>
              <w:t xml:space="preserve">(0.076)</w:t>
            </w:r>
          </w:p>
        </w:tc>
      </w:tr>
      <w:tr>
        <w:tc>
          <w:tcPr/>
          <w:p>
            <w:pPr>
              <w:pStyle w:val="Compact"/>
            </w:pPr>
            <w:r>
              <w:t xml:space="preserve">Poverty, %</w:t>
            </w:r>
          </w:p>
        </w:tc>
        <w:tc>
          <w:tcPr/>
          <w:p>
            <w:pPr>
              <w:pStyle w:val="Compact"/>
            </w:pPr>
            <w:r>
              <w:t xml:space="preserve">-0.019</w:t>
            </w:r>
          </w:p>
        </w:tc>
        <w:tc>
          <w:tcPr/>
          <w:p>
            <w:pPr>
              <w:pStyle w:val="Compact"/>
            </w:pPr>
          </w:p>
        </w:tc>
        <w:tc>
          <w:tcPr/>
          <w:p>
            <w:pPr>
              <w:pStyle w:val="Compact"/>
            </w:pPr>
          </w:p>
        </w:tc>
        <w:tc>
          <w:tcPr/>
          <w:p>
            <w:pPr>
              <w:pStyle w:val="Compact"/>
            </w:pPr>
            <w:r>
              <w:t xml:space="preserve">-0.018</w:t>
            </w:r>
          </w:p>
        </w:tc>
        <w:tc>
          <w:tcPr/>
          <w:p>
            <w:pPr>
              <w:pStyle w:val="Compact"/>
            </w:pPr>
            <w:r>
              <w:t xml:space="preserve">-0.020</w:t>
            </w:r>
          </w:p>
        </w:tc>
      </w:tr>
      <w:tr>
        <w:tc>
          <w:tcPr/>
          <w:p>
            <w:pPr>
              <w:pStyle w:val="Compact"/>
            </w:pPr>
          </w:p>
        </w:tc>
        <w:tc>
          <w:tcPr/>
          <w:p>
            <w:pPr>
              <w:pStyle w:val="Compact"/>
            </w:pPr>
            <w:r>
              <w:t xml:space="preserve">(0.022)</w:t>
            </w:r>
          </w:p>
        </w:tc>
        <w:tc>
          <w:tcPr/>
          <w:p>
            <w:pPr>
              <w:pStyle w:val="Compact"/>
            </w:pPr>
          </w:p>
        </w:tc>
        <w:tc>
          <w:tcPr/>
          <w:p>
            <w:pPr>
              <w:pStyle w:val="Compact"/>
            </w:pPr>
          </w:p>
        </w:tc>
        <w:tc>
          <w:tcPr/>
          <w:p>
            <w:pPr>
              <w:pStyle w:val="Compact"/>
            </w:pPr>
            <w:r>
              <w:t xml:space="preserve">(0.055)</w:t>
            </w:r>
          </w:p>
        </w:tc>
        <w:tc>
          <w:tcPr/>
          <w:p>
            <w:pPr>
              <w:pStyle w:val="Compact"/>
            </w:pPr>
            <w:r>
              <w:t xml:space="preserve">(0.057)</w:t>
            </w:r>
          </w:p>
        </w:tc>
      </w:tr>
      <w:tr>
        <w:tc>
          <w:tcPr/>
          <w:p>
            <w:pPr>
              <w:pStyle w:val="Compact"/>
            </w:pPr>
            <w:r>
              <w:t xml:space="preserve">Pop. Growth</w:t>
            </w:r>
          </w:p>
        </w:tc>
        <w:tc>
          <w:tcPr/>
          <w:p>
            <w:pPr>
              <w:pStyle w:val="Compact"/>
            </w:pPr>
            <w:r>
              <w:t xml:space="preserve">-0.034*</w:t>
            </w:r>
          </w:p>
        </w:tc>
        <w:tc>
          <w:tcPr/>
          <w:p>
            <w:pPr>
              <w:pStyle w:val="Compact"/>
            </w:pPr>
          </w:p>
        </w:tc>
        <w:tc>
          <w:tcPr/>
          <w:p>
            <w:pPr>
              <w:pStyle w:val="Compact"/>
            </w:pPr>
          </w:p>
        </w:tc>
        <w:tc>
          <w:tcPr/>
          <w:p>
            <w:pPr>
              <w:pStyle w:val="Compact"/>
            </w:pPr>
            <w:r>
              <w:t xml:space="preserve">-0.039</w:t>
            </w:r>
          </w:p>
        </w:tc>
        <w:tc>
          <w:tcPr/>
          <w:p>
            <w:pPr>
              <w:pStyle w:val="Compact"/>
            </w:pPr>
            <w:r>
              <w:t xml:space="preserve">0.047</w:t>
            </w:r>
          </w:p>
        </w:tc>
      </w:tr>
      <w:tr>
        <w:tc>
          <w:tcPr/>
          <w:p>
            <w:pPr>
              <w:pStyle w:val="Compact"/>
            </w:pPr>
          </w:p>
        </w:tc>
        <w:tc>
          <w:tcPr/>
          <w:p>
            <w:pPr>
              <w:pStyle w:val="Compact"/>
            </w:pPr>
            <w:r>
              <w:t xml:space="preserve">(0.017)</w:t>
            </w:r>
          </w:p>
        </w:tc>
        <w:tc>
          <w:tcPr/>
          <w:p>
            <w:pPr>
              <w:pStyle w:val="Compact"/>
            </w:pPr>
          </w:p>
        </w:tc>
        <w:tc>
          <w:tcPr/>
          <w:p>
            <w:pPr>
              <w:pStyle w:val="Compact"/>
            </w:pPr>
          </w:p>
        </w:tc>
        <w:tc>
          <w:tcPr/>
          <w:p>
            <w:pPr>
              <w:pStyle w:val="Compact"/>
            </w:pPr>
            <w:r>
              <w:t xml:space="preserve">(0.036)</w:t>
            </w:r>
          </w:p>
        </w:tc>
        <w:tc>
          <w:tcPr/>
          <w:p>
            <w:pPr>
              <w:pStyle w:val="Compact"/>
            </w:pPr>
            <w:r>
              <w:t xml:space="preserve">(0.042)</w:t>
            </w:r>
          </w:p>
        </w:tc>
      </w:tr>
      <w:tr>
        <w:tc>
          <w:tcPr/>
          <w:p>
            <w:pPr>
              <w:pStyle w:val="Compact"/>
            </w:pPr>
            <w:r>
              <w:t xml:space="preserve">House Price Growth</w:t>
            </w:r>
          </w:p>
        </w:tc>
        <w:tc>
          <w:tcPr/>
          <w:p>
            <w:pPr>
              <w:pStyle w:val="Compact"/>
            </w:pPr>
            <w:r>
              <w:t xml:space="preserve">0.124**</w:t>
            </w:r>
          </w:p>
        </w:tc>
        <w:tc>
          <w:tcPr/>
          <w:p>
            <w:pPr>
              <w:pStyle w:val="Compact"/>
            </w:pPr>
          </w:p>
        </w:tc>
        <w:tc>
          <w:tcPr/>
          <w:p>
            <w:pPr>
              <w:pStyle w:val="Compact"/>
            </w:pPr>
          </w:p>
        </w:tc>
        <w:tc>
          <w:tcPr/>
          <w:p>
            <w:pPr>
              <w:pStyle w:val="Compact"/>
            </w:pPr>
            <w:r>
              <w:t xml:space="preserve">0.125+</w:t>
            </w:r>
          </w:p>
        </w:tc>
        <w:tc>
          <w:tcPr/>
          <w:p>
            <w:pPr>
              <w:pStyle w:val="Compact"/>
            </w:pPr>
            <w:r>
              <w:t xml:space="preserve">0.197*</w:t>
            </w:r>
          </w:p>
        </w:tc>
      </w:tr>
      <w:tr>
        <w:tc>
          <w:tcPr/>
          <w:p>
            <w:pPr>
              <w:pStyle w:val="Compact"/>
            </w:pPr>
          </w:p>
        </w:tc>
        <w:tc>
          <w:tcPr/>
          <w:p>
            <w:pPr>
              <w:pStyle w:val="Compact"/>
            </w:pPr>
            <w:r>
              <w:t xml:space="preserve">(0.042)</w:t>
            </w:r>
          </w:p>
        </w:tc>
        <w:tc>
          <w:tcPr/>
          <w:p>
            <w:pPr>
              <w:pStyle w:val="Compact"/>
            </w:pPr>
          </w:p>
        </w:tc>
        <w:tc>
          <w:tcPr/>
          <w:p>
            <w:pPr>
              <w:pStyle w:val="Compact"/>
            </w:pPr>
          </w:p>
        </w:tc>
        <w:tc>
          <w:tcPr/>
          <w:p>
            <w:pPr>
              <w:pStyle w:val="Compact"/>
            </w:pPr>
            <w:r>
              <w:t xml:space="preserve">(0.075)</w:t>
            </w:r>
          </w:p>
        </w:tc>
        <w:tc>
          <w:tcPr/>
          <w:p>
            <w:pPr>
              <w:pStyle w:val="Compact"/>
            </w:pPr>
            <w:r>
              <w:t xml:space="preserve">(0.079)</w:t>
            </w:r>
          </w:p>
        </w:tc>
      </w:tr>
      <w:tr>
        <w:tc>
          <w:tcPr/>
          <w:p>
            <w:pPr>
              <w:pStyle w:val="Compact"/>
            </w:pPr>
            <w:r>
              <w:t xml:space="preserve">Income, Log</w:t>
            </w:r>
          </w:p>
        </w:tc>
        <w:tc>
          <w:tcPr/>
          <w:p>
            <w:pPr>
              <w:pStyle w:val="Compact"/>
            </w:pPr>
            <w:r>
              <w:t xml:space="preserve">0.098***</w:t>
            </w:r>
          </w:p>
        </w:tc>
        <w:tc>
          <w:tcPr/>
          <w:p>
            <w:pPr>
              <w:pStyle w:val="Compact"/>
            </w:pPr>
          </w:p>
        </w:tc>
        <w:tc>
          <w:tcPr/>
          <w:p>
            <w:pPr>
              <w:pStyle w:val="Compact"/>
            </w:pPr>
          </w:p>
        </w:tc>
        <w:tc>
          <w:tcPr/>
          <w:p>
            <w:pPr>
              <w:pStyle w:val="Compact"/>
            </w:pPr>
            <w:r>
              <w:t xml:space="preserve">0.187***</w:t>
            </w:r>
          </w:p>
        </w:tc>
        <w:tc>
          <w:tcPr/>
          <w:p>
            <w:pPr>
              <w:pStyle w:val="Compact"/>
            </w:pPr>
            <w:r>
              <w:t xml:space="preserve">0.152+</w:t>
            </w:r>
          </w:p>
        </w:tc>
      </w:tr>
      <w:tr>
        <w:tc>
          <w:tcPr/>
          <w:p>
            <w:pPr>
              <w:pStyle w:val="Compact"/>
            </w:pPr>
          </w:p>
        </w:tc>
        <w:tc>
          <w:tcPr/>
          <w:p>
            <w:pPr>
              <w:pStyle w:val="Compact"/>
            </w:pPr>
            <w:r>
              <w:t xml:space="preserve">(0.021)</w:t>
            </w:r>
          </w:p>
        </w:tc>
        <w:tc>
          <w:tcPr/>
          <w:p>
            <w:pPr>
              <w:pStyle w:val="Compact"/>
            </w:pPr>
          </w:p>
        </w:tc>
        <w:tc>
          <w:tcPr/>
          <w:p>
            <w:pPr>
              <w:pStyle w:val="Compact"/>
            </w:pPr>
          </w:p>
        </w:tc>
        <w:tc>
          <w:tcPr/>
          <w:p>
            <w:pPr>
              <w:pStyle w:val="Compact"/>
            </w:pPr>
            <w:r>
              <w:t xml:space="preserve">(0.040)</w:t>
            </w:r>
          </w:p>
        </w:tc>
        <w:tc>
          <w:tcPr/>
          <w:p>
            <w:pPr>
              <w:pStyle w:val="Compact"/>
            </w:pPr>
            <w:r>
              <w:t xml:space="preserve">(0.086)</w:t>
            </w:r>
          </w:p>
        </w:tc>
      </w:tr>
      <w:tr>
        <w:tc>
          <w:tcPr/>
          <w:p>
            <w:pPr>
              <w:pStyle w:val="Compact"/>
            </w:pPr>
            <w:r>
              <w:t xml:space="preserve">Tightness</w:t>
            </w:r>
          </w:p>
        </w:tc>
        <w:tc>
          <w:tcPr/>
          <w:p>
            <w:pPr>
              <w:pStyle w:val="Compact"/>
            </w:pPr>
            <w:r>
              <w:t xml:space="preserve">0.002</w:t>
            </w:r>
          </w:p>
        </w:tc>
        <w:tc>
          <w:tcPr/>
          <w:p>
            <w:pPr>
              <w:pStyle w:val="Compact"/>
            </w:pPr>
          </w:p>
        </w:tc>
        <w:tc>
          <w:tcPr/>
          <w:p>
            <w:pPr>
              <w:pStyle w:val="Compact"/>
            </w:pPr>
          </w:p>
        </w:tc>
        <w:tc>
          <w:tcPr/>
          <w:p>
            <w:pPr>
              <w:pStyle w:val="Compact"/>
            </w:pPr>
            <w:r>
              <w:t xml:space="preserve">-0.061+</w:t>
            </w:r>
          </w:p>
        </w:tc>
        <w:tc>
          <w:tcPr/>
          <w:p>
            <w:pPr>
              <w:pStyle w:val="Compact"/>
            </w:pPr>
            <w:r>
              <w:t xml:space="preserve">-0.008</w:t>
            </w:r>
          </w:p>
        </w:tc>
      </w:tr>
      <w:tr>
        <w:tc>
          <w:tcPr/>
          <w:p>
            <w:pPr>
              <w:pStyle w:val="Compact"/>
            </w:pPr>
          </w:p>
        </w:tc>
        <w:tc>
          <w:tcPr/>
          <w:p>
            <w:pPr>
              <w:pStyle w:val="Compact"/>
            </w:pPr>
            <w:r>
              <w:t xml:space="preserve">(0.027)</w:t>
            </w:r>
          </w:p>
        </w:tc>
        <w:tc>
          <w:tcPr/>
          <w:p>
            <w:pPr>
              <w:pStyle w:val="Compact"/>
            </w:pPr>
          </w:p>
        </w:tc>
        <w:tc>
          <w:tcPr/>
          <w:p>
            <w:pPr>
              <w:pStyle w:val="Compact"/>
            </w:pPr>
          </w:p>
        </w:tc>
        <w:tc>
          <w:tcPr/>
          <w:p>
            <w:pPr>
              <w:pStyle w:val="Compact"/>
            </w:pPr>
            <w:r>
              <w:t xml:space="preserve">(0.035)</w:t>
            </w:r>
          </w:p>
        </w:tc>
        <w:tc>
          <w:tcPr/>
          <w:p>
            <w:pPr>
              <w:pStyle w:val="Compact"/>
            </w:pPr>
            <w:r>
              <w:t xml:space="preserve">(0.039)</w:t>
            </w:r>
          </w:p>
        </w:tc>
      </w:tr>
      <w:tr>
        <w:tc>
          <w:tcPr/>
          <w:p>
            <w:pPr>
              <w:pStyle w:val="Compact"/>
            </w:pPr>
            <w:r>
              <w:t xml:space="preserve">Patents per employee</w:t>
            </w:r>
          </w:p>
        </w:tc>
        <w:tc>
          <w:tcPr/>
          <w:p>
            <w:pPr>
              <w:pStyle w:val="Compact"/>
            </w:pPr>
          </w:p>
        </w:tc>
        <w:tc>
          <w:tcPr/>
          <w:p>
            <w:pPr>
              <w:pStyle w:val="Compact"/>
            </w:pPr>
            <w:r>
              <w:t xml:space="preserve">0.151***</w:t>
            </w:r>
          </w:p>
        </w:tc>
        <w:tc>
          <w:tcPr/>
          <w:p>
            <w:pPr>
              <w:pStyle w:val="Compact"/>
            </w:pPr>
          </w:p>
        </w:tc>
        <w:tc>
          <w:tcPr/>
          <w:p>
            <w:pPr>
              <w:pStyle w:val="Compact"/>
            </w:pPr>
            <w:r>
              <w:t xml:space="preserve">0.113**</w:t>
            </w:r>
          </w:p>
        </w:tc>
        <w:tc>
          <w:tcPr/>
          <w:p>
            <w:pPr>
              <w:pStyle w:val="Compact"/>
            </w:pPr>
            <w:r>
              <w:t xml:space="preserve">0.082</w:t>
            </w:r>
          </w:p>
        </w:tc>
      </w:tr>
      <w:tr>
        <w:tc>
          <w:tcPr/>
          <w:p>
            <w:pPr>
              <w:pStyle w:val="Compact"/>
            </w:pPr>
          </w:p>
        </w:tc>
        <w:tc>
          <w:tcPr/>
          <w:p>
            <w:pPr>
              <w:pStyle w:val="Compact"/>
            </w:pPr>
          </w:p>
        </w:tc>
        <w:tc>
          <w:tcPr/>
          <w:p>
            <w:pPr>
              <w:pStyle w:val="Compact"/>
            </w:pPr>
            <w:r>
              <w:t xml:space="preserve">(0.036)</w:t>
            </w:r>
          </w:p>
        </w:tc>
        <w:tc>
          <w:tcPr/>
          <w:p>
            <w:pPr>
              <w:pStyle w:val="Compact"/>
            </w:pPr>
          </w:p>
        </w:tc>
        <w:tc>
          <w:tcPr/>
          <w:p>
            <w:pPr>
              <w:pStyle w:val="Compact"/>
            </w:pPr>
            <w:r>
              <w:t xml:space="preserve">(0.043)</w:t>
            </w:r>
          </w:p>
        </w:tc>
        <w:tc>
          <w:tcPr/>
          <w:p>
            <w:pPr>
              <w:pStyle w:val="Compact"/>
            </w:pPr>
            <w:r>
              <w:t xml:space="preserve">(0.066)</w:t>
            </w:r>
          </w:p>
        </w:tc>
      </w:tr>
      <w:tr>
        <w:tc>
          <w:tcPr/>
          <w:p>
            <w:pPr>
              <w:pStyle w:val="Compact"/>
            </w:pPr>
            <w:r>
              <w:t xml:space="preserve">AI Patents’ Share</w:t>
            </w:r>
          </w:p>
        </w:tc>
        <w:tc>
          <w:tcPr/>
          <w:p>
            <w:pPr>
              <w:pStyle w:val="Compact"/>
            </w:pPr>
          </w:p>
        </w:tc>
        <w:tc>
          <w:tcPr/>
          <w:p>
            <w:pPr>
              <w:pStyle w:val="Compact"/>
            </w:pPr>
            <w:r>
              <w:t xml:space="preserve">0.021</w:t>
            </w:r>
          </w:p>
        </w:tc>
        <w:tc>
          <w:tcPr/>
          <w:p>
            <w:pPr>
              <w:pStyle w:val="Compact"/>
            </w:pPr>
          </w:p>
        </w:tc>
        <w:tc>
          <w:tcPr/>
          <w:p>
            <w:pPr>
              <w:pStyle w:val="Compact"/>
            </w:pPr>
            <w:r>
              <w:t xml:space="preserve">0.045</w:t>
            </w:r>
          </w:p>
        </w:tc>
        <w:tc>
          <w:tcPr/>
          <w:p>
            <w:pPr>
              <w:pStyle w:val="Compact"/>
            </w:pPr>
            <w:r>
              <w:t xml:space="preserve">0.058</w:t>
            </w:r>
          </w:p>
        </w:tc>
      </w:tr>
      <w:tr>
        <w:tc>
          <w:tcPr/>
          <w:p>
            <w:pPr>
              <w:pStyle w:val="Compact"/>
            </w:pPr>
          </w:p>
        </w:tc>
        <w:tc>
          <w:tcPr/>
          <w:p>
            <w:pPr>
              <w:pStyle w:val="Compact"/>
            </w:pPr>
          </w:p>
        </w:tc>
        <w:tc>
          <w:tcPr/>
          <w:p>
            <w:pPr>
              <w:pStyle w:val="Compact"/>
            </w:pPr>
            <w:r>
              <w:t xml:space="preserve">(0.017)</w:t>
            </w:r>
          </w:p>
        </w:tc>
        <w:tc>
          <w:tcPr/>
          <w:p>
            <w:pPr>
              <w:pStyle w:val="Compact"/>
            </w:pPr>
          </w:p>
        </w:tc>
        <w:tc>
          <w:tcPr/>
          <w:p>
            <w:pPr>
              <w:pStyle w:val="Compact"/>
            </w:pPr>
            <w:r>
              <w:t xml:space="preserve">(0.029)</w:t>
            </w:r>
          </w:p>
        </w:tc>
        <w:tc>
          <w:tcPr/>
          <w:p>
            <w:pPr>
              <w:pStyle w:val="Compact"/>
            </w:pPr>
            <w:r>
              <w:t xml:space="preserve">(0.035)</w:t>
            </w:r>
          </w:p>
        </w:tc>
      </w:tr>
      <w:tr>
        <w:tc>
          <w:tcPr/>
          <w:p>
            <w:pPr>
              <w:pStyle w:val="Compact"/>
            </w:pPr>
            <w:r>
              <w:t xml:space="preserve">Degrees per capita</w:t>
            </w:r>
          </w:p>
        </w:tc>
        <w:tc>
          <w:tcPr/>
          <w:p>
            <w:pPr>
              <w:pStyle w:val="Compact"/>
            </w:pPr>
          </w:p>
        </w:tc>
        <w:tc>
          <w:tcPr/>
          <w:p>
            <w:pPr>
              <w:pStyle w:val="Compact"/>
            </w:pPr>
            <w:r>
              <w:t xml:space="preserve">0.093***</w:t>
            </w:r>
          </w:p>
        </w:tc>
        <w:tc>
          <w:tcPr/>
          <w:p>
            <w:pPr>
              <w:pStyle w:val="Compact"/>
            </w:pPr>
          </w:p>
        </w:tc>
        <w:tc>
          <w:tcPr/>
          <w:p>
            <w:pPr>
              <w:pStyle w:val="Compact"/>
            </w:pPr>
            <w:r>
              <w:t xml:space="preserve">0.082**</w:t>
            </w:r>
          </w:p>
        </w:tc>
        <w:tc>
          <w:tcPr/>
          <w:p>
            <w:pPr>
              <w:pStyle w:val="Compact"/>
            </w:pPr>
            <w:r>
              <w:t xml:space="preserve">0.076+</w:t>
            </w:r>
          </w:p>
        </w:tc>
      </w:tr>
      <w:tr>
        <w:tc>
          <w:tcPr/>
          <w:p>
            <w:pPr>
              <w:pStyle w:val="Compact"/>
            </w:pPr>
          </w:p>
        </w:tc>
        <w:tc>
          <w:tcPr/>
          <w:p>
            <w:pPr>
              <w:pStyle w:val="Compact"/>
            </w:pPr>
          </w:p>
        </w:tc>
        <w:tc>
          <w:tcPr/>
          <w:p>
            <w:pPr>
              <w:pStyle w:val="Compact"/>
            </w:pPr>
            <w:r>
              <w:t xml:space="preserve">(0.027)</w:t>
            </w:r>
          </w:p>
        </w:tc>
        <w:tc>
          <w:tcPr/>
          <w:p>
            <w:pPr>
              <w:pStyle w:val="Compact"/>
            </w:pPr>
          </w:p>
        </w:tc>
        <w:tc>
          <w:tcPr/>
          <w:p>
            <w:pPr>
              <w:pStyle w:val="Compact"/>
            </w:pPr>
            <w:r>
              <w:t xml:space="preserve">(0.027)</w:t>
            </w:r>
          </w:p>
        </w:tc>
        <w:tc>
          <w:tcPr/>
          <w:p>
            <w:pPr>
              <w:pStyle w:val="Compact"/>
            </w:pPr>
            <w:r>
              <w:t xml:space="preserve">(0.036)</w:t>
            </w:r>
          </w:p>
        </w:tc>
      </w:tr>
      <w:tr>
        <w:tc>
          <w:tcPr/>
          <w:p>
            <w:pPr>
              <w:pStyle w:val="Compact"/>
            </w:pPr>
            <w:r>
              <w:t xml:space="preserve">STEM Degrees’ share</w:t>
            </w:r>
          </w:p>
        </w:tc>
        <w:tc>
          <w:tcPr/>
          <w:p>
            <w:pPr>
              <w:pStyle w:val="Compact"/>
            </w:pPr>
          </w:p>
        </w:tc>
        <w:tc>
          <w:tcPr/>
          <w:p>
            <w:pPr>
              <w:pStyle w:val="Compact"/>
            </w:pPr>
            <w:r>
              <w:t xml:space="preserve">0.031</w:t>
            </w:r>
          </w:p>
        </w:tc>
        <w:tc>
          <w:tcPr/>
          <w:p>
            <w:pPr>
              <w:pStyle w:val="Compact"/>
            </w:pPr>
          </w:p>
        </w:tc>
        <w:tc>
          <w:tcPr/>
          <w:p>
            <w:pPr>
              <w:pStyle w:val="Compact"/>
            </w:pPr>
            <w:r>
              <w:t xml:space="preserve">-0.064+</w:t>
            </w:r>
          </w:p>
        </w:tc>
        <w:tc>
          <w:tcPr/>
          <w:p>
            <w:pPr>
              <w:pStyle w:val="Compact"/>
            </w:pPr>
            <w:r>
              <w:t xml:space="preserve">-0.039</w:t>
            </w:r>
          </w:p>
        </w:tc>
      </w:tr>
      <w:tr>
        <w:tc>
          <w:tcPr/>
          <w:p>
            <w:pPr>
              <w:pStyle w:val="Compact"/>
            </w:pPr>
          </w:p>
        </w:tc>
        <w:tc>
          <w:tcPr/>
          <w:p>
            <w:pPr>
              <w:pStyle w:val="Compact"/>
            </w:pPr>
          </w:p>
        </w:tc>
        <w:tc>
          <w:tcPr/>
          <w:p>
            <w:pPr>
              <w:pStyle w:val="Compact"/>
            </w:pPr>
            <w:r>
              <w:t xml:space="preserve">(0.021)</w:t>
            </w:r>
          </w:p>
        </w:tc>
        <w:tc>
          <w:tcPr/>
          <w:p>
            <w:pPr>
              <w:pStyle w:val="Compact"/>
            </w:pPr>
          </w:p>
        </w:tc>
        <w:tc>
          <w:tcPr/>
          <w:p>
            <w:pPr>
              <w:pStyle w:val="Compact"/>
            </w:pPr>
            <w:r>
              <w:t xml:space="preserve">(0.049)</w:t>
            </w:r>
          </w:p>
        </w:tc>
        <w:tc>
          <w:tcPr/>
          <w:p>
            <w:pPr>
              <w:pStyle w:val="Compact"/>
            </w:pPr>
            <w:r>
              <w:t xml:space="preserve">(0.060)</w:t>
            </w:r>
          </w:p>
        </w:tc>
      </w:tr>
      <w:tr>
        <w:tc>
          <w:tcPr/>
          <w:p>
            <w:pPr>
              <w:pStyle w:val="Compact"/>
            </w:pPr>
            <w:r>
              <w:t xml:space="preserve">Large Establishments, %</w:t>
            </w:r>
          </w:p>
        </w:tc>
        <w:tc>
          <w:tcPr/>
          <w:p>
            <w:pPr>
              <w:pStyle w:val="Compact"/>
            </w:pPr>
          </w:p>
        </w:tc>
        <w:tc>
          <w:tcPr/>
          <w:p>
            <w:pPr>
              <w:pStyle w:val="Compact"/>
            </w:pPr>
          </w:p>
        </w:tc>
        <w:tc>
          <w:tcPr/>
          <w:p>
            <w:pPr>
              <w:pStyle w:val="Compact"/>
            </w:pPr>
            <w:r>
              <w:t xml:space="preserve">0.031+</w:t>
            </w:r>
          </w:p>
        </w:tc>
        <w:tc>
          <w:tcPr/>
          <w:p>
            <w:pPr>
              <w:pStyle w:val="Compact"/>
            </w:pPr>
            <w:r>
              <w:t xml:space="preserve">-0.024</w:t>
            </w:r>
          </w:p>
        </w:tc>
        <w:tc>
          <w:tcPr/>
          <w:p>
            <w:pPr>
              <w:pStyle w:val="Compact"/>
            </w:pPr>
            <w:r>
              <w:t xml:space="preserve">-0.016</w:t>
            </w:r>
          </w:p>
        </w:tc>
      </w:tr>
      <w:tr>
        <w:tc>
          <w:tcPr/>
          <w:p>
            <w:pPr>
              <w:pStyle w:val="Compact"/>
            </w:pPr>
          </w:p>
        </w:tc>
        <w:tc>
          <w:tcPr/>
          <w:p>
            <w:pPr>
              <w:pStyle w:val="Compact"/>
            </w:pPr>
          </w:p>
        </w:tc>
        <w:tc>
          <w:tcPr/>
          <w:p>
            <w:pPr>
              <w:pStyle w:val="Compact"/>
            </w:pPr>
          </w:p>
        </w:tc>
        <w:tc>
          <w:tcPr/>
          <w:p>
            <w:pPr>
              <w:pStyle w:val="Compact"/>
            </w:pPr>
            <w:r>
              <w:t xml:space="preserve">(0.018)</w:t>
            </w:r>
          </w:p>
        </w:tc>
        <w:tc>
          <w:tcPr/>
          <w:p>
            <w:pPr>
              <w:pStyle w:val="Compact"/>
            </w:pPr>
            <w:r>
              <w:t xml:space="preserve">(0.030)</w:t>
            </w:r>
          </w:p>
        </w:tc>
        <w:tc>
          <w:tcPr/>
          <w:p>
            <w:pPr>
              <w:pStyle w:val="Compact"/>
            </w:pPr>
            <w:r>
              <w:t xml:space="preserve">(0.026)</w:t>
            </w:r>
          </w:p>
        </w:tc>
      </w:tr>
      <w:tr>
        <w:tc>
          <w:tcPr/>
          <w:p>
            <w:pPr>
              <w:pStyle w:val="Compact"/>
            </w:pPr>
            <w:r>
              <w:t xml:space="preserve">ICT sector Intensity</w:t>
            </w:r>
          </w:p>
        </w:tc>
        <w:tc>
          <w:tcPr/>
          <w:p>
            <w:pPr>
              <w:pStyle w:val="Compact"/>
            </w:pPr>
          </w:p>
        </w:tc>
        <w:tc>
          <w:tcPr/>
          <w:p>
            <w:pPr>
              <w:pStyle w:val="Compact"/>
            </w:pPr>
          </w:p>
        </w:tc>
        <w:tc>
          <w:tcPr/>
          <w:p>
            <w:pPr>
              <w:pStyle w:val="Compact"/>
            </w:pPr>
            <w:r>
              <w:t xml:space="preserve">-0.037+</w:t>
            </w:r>
          </w:p>
        </w:tc>
        <w:tc>
          <w:tcPr/>
          <w:p>
            <w:pPr>
              <w:pStyle w:val="Compact"/>
            </w:pPr>
            <w:r>
              <w:t xml:space="preserve">-0.014</w:t>
            </w:r>
          </w:p>
        </w:tc>
        <w:tc>
          <w:tcPr/>
          <w:p>
            <w:pPr>
              <w:pStyle w:val="Compact"/>
            </w:pPr>
            <w:r>
              <w:t xml:space="preserve">-0.001</w:t>
            </w:r>
          </w:p>
        </w:tc>
      </w:tr>
      <w:tr>
        <w:tc>
          <w:tcPr/>
          <w:p>
            <w:pPr>
              <w:pStyle w:val="Compact"/>
            </w:pPr>
          </w:p>
        </w:tc>
        <w:tc>
          <w:tcPr/>
          <w:p>
            <w:pPr>
              <w:pStyle w:val="Compact"/>
            </w:pPr>
          </w:p>
        </w:tc>
        <w:tc>
          <w:tcPr/>
          <w:p>
            <w:pPr>
              <w:pStyle w:val="Compact"/>
            </w:pPr>
          </w:p>
        </w:tc>
        <w:tc>
          <w:tcPr/>
          <w:p>
            <w:pPr>
              <w:pStyle w:val="Compact"/>
            </w:pPr>
            <w:r>
              <w:t xml:space="preserve">(0.019)</w:t>
            </w:r>
          </w:p>
        </w:tc>
        <w:tc>
          <w:tcPr/>
          <w:p>
            <w:pPr>
              <w:pStyle w:val="Compact"/>
            </w:pPr>
            <w:r>
              <w:t xml:space="preserve">(0.046)</w:t>
            </w:r>
          </w:p>
        </w:tc>
        <w:tc>
          <w:tcPr/>
          <w:p>
            <w:pPr>
              <w:pStyle w:val="Compact"/>
            </w:pPr>
            <w:r>
              <w:t xml:space="preserve">(0.042)</w:t>
            </w:r>
          </w:p>
        </w:tc>
      </w:tr>
      <w:tr>
        <w:tc>
          <w:tcPr/>
          <w:p>
            <w:pPr>
              <w:pStyle w:val="Compact"/>
            </w:pPr>
            <w:r>
              <w:t xml:space="preserve">Manufacturing Intensity</w:t>
            </w:r>
          </w:p>
        </w:tc>
        <w:tc>
          <w:tcPr/>
          <w:p>
            <w:pPr>
              <w:pStyle w:val="Compact"/>
            </w:pPr>
          </w:p>
        </w:tc>
        <w:tc>
          <w:tcPr/>
          <w:p>
            <w:pPr>
              <w:pStyle w:val="Compact"/>
            </w:pPr>
          </w:p>
        </w:tc>
        <w:tc>
          <w:tcPr/>
          <w:p>
            <w:pPr>
              <w:pStyle w:val="Compact"/>
            </w:pPr>
            <w:r>
              <w:t xml:space="preserve">-0.072**</w:t>
            </w:r>
          </w:p>
        </w:tc>
        <w:tc>
          <w:tcPr/>
          <w:p>
            <w:pPr>
              <w:pStyle w:val="Compact"/>
            </w:pPr>
            <w:r>
              <w:t xml:space="preserve">-0.128*</w:t>
            </w:r>
          </w:p>
        </w:tc>
        <w:tc>
          <w:tcPr/>
          <w:p>
            <w:pPr>
              <w:pStyle w:val="Compact"/>
            </w:pPr>
            <w:r>
              <w:t xml:space="preserve">-0.170*</w:t>
            </w:r>
          </w:p>
        </w:tc>
      </w:tr>
      <w:tr>
        <w:tc>
          <w:tcPr/>
          <w:p>
            <w:pPr>
              <w:pStyle w:val="Compact"/>
            </w:pPr>
          </w:p>
        </w:tc>
        <w:tc>
          <w:tcPr/>
          <w:p>
            <w:pPr>
              <w:pStyle w:val="Compact"/>
            </w:pPr>
          </w:p>
        </w:tc>
        <w:tc>
          <w:tcPr/>
          <w:p>
            <w:pPr>
              <w:pStyle w:val="Compact"/>
            </w:pPr>
          </w:p>
        </w:tc>
        <w:tc>
          <w:tcPr/>
          <w:p>
            <w:pPr>
              <w:pStyle w:val="Compact"/>
            </w:pPr>
            <w:r>
              <w:t xml:space="preserve">(0.023)</w:t>
            </w:r>
          </w:p>
        </w:tc>
        <w:tc>
          <w:tcPr/>
          <w:p>
            <w:pPr>
              <w:pStyle w:val="Compact"/>
            </w:pPr>
            <w:r>
              <w:t xml:space="preserve">(0.061)</w:t>
            </w:r>
          </w:p>
        </w:tc>
        <w:tc>
          <w:tcPr/>
          <w:p>
            <w:pPr>
              <w:pStyle w:val="Compact"/>
            </w:pPr>
            <w:r>
              <w:t xml:space="preserve">(0.079)</w:t>
            </w:r>
          </w:p>
        </w:tc>
      </w:tr>
      <w:tr>
        <w:tc>
          <w:tcPr/>
          <w:p>
            <w:pPr>
              <w:pStyle w:val="Compact"/>
            </w:pPr>
            <w:r>
              <w:t xml:space="preserve">Turnover Rate</w:t>
            </w:r>
          </w:p>
        </w:tc>
        <w:tc>
          <w:tcPr/>
          <w:p>
            <w:pPr>
              <w:pStyle w:val="Compact"/>
            </w:pPr>
          </w:p>
        </w:tc>
        <w:tc>
          <w:tcPr/>
          <w:p>
            <w:pPr>
              <w:pStyle w:val="Compact"/>
            </w:pPr>
          </w:p>
        </w:tc>
        <w:tc>
          <w:tcPr/>
          <w:p>
            <w:pPr>
              <w:pStyle w:val="Compact"/>
            </w:pPr>
            <w:r>
              <w:t xml:space="preserve">0.023+</w:t>
            </w:r>
          </w:p>
        </w:tc>
        <w:tc>
          <w:tcPr/>
          <w:p>
            <w:pPr>
              <w:pStyle w:val="Compact"/>
            </w:pPr>
            <w:r>
              <w:t xml:space="preserve">-0.056**</w:t>
            </w:r>
          </w:p>
        </w:tc>
        <w:tc>
          <w:tcPr/>
          <w:p>
            <w:pPr>
              <w:pStyle w:val="Compact"/>
            </w:pPr>
            <w:r>
              <w:t xml:space="preserve">-0.042*</w:t>
            </w:r>
          </w:p>
        </w:tc>
      </w:tr>
      <w:tr>
        <w:tc>
          <w:tcPr/>
          <w:p>
            <w:pPr>
              <w:pStyle w:val="Compact"/>
            </w:pPr>
          </w:p>
        </w:tc>
        <w:tc>
          <w:tcPr/>
          <w:p>
            <w:pPr>
              <w:pStyle w:val="Compact"/>
            </w:pPr>
          </w:p>
        </w:tc>
        <w:tc>
          <w:tcPr/>
          <w:p>
            <w:pPr>
              <w:pStyle w:val="Compact"/>
            </w:pPr>
          </w:p>
        </w:tc>
        <w:tc>
          <w:tcPr/>
          <w:p>
            <w:pPr>
              <w:pStyle w:val="Compact"/>
            </w:pPr>
            <w:r>
              <w:t xml:space="preserve">(0.014)</w:t>
            </w:r>
          </w:p>
        </w:tc>
        <w:tc>
          <w:tcPr/>
          <w:p>
            <w:pPr>
              <w:pStyle w:val="Compact"/>
            </w:pPr>
            <w:r>
              <w:t xml:space="preserve">(0.022)</w:t>
            </w:r>
          </w:p>
        </w:tc>
        <w:tc>
          <w:tcPr/>
          <w:p>
            <w:pPr>
              <w:pStyle w:val="Compact"/>
            </w:pPr>
            <w:r>
              <w:t xml:space="preserve">(0.023)</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Observations</w:t>
            </w:r>
          </w:p>
        </w:tc>
        <w:tc>
          <w:tcPr/>
          <w:p>
            <w:pPr>
              <w:pStyle w:val="Compact"/>
            </w:pPr>
            <w:r>
              <w:rPr>
                <w:b/>
                <w:bCs/>
              </w:rPr>
              <w:t xml:space="preserve">2,751</w:t>
            </w:r>
          </w:p>
        </w:tc>
        <w:tc>
          <w:tcPr/>
          <w:p>
            <w:pPr>
              <w:pStyle w:val="Compact"/>
            </w:pPr>
            <w:r>
              <w:rPr>
                <w:b/>
                <w:bCs/>
              </w:rPr>
              <w:t xml:space="preserve">897</w:t>
            </w:r>
          </w:p>
        </w:tc>
        <w:tc>
          <w:tcPr/>
          <w:p>
            <w:pPr>
              <w:pStyle w:val="Compact"/>
            </w:pPr>
            <w:r>
              <w:rPr>
                <w:b/>
                <w:bCs/>
              </w:rPr>
              <w:t xml:space="preserve">2,723</w:t>
            </w:r>
          </w:p>
        </w:tc>
        <w:tc>
          <w:tcPr/>
          <w:p>
            <w:pPr>
              <w:pStyle w:val="Compact"/>
            </w:pPr>
            <w:r>
              <w:rPr>
                <w:b/>
                <w:bCs/>
              </w:rPr>
              <w:t xml:space="preserve">810</w:t>
            </w:r>
          </w:p>
        </w:tc>
        <w:tc>
          <w:tcPr/>
          <w:p>
            <w:pPr>
              <w:pStyle w:val="Compact"/>
            </w:pPr>
            <w:r>
              <w:rPr>
                <w:b/>
                <w:bCs/>
              </w:rPr>
              <w:t xml:space="preserve">810</w:t>
            </w:r>
          </w:p>
        </w:tc>
      </w:tr>
      <w:tr>
        <w:tc>
          <w:tcPr/>
          <w:p>
            <w:pPr>
              <w:pStyle w:val="Compact"/>
            </w:pPr>
            <w:r>
              <w:rPr>
                <w:b/>
                <w:bCs/>
              </w:rPr>
              <w:t xml:space="preserve">R²</w:t>
            </w:r>
          </w:p>
        </w:tc>
        <w:tc>
          <w:tcPr/>
          <w:p>
            <w:pPr>
              <w:pStyle w:val="Compact"/>
            </w:pPr>
            <w:r>
              <w:rPr>
                <w:b/>
                <w:bCs/>
              </w:rPr>
              <w:t xml:space="preserve">0.021</w:t>
            </w:r>
          </w:p>
        </w:tc>
        <w:tc>
          <w:tcPr/>
          <w:p>
            <w:pPr>
              <w:pStyle w:val="Compact"/>
            </w:pPr>
            <w:r>
              <w:rPr>
                <w:b/>
                <w:bCs/>
              </w:rPr>
              <w:t xml:space="preserve">0.019</w:t>
            </w:r>
          </w:p>
        </w:tc>
        <w:tc>
          <w:tcPr/>
          <w:p>
            <w:pPr>
              <w:pStyle w:val="Compact"/>
            </w:pPr>
            <w:r>
              <w:rPr>
                <w:b/>
                <w:bCs/>
              </w:rPr>
              <w:t xml:space="preserve">0.016</w:t>
            </w:r>
          </w:p>
        </w:tc>
        <w:tc>
          <w:tcPr/>
          <w:p>
            <w:pPr>
              <w:pStyle w:val="Compact"/>
            </w:pPr>
            <w:r>
              <w:rPr>
                <w:b/>
                <w:bCs/>
              </w:rPr>
              <w:t xml:space="preserve">0.031</w:t>
            </w:r>
          </w:p>
        </w:tc>
        <w:tc>
          <w:tcPr/>
          <w:p>
            <w:pPr>
              <w:pStyle w:val="Compact"/>
            </w:pPr>
            <w:r>
              <w:rPr>
                <w:b/>
                <w:bCs/>
              </w:rPr>
              <w:t xml:space="preserve">0.082</w:t>
            </w:r>
          </w:p>
        </w:tc>
      </w:tr>
      <w:tr>
        <w:tc>
          <w:tcPr/>
          <w:p>
            <w:pPr>
              <w:pStyle w:val="Compact"/>
            </w:pPr>
            <w:r>
              <w:rPr>
                <w:b/>
                <w:bCs/>
              </w:rPr>
              <w:t xml:space="preserve">Within R²</w:t>
            </w:r>
          </w:p>
        </w:tc>
        <w:tc>
          <w:tcPr/>
          <w:p>
            <w:pPr>
              <w:pStyle w:val="Compact"/>
            </w:pPr>
            <w:r>
              <w:rPr>
                <w:b/>
                <w:bCs/>
              </w:rPr>
              <w:t xml:space="preserve">—</w:t>
            </w:r>
          </w:p>
        </w:tc>
        <w:tc>
          <w:tcPr/>
          <w:p>
            <w:pPr>
              <w:pStyle w:val="Compact"/>
            </w:pPr>
            <w:r>
              <w:rPr>
                <w:b/>
                <w:bCs/>
              </w:rPr>
              <w:t xml:space="preserve">—</w:t>
            </w:r>
          </w:p>
        </w:tc>
        <w:tc>
          <w:tcPr/>
          <w:p>
            <w:pPr>
              <w:pStyle w:val="Compact"/>
            </w:pPr>
            <w:r>
              <w:rPr>
                <w:b/>
                <w:bCs/>
              </w:rPr>
              <w:t xml:space="preserve">—</w:t>
            </w:r>
          </w:p>
        </w:tc>
        <w:tc>
          <w:tcPr/>
          <w:p>
            <w:pPr>
              <w:pStyle w:val="Compact"/>
            </w:pPr>
            <w:r>
              <w:rPr>
                <w:b/>
                <w:bCs/>
              </w:rPr>
              <w:t xml:space="preserve">—</w:t>
            </w:r>
          </w:p>
        </w:tc>
        <w:tc>
          <w:tcPr/>
          <w:p>
            <w:pPr>
              <w:pStyle w:val="Compact"/>
            </w:pPr>
            <w:r>
              <w:rPr>
                <w:b/>
                <w:bCs/>
              </w:rPr>
              <w:t xml:space="preserve">0.025</w:t>
            </w:r>
          </w:p>
        </w:tc>
      </w:tr>
    </w:tbl>
    <w:tbl>
      <w:tblPr>
        <w:tblStyle w:val="Table"/>
        <w:tblW w:type="pct" w:w="5000"/>
        <w:tblLayout w:type="fixed"/>
        <w:tblLook w:firstRow="0" w:lastRow="0" w:firstColumn="0" w:lastColumn="0" w:noHBand="0" w:noVBand="0" w:val="0000"/>
      </w:tblPr>
      <w:tblGrid>
        <w:gridCol w:w="7920"/>
      </w:tblGrid>
      <w:tr>
        <w:tc>
          <w:tcPr/>
          <w:bookmarkStart w:id="30" w:name="fig-map"/>
          <w:p>
            <w:pPr>
              <w:jc w:val="center"/>
            </w:pPr>
            <w:pPr>
              <w:jc w:val="start"/>
              <w:spacing w:before="200"/>
              <w:pStyle w:val="ImageCaption"/>
            </w:pPr>
            <w:r>
              <w:t xml:space="preserve">Figure 1: Replication of Andreadis et al. (2025) - Spatial heterogeneity in AI job share (Panel A, 2014–2023 average) and percentage-point change (Panel B, 2018–2023).</w:t>
            </w:r>
          </w:p>
          <w:p>
            <w:pPr>
              <w:pStyle w:val="Compact"/>
              <w:jc w:val="center"/>
            </w:pPr>
            <w:r>
              <w:drawing>
                <wp:inline>
                  <wp:extent cx="5334000" cy="6096000"/>
                  <wp:effectExtent b="0" l="0" r="0" t="0"/>
                  <wp:docPr descr="" title="" id="28" name="Picture"/>
                  <a:graphic>
                    <a:graphicData uri="http://schemas.openxmlformats.org/drawingml/2006/picture">
                      <pic:pic>
                        <pic:nvPicPr>
                          <pic:cNvPr descr="replication_files/figure-docx/fig-map-1.png" id="29" name="Picture"/>
                          <pic:cNvPicPr>
                            <a:picLocks noChangeArrowheads="1" noChangeAspect="1"/>
                          </pic:cNvPicPr>
                        </pic:nvPicPr>
                        <pic:blipFill>
                          <a:blip r:embed="rId27"/>
                          <a:stretch>
                            <a:fillRect/>
                          </a:stretch>
                        </pic:blipFill>
                        <pic:spPr bwMode="auto">
                          <a:xfrm>
                            <a:off x="0" y="0"/>
                            <a:ext cx="5334000" cy="6096000"/>
                          </a:xfrm>
                          <a:prstGeom prst="rect">
                            <a:avLst/>
                          </a:prstGeom>
                          <a:noFill/>
                          <a:ln w="9525">
                            <a:noFill/>
                            <a:headEnd/>
                            <a:tailEnd/>
                          </a:ln>
                        </pic:spPr>
                      </pic:pic>
                    </a:graphicData>
                  </a:graphic>
                </wp:inline>
              </w:drawing>
            </w:r>
          </w:p>
          <w:bookmarkEnd w:id="30"/>
        </w:tc>
      </w:tr>
    </w:tbl>
    <w:p>
      <w:pPr>
        <w:pStyle w:val="BodyText"/>
      </w:pPr>
      <w:r>
        <w:t xml:space="preserve">The successful reproduction confirms the technical reliability of the original analysis and establishes a foundation for the robustness extensions that follow.</w:t>
      </w:r>
    </w:p>
    <w:bookmarkEnd w:id="31"/>
    <w:bookmarkEnd w:id="32"/>
    <w:bookmarkStart w:id="35" w:name="critical-assessment-of-causal-claims"/>
    <w:p>
      <w:pPr>
        <w:pStyle w:val="Heading3"/>
      </w:pPr>
      <w:r>
        <w:t xml:space="preserve">Critical Assessment of Causal Claims</w:t>
      </w:r>
    </w:p>
    <w:bookmarkStart w:id="33" w:name="X7d713e2891f93caa528b3902c81d428c5def272"/>
    <w:p>
      <w:pPr>
        <w:pStyle w:val="Heading4"/>
      </w:pPr>
      <w:r>
        <w:t xml:space="preserve">Identification of Problematic Causal Language</w:t>
      </w:r>
    </w:p>
    <w:p>
      <w:pPr>
        <w:pStyle w:val="FirstParagraph"/>
      </w:pPr>
      <w:r>
        <w:t xml:space="preserve">The original study by</w:t>
      </w:r>
      <w:r>
        <w:t xml:space="preserve"> </w:t>
      </w:r>
      <w:r>
        <w:t xml:space="preserve">Andreadis et al. (</w:t>
      </w:r>
      <w:hyperlink w:anchor="ref-andreadis2025">
        <w:r>
          <w:rPr>
            <w:rStyle w:val="Hyperlink"/>
          </w:rPr>
          <w:t xml:space="preserve">2025</w:t>
        </w:r>
      </w:hyperlink>
      <w:r>
        <w:t xml:space="preserve">)</w:t>
      </w:r>
      <w:r>
        <w:t xml:space="preserve"> </w:t>
      </w:r>
      <w:r>
        <w:t xml:space="preserve">employ language that suggests causal relationships despite relying on observational data with multiple potentially endogenous predictors. Several passages from the paper illustrate this concern:</w:t>
      </w:r>
    </w:p>
    <w:p>
      <w:pPr>
        <w:pStyle w:val="BodyText"/>
      </w:pPr>
      <w:r>
        <w:t xml:space="preserve">From the Introduction:</w:t>
      </w:r>
      <w:r>
        <w:t xml:space="preserve"> </w:t>
      </w:r>
      <w:r>
        <w:t xml:space="preserve">“higher shares of STEM degrees, labor market tightness, and patent activity significantly predict greater AI adoption, underscoring the importance of education, innovation, and dynamic labor markets.”</w:t>
      </w:r>
    </w:p>
    <w:p>
      <w:pPr>
        <w:pStyle w:val="BodyText"/>
      </w:pPr>
      <w:r>
        <w:t xml:space="preserve">From Section III: The authors state they</w:t>
      </w:r>
      <w:r>
        <w:t xml:space="preserve"> </w:t>
      </w:r>
      <w:r>
        <w:t xml:space="preserve">“identify several key drivers of AI job intensity”</w:t>
      </w:r>
      <w:r>
        <w:t xml:space="preserve"> </w:t>
      </w:r>
      <w:r>
        <w:t xml:space="preserve">and that</w:t>
      </w:r>
      <w:r>
        <w:t xml:space="preserve"> </w:t>
      </w:r>
      <w:r>
        <w:t xml:space="preserve">“Labor market tightness emerges as a key driver.”</w:t>
      </w:r>
    </w:p>
    <w:p>
      <w:pPr>
        <w:pStyle w:val="BodyText"/>
      </w:pPr>
      <w:r>
        <w:t xml:space="preserve">From the Conclusion:</w:t>
      </w:r>
      <w:r>
        <w:t xml:space="preserve"> </w:t>
      </w:r>
      <w:r>
        <w:t xml:space="preserve">“Counties with stronger innovation ecosystems, higher STEM degree attainment, and tighter labor markets have seen greater AI job growth.”</w:t>
      </w:r>
    </w:p>
    <w:p>
      <w:pPr>
        <w:pStyle w:val="BodyText"/>
      </w:pPr>
      <w:r>
        <w:t xml:space="preserve">These statements conflate statistical association with causal determination, presenting correlational findings as if they establish causal mechanisms. The frequent use of terms like</w:t>
      </w:r>
      <w:r>
        <w:t xml:space="preserve"> </w:t>
      </w:r>
      <w:r>
        <w:t xml:space="preserve">“drivers,”</w:t>
      </w:r>
      <w:r>
        <w:t xml:space="preserve"> </w:t>
      </w:r>
      <w:r>
        <w:t xml:space="preserve">“predict,”</w:t>
      </w:r>
      <w:r>
        <w:t xml:space="preserve"> </w:t>
      </w:r>
      <w:r>
        <w:t xml:space="preserve">and</w:t>
      </w:r>
      <w:r>
        <w:t xml:space="preserve"> </w:t>
      </w:r>
      <w:r>
        <w:t xml:space="preserve">“emerges as a key driver”</w:t>
      </w:r>
      <w:r>
        <w:t xml:space="preserve"> </w:t>
      </w:r>
      <w:r>
        <w:t xml:space="preserve">implies that manipulating these variables would lead to changes in AI adoption, yet the study design cannot support such inferences.</w:t>
      </w:r>
    </w:p>
    <w:bookmarkEnd w:id="33"/>
    <w:bookmarkStart w:id="34" w:name="X3b6c3047ab7e4838ca14c5f65a215b19d2984de"/>
    <w:p>
      <w:pPr>
        <w:pStyle w:val="Heading4"/>
      </w:pPr>
      <w:r>
        <w:t xml:space="preserve">Methodological Limitations for Causal Inference</w:t>
      </w:r>
    </w:p>
    <w:p>
      <w:pPr>
        <w:pStyle w:val="FirstParagraph"/>
      </w:pPr>
      <w:r>
        <w:t xml:space="preserve">The regression specifications employed by</w:t>
      </w:r>
      <w:r>
        <w:t xml:space="preserve"> </w:t>
      </w:r>
      <w:r>
        <w:t xml:space="preserve">Andreadis et al. (</w:t>
      </w:r>
      <w:hyperlink w:anchor="ref-andreadis2025">
        <w:r>
          <w:rPr>
            <w:rStyle w:val="Hyperlink"/>
          </w:rPr>
          <w:t xml:space="preserve">2025</w:t>
        </w:r>
      </w:hyperlink>
      <w:r>
        <w:t xml:space="preserve">)</w:t>
      </w:r>
      <w:r>
        <w:t xml:space="preserve">, while appropriate for documenting correlational patterns, face fundamental challenges for causal interpretation that align with established principles of causal inference (</w:t>
      </w:r>
      <w:r>
        <w:t xml:space="preserve">Holland (</w:t>
      </w:r>
      <w:hyperlink w:anchor="ref-holland1986">
        <w:r>
          <w:rPr>
            <w:rStyle w:val="Hyperlink"/>
          </w:rPr>
          <w:t xml:space="preserve">1986</w:t>
        </w:r>
      </w:hyperlink>
      <w:r>
        <w:t xml:space="preserve">)</w:t>
      </w:r>
      <w:r>
        <w:t xml:space="preserve">):</w:t>
      </w:r>
    </w:p>
    <w:p>
      <w:pPr>
        <w:pStyle w:val="BodyText"/>
      </w:pPr>
      <w:r>
        <w:rPr>
          <w:i/>
          <w:iCs/>
        </w:rPr>
        <w:t xml:space="preserve">The Fundamental Problem of Causal Inference</w:t>
      </w:r>
      <w:r>
        <w:t xml:space="preserve">: As</w:t>
      </w:r>
      <w:r>
        <w:t xml:space="preserve"> </w:t>
      </w:r>
      <w:r>
        <w:t xml:space="preserve">Holland (</w:t>
      </w:r>
      <w:hyperlink w:anchor="ref-holland1986">
        <w:r>
          <w:rPr>
            <w:rStyle w:val="Hyperlink"/>
          </w:rPr>
          <w:t xml:space="preserve">1986</w:t>
        </w:r>
      </w:hyperlink>
      <w:r>
        <w:t xml:space="preserve">)</w:t>
      </w:r>
      <w:r>
        <w:t xml:space="preserve"> </w:t>
      </w:r>
      <w:r>
        <w:t xml:space="preserve">demonstrates, establishing causality requires observing counterfactual outcomes—what would have happened to AI adoption in the same counties under different values of the predictor variables. The cross-sectional regression approach cannot address this fundamental identification problem, as it observes each county under only one realization of its demographic, innovation, and industry characteristics.</w:t>
      </w:r>
    </w:p>
    <w:p>
      <w:pPr>
        <w:pStyle w:val="BodyText"/>
      </w:pPr>
      <w:r>
        <w:rPr>
          <w:i/>
          <w:iCs/>
        </w:rPr>
        <w:t xml:space="preserve">Multiple Treatment Problem</w:t>
      </w:r>
      <w:r>
        <w:t xml:space="preserve">: The analysis simultaneously examines numerous county characteristics (demographics, innovation metrics, industry composition) as potential causal factors. With over a dozen variables included as</w:t>
      </w:r>
      <w:r>
        <w:t xml:space="preserve"> </w:t>
      </w:r>
      <w:r>
        <w:t xml:space="preserve">“drivers,”</w:t>
      </w:r>
      <w:r>
        <w:t xml:space="preserve"> </w:t>
      </w:r>
      <w:r>
        <w:t xml:space="preserve">the study lacks both a clear theoretical framework for causal ordering and the experimental or quasi-experimental variation needed to isolate individual causal effects. This violates the stable unit treatment value assumption (SUTVA) that underlies causal inference, as the</w:t>
      </w:r>
      <w:r>
        <w:t xml:space="preserve"> </w:t>
      </w:r>
      <w:r>
        <w:t xml:space="preserve">“treatment”</w:t>
      </w:r>
      <w:r>
        <w:t xml:space="preserve"> </w:t>
      </w:r>
      <w:r>
        <w:t xml:space="preserve">is multidimensional and ill-defined.</w:t>
      </w:r>
    </w:p>
    <w:p>
      <w:pPr>
        <w:pStyle w:val="BodyText"/>
      </w:pPr>
      <w:r>
        <w:rPr>
          <w:i/>
          <w:iCs/>
        </w:rPr>
        <w:t xml:space="preserve">Endogeneity and Selection</w:t>
      </w:r>
      <w:r>
        <w:t xml:space="preserve">: Many key predictors are likely endogenous to broader economic development processes that also influence AI adoption. STEM degree production responds to anticipated local labor demand, labor market tightness reflects underlying economic dynamism, and patent activity may be jointly determined with AI job concentration through unobserved innovation capacity. Without addressing this endogeneity through instrumental variables or other identification strategies, the estimated coefficients conflate causal effects with selection and omitted variable bias.</w:t>
      </w:r>
    </w:p>
    <w:p>
      <w:pPr>
        <w:pStyle w:val="BodyText"/>
      </w:pPr>
      <w:r>
        <w:rPr>
          <w:i/>
          <w:iCs/>
        </w:rPr>
        <w:t xml:space="preserve">Lack of Identifying Variation</w:t>
      </w:r>
      <w:r>
        <w:t xml:space="preserve">: The study exploits only cross-sectional and time-series variation in observational data, without any plausibly exogenous source of identification. As</w:t>
      </w:r>
      <w:r>
        <w:t xml:space="preserve"> </w:t>
      </w:r>
      <w:r>
        <w:t xml:space="preserve">Holland (</w:t>
      </w:r>
      <w:hyperlink w:anchor="ref-holland1986">
        <w:r>
          <w:rPr>
            <w:rStyle w:val="Hyperlink"/>
          </w:rPr>
          <w:t xml:space="preserve">1986</w:t>
        </w:r>
      </w:hyperlink>
      <w:r>
        <w:t xml:space="preserve">)</w:t>
      </w:r>
      <w:r>
        <w:t xml:space="preserve"> </w:t>
      </w:r>
      <w:r>
        <w:t xml:space="preserve">emphasizes, causal inference requires either randomized assignment or</w:t>
      </w:r>
      <w:r>
        <w:t xml:space="preserve"> </w:t>
      </w:r>
      <w:r>
        <w:t xml:space="preserve">“as good as random”</w:t>
      </w:r>
      <w:r>
        <w:t xml:space="preserve"> </w:t>
      </w:r>
      <w:r>
        <w:t xml:space="preserve">variation from natural experiments, policy discontinuities, or instrumental variables. The correlational patterns documented, while potentially informative about equilibrium relationships, cannot establish that manipulating education policy, labor market conditions, or innovation investments would causally increase AI adoption.</w:t>
      </w:r>
    </w:p>
    <w:p>
      <w:pPr>
        <w:pStyle w:val="BodyText"/>
      </w:pPr>
      <w:r>
        <w:rPr>
          <w:i/>
          <w:iCs/>
        </w:rPr>
        <w:t xml:space="preserve">Temporal Precedence Issues</w:t>
      </w:r>
      <w:r>
        <w:t xml:space="preserve">: While the authors lag some explanatory variables by one year, this brief lag is insufficient to establish causal ordering for slow-moving structural characteristics like educational attainment, innovation capacity, and industrial composition. These county attributes likely co-evolve with AI adoption over longer time horizons, making it difficult to separate cause from effect even with temporal precedence.</w:t>
      </w:r>
    </w:p>
    <w:bookmarkEnd w:id="34"/>
    <w:bookmarkEnd w:id="35"/>
    <w:bookmarkEnd w:id="36"/>
    <w:bookmarkStart w:id="48" w:name="X6c7466d39827278af27a1c20457a80f5dd97f5a"/>
    <w:p>
      <w:pPr>
        <w:pStyle w:val="Heading2"/>
      </w:pPr>
      <w:r>
        <w:t xml:space="preserve">Extension: Log-Population Weighting Analysis</w:t>
      </w:r>
    </w:p>
    <w:p>
      <w:pPr>
        <w:pStyle w:val="FirstParagraph"/>
      </w:pPr>
      <w:r>
        <w:t xml:space="preserve">To assess the robustness of the original findings, we re-estimated all models using log-population weights instead of population weights. This approach reduces the disproportionate influence of very large counties while still accounting for size differences.</w:t>
      </w:r>
    </w:p>
    <w:p>
      <w:pPr>
        <w:pStyle w:val="BodyText"/>
      </w:pPr>
      <w:r>
        <w:t xml:space="preserve">The modified weighting scheme is:</w:t>
      </w:r>
      <w:r>
        <w:t xml:space="preserve"> </w:t>
      </w:r>
      <m:oMath>
        <m:sSub>
          <m:e>
            <m:r>
              <m:t>w</m:t>
            </m:r>
          </m:e>
          <m:sub>
            <m:r>
              <m:t>i</m:t>
            </m:r>
            <m:r>
              <m:t>t</m:t>
            </m:r>
          </m:sub>
        </m:sSub>
        <m:r>
          <m:rPr>
            <m:sty m:val="p"/>
          </m:rPr>
          <m:t>=</m:t>
        </m:r>
        <m:r>
          <m:rPr>
            <m:sty m:val="p"/>
          </m:rPr>
          <m:t>log</m:t>
        </m:r>
        <m:d>
          <m:dPr>
            <m:begChr m:val="("/>
            <m:sepChr m:val=""/>
            <m:endChr m:val=")"/>
            <m:grow/>
          </m:dPr>
          <m:e>
            <m:r>
              <m:t>P</m:t>
            </m:r>
            <m:r>
              <m:t>o</m:t>
            </m:r>
            <m:r>
              <m:t>p</m:t>
            </m:r>
            <m:r>
              <m:t>u</m:t>
            </m:r>
            <m:r>
              <m:t>l</m:t>
            </m:r>
            <m:r>
              <m:t>a</m:t>
            </m:r>
            <m:r>
              <m:t>t</m:t>
            </m:r>
            <m:r>
              <m:t>i</m:t>
            </m:r>
            <m:r>
              <m:t>o</m:t>
            </m:r>
            <m:sSub>
              <m:e>
                <m:r>
                  <m:t>n</m:t>
                </m:r>
              </m:e>
              <m:sub>
                <m:r>
                  <m:t>i</m:t>
                </m:r>
                <m:r>
                  <m:t>t</m:t>
                </m:r>
              </m:sub>
            </m:sSub>
          </m:e>
        </m:d>
      </m:oMath>
    </w:p>
    <w:p>
      <w:pPr>
        <w:pStyle w:val="BodyText"/>
      </w:pPr>
      <w:r>
        <w:t xml:space="preserve">This transformation addresses concerns that extremely populous counties (e.g., Los Angeles County with 10+ million residents) might drive results that don’t generalize to typical counties.</w:t>
      </w:r>
    </w:p>
    <w:bookmarkStart w:id="41" w:name="Xd2db84f0acaec16c5724a7a151f26bebb604a9e"/>
    <w:p>
      <w:pPr>
        <w:pStyle w:val="Heading3"/>
      </w:pPr>
      <w:r>
        <w:t xml:space="preserve">Figure 1: Key Coefficient Estimates for AI Share (Table 1)</w:t>
      </w:r>
    </w:p>
    <w:p>
      <w:pPr>
        <w:pStyle w:val="FirstParagraph"/>
      </w:pPr>
      <w:r>
        <w:t xml:space="preserve">This panel plot displays the coefficient estimates and 95% confidence intervals for seven key predictors across five regression models. Each panel represents a different model from the original paper. Within each panel, two estimates are shown for each variable—one using the authors’ original population weights and one using log(population) weights. This comparison illustrates how model weighting influences the interpretation of each predictor.</w:t>
      </w:r>
    </w:p>
    <w:tbl>
      <w:tblPr>
        <w:tblStyle w:val="Table"/>
        <w:tblW w:type="pct" w:w="5000"/>
        <w:tblLayout w:type="fixed"/>
        <w:tblLook w:firstRow="0" w:lastRow="0" w:firstColumn="0" w:lastColumn="0" w:noHBand="0" w:noVBand="0" w:val="0000"/>
      </w:tblPr>
      <w:tblGrid>
        <w:gridCol w:w="7920"/>
      </w:tblGrid>
      <w:tr>
        <w:tc>
          <w:tcPr/>
          <w:bookmarkStart w:id="40" w:name="fig-table1-coefs"/>
          <w:p>
            <w:pPr>
              <w:jc w:val="center"/>
            </w:pPr>
            <w:pPr>
              <w:jc w:val="start"/>
              <w:spacing w:before="200"/>
              <w:pStyle w:val="ImageCaption"/>
            </w:pPr>
            <w:r>
              <w:t xml:space="preserve">Figure 2: Table 1 — Coefficients under Original population weights vs Log(population) weights.</w:t>
            </w:r>
          </w:p>
          <w:p>
            <w:pPr>
              <w:pStyle w:val="Compact"/>
              <w:jc w:val="center"/>
            </w:pPr>
            <w:r>
              <w:drawing>
                <wp:inline>
                  <wp:extent cx="5334000" cy="4445000"/>
                  <wp:effectExtent b="0" l="0" r="0" t="0"/>
                  <wp:docPr descr="" title="" id="38" name="Picture"/>
                  <a:graphic>
                    <a:graphicData uri="http://schemas.openxmlformats.org/drawingml/2006/picture">
                      <pic:pic>
                        <pic:nvPicPr>
                          <pic:cNvPr descr="replication_files/figure-docx/fig-table1-coefs-1.png" id="39" name="Picture"/>
                          <pic:cNvPicPr>
                            <a:picLocks noChangeArrowheads="1" noChangeAspect="1"/>
                          </pic:cNvPicPr>
                        </pic:nvPicPr>
                        <pic:blipFill>
                          <a:blip r:embed="rId37"/>
                          <a:stretch>
                            <a:fillRect/>
                          </a:stretch>
                        </pic:blipFill>
                        <pic:spPr bwMode="auto">
                          <a:xfrm>
                            <a:off x="0" y="0"/>
                            <a:ext cx="5334000" cy="4445000"/>
                          </a:xfrm>
                          <a:prstGeom prst="rect">
                            <a:avLst/>
                          </a:prstGeom>
                          <a:noFill/>
                          <a:ln w="9525">
                            <a:noFill/>
                            <a:headEnd/>
                            <a:tailEnd/>
                          </a:ln>
                        </pic:spPr>
                      </pic:pic>
                    </a:graphicData>
                  </a:graphic>
                </wp:inline>
              </w:drawing>
            </w:r>
          </w:p>
          <w:bookmarkEnd w:id="40"/>
        </w:tc>
      </w:tr>
    </w:tbl>
    <w:bookmarkEnd w:id="41"/>
    <w:bookmarkStart w:id="46" w:name="X8ba370bb7faa841455390d4171f50e5ada974a1"/>
    <w:p>
      <w:pPr>
        <w:pStyle w:val="Heading3"/>
      </w:pPr>
      <w:r>
        <w:t xml:space="preserve">Figure 2: Key Coefficient Estimates for Change in AI Share (Table 2)</w:t>
      </w:r>
    </w:p>
    <w:p>
      <w:pPr>
        <w:pStyle w:val="FirstParagraph"/>
      </w:pPr>
      <w:r>
        <w:t xml:space="preserve">This figure replicates the structure of Figure 1 but focuses on the change in AI employment share from 2014 to 2023. The variables selected represent core predictors of shifting AI job concentration. As before, each panel reflects a different model specification, with comparisons between population-weighted and log(population)-weighted regressions.</w:t>
      </w:r>
    </w:p>
    <w:tbl>
      <w:tblPr>
        <w:tblStyle w:val="Table"/>
        <w:tblW w:type="pct" w:w="5000"/>
        <w:tblLayout w:type="fixed"/>
        <w:tblLook w:firstRow="0" w:lastRow="0" w:firstColumn="0" w:lastColumn="0" w:noHBand="0" w:noVBand="0" w:val="0000"/>
      </w:tblPr>
      <w:tblGrid>
        <w:gridCol w:w="7920"/>
      </w:tblGrid>
      <w:tr>
        <w:tc>
          <w:tcPr/>
          <w:bookmarkStart w:id="45" w:name="fig-table2-coefs"/>
          <w:p>
            <w:pPr>
              <w:jc w:val="center"/>
            </w:pPr>
            <w:pPr>
              <w:jc w:val="start"/>
              <w:spacing w:before="200"/>
              <w:pStyle w:val="ImageCaption"/>
            </w:pPr>
            <w:r>
              <w:t xml:space="preserve">Figure 3: Table 2 — Change in AI share under Original population weights vs Log(population) weights.</w:t>
            </w:r>
          </w:p>
          <w:p>
            <w:pPr>
              <w:pStyle w:val="Compact"/>
              <w:jc w:val="center"/>
            </w:pPr>
            <w:r>
              <w:drawing>
                <wp:inline>
                  <wp:extent cx="5334000" cy="4445000"/>
                  <wp:effectExtent b="0" l="0" r="0" t="0"/>
                  <wp:docPr descr="" title="" id="43" name="Picture"/>
                  <a:graphic>
                    <a:graphicData uri="http://schemas.openxmlformats.org/drawingml/2006/picture">
                      <pic:pic>
                        <pic:nvPicPr>
                          <pic:cNvPr descr="replication_files/figure-docx/fig-table2-coefs-1.png" id="44" name="Picture"/>
                          <pic:cNvPicPr>
                            <a:picLocks noChangeArrowheads="1" noChangeAspect="1"/>
                          </pic:cNvPicPr>
                        </pic:nvPicPr>
                        <pic:blipFill>
                          <a:blip r:embed="rId42"/>
                          <a:stretch>
                            <a:fillRect/>
                          </a:stretch>
                        </pic:blipFill>
                        <pic:spPr bwMode="auto">
                          <a:xfrm>
                            <a:off x="0" y="0"/>
                            <a:ext cx="5334000" cy="4445000"/>
                          </a:xfrm>
                          <a:prstGeom prst="rect">
                            <a:avLst/>
                          </a:prstGeom>
                          <a:noFill/>
                          <a:ln w="9525">
                            <a:noFill/>
                            <a:headEnd/>
                            <a:tailEnd/>
                          </a:ln>
                        </pic:spPr>
                      </pic:pic>
                    </a:graphicData>
                  </a:graphic>
                </wp:inline>
              </w:drawing>
            </w:r>
          </w:p>
          <w:bookmarkEnd w:id="45"/>
        </w:tc>
      </w:tr>
    </w:tbl>
    <w:bookmarkEnd w:id="46"/>
    <w:bookmarkStart w:id="47" w:name="results-interpretation"/>
    <w:p>
      <w:pPr>
        <w:pStyle w:val="Heading3"/>
      </w:pPr>
      <w:r>
        <w:t xml:space="preserve">Results &amp; Interpretation</w:t>
      </w:r>
    </w:p>
    <w:p>
      <w:pPr>
        <w:pStyle w:val="FirstParagraph"/>
      </w:pPr>
      <w:r>
        <w:t xml:space="preserve">The comparison between population-weighted and log-population-weighted regressions reveals several important patterns:</w:t>
      </w:r>
    </w:p>
    <w:p>
      <w:pPr>
        <w:pStyle w:val="BodyText"/>
      </w:pPr>
      <w:r>
        <w:rPr>
          <w:i/>
          <w:iCs/>
        </w:rPr>
        <w:t xml:space="preserve">Magnitude Effects</w:t>
      </w:r>
      <w:r>
        <w:t xml:space="preserve">: The estimated effects of key predictors are highly sensitive to the weighting scheme. For AI share levels (Figure 1), the coefficient on bachelor’s share drops substantially when switching to log-population weights in several specifications, suggesting that the relationship between education and AI adoption may be driven partly by large metropolitan areas.</w:t>
      </w:r>
    </w:p>
    <w:p>
      <w:pPr>
        <w:pStyle w:val="BodyText"/>
      </w:pPr>
      <w:r>
        <w:rPr>
          <w:i/>
          <w:iCs/>
        </w:rPr>
        <w:t xml:space="preserve">Labor Market Tightness</w:t>
      </w:r>
      <w:r>
        <w:t xml:space="preserve">: This emerges as the most robust predictor across both weighting schemes and both dependent variables. In Figure 1, labor tightness maintains strong positive effects regardless of weighting method, and in Figure 2, it consistently predicts AI job growth. This suggests that tight labor markets create conditions conducive to AI adoption across counties of all sizes.</w:t>
      </w:r>
    </w:p>
    <w:p>
      <w:pPr>
        <w:pStyle w:val="BodyText"/>
      </w:pPr>
      <w:r>
        <w:rPr>
          <w:i/>
          <w:iCs/>
        </w:rPr>
        <w:t xml:space="preserve">STEM Education</w:t>
      </w:r>
      <w:r>
        <w:t xml:space="preserve">: STEM degree share shows consistent positive relationships in both weighting schemes, though magnitudes vary. This indicates that technical human capital is important for AI adoption beyond just large metropolitan areas.</w:t>
      </w:r>
    </w:p>
    <w:p>
      <w:pPr>
        <w:pStyle w:val="BodyText"/>
      </w:pPr>
      <w:r>
        <w:rPr>
          <w:i/>
          <w:iCs/>
        </w:rPr>
        <w:t xml:space="preserve">Manufacturing vs. Technology Sectors</w:t>
      </w:r>
      <w:r>
        <w:t xml:space="preserve">: Manufacturing intensity consistently shows negative relationships with AI adoption, while ICT intensity shows positive effects. These patterns persist across weighting schemes, suggesting structural differences in how traditional vs. technology-oriented industries adopt AI.</w:t>
      </w:r>
    </w:p>
    <w:p>
      <w:pPr>
        <w:pStyle w:val="BodyText"/>
      </w:pPr>
      <w:r>
        <w:rPr>
          <w:i/>
          <w:iCs/>
        </w:rPr>
        <w:t xml:space="preserve">County Size Effects</w:t>
      </w:r>
      <w:r>
        <w:t xml:space="preserve">: The divergence between weighting schemes is most pronounced for variables like bachelor’s share and population size itself, indicating that large counties drive many of the education-AI relationships found in the original analysis.</w:t>
      </w:r>
    </w:p>
    <w:bookmarkEnd w:id="47"/>
    <w:bookmarkEnd w:id="48"/>
    <w:bookmarkStart w:id="49" w:name="conclusion"/>
    <w:p>
      <w:pPr>
        <w:pStyle w:val="Heading2"/>
      </w:pPr>
      <w:r>
        <w:t xml:space="preserve">Conclusion</w:t>
      </w:r>
    </w:p>
    <w:p>
      <w:pPr>
        <w:pStyle w:val="FirstParagraph"/>
      </w:pPr>
      <w:r>
        <w:t xml:space="preserve">This replication and extension of</w:t>
      </w:r>
      <w:r>
        <w:t xml:space="preserve"> </w:t>
      </w:r>
      <w:r>
        <w:t xml:space="preserve">Andreadis et al. (</w:t>
      </w:r>
      <w:hyperlink w:anchor="ref-andreadis2025">
        <w:r>
          <w:rPr>
            <w:rStyle w:val="Hyperlink"/>
          </w:rPr>
          <w:t xml:space="preserve">2025</w:t>
        </w:r>
      </w:hyperlink>
      <w:r>
        <w:t xml:space="preserve">)</w:t>
      </w:r>
      <w:r>
        <w:t xml:space="preserve"> </w:t>
      </w:r>
      <w:r>
        <w:t xml:space="preserve">demonstrates both the technical reproducibility and limitations of their findings. The successful reproduction confirms that local labor market conditions, human capital, and innovation capacity are correlated with AI job concentration across U.S. counties. However, our analysis reveals three important qualifications to the original study’s conclusions.</w:t>
      </w:r>
    </w:p>
    <w:p>
      <w:pPr>
        <w:pStyle w:val="BodyText"/>
      </w:pPr>
      <w:r>
        <w:rPr>
          <w:i/>
          <w:iCs/>
        </w:rPr>
        <w:t xml:space="preserve">First</w:t>
      </w:r>
      <w:r>
        <w:t xml:space="preserve">, the original study employ causal language that overstates the nature of the relationships identified. Terms like</w:t>
      </w:r>
      <w:r>
        <w:t xml:space="preserve"> </w:t>
      </w:r>
      <w:r>
        <w:t xml:space="preserve">“drivers,”</w:t>
      </w:r>
      <w:r>
        <w:t xml:space="preserve"> </w:t>
      </w:r>
      <w:r>
        <w:t xml:space="preserve">“determinants,”</w:t>
      </w:r>
      <w:r>
        <w:t xml:space="preserve"> </w:t>
      </w:r>
      <w:r>
        <w:t xml:space="preserve">and statements about factors that</w:t>
      </w:r>
      <w:r>
        <w:t xml:space="preserve"> </w:t>
      </w:r>
      <w:r>
        <w:t xml:space="preserve">“significantly predict”</w:t>
      </w:r>
      <w:r>
        <w:t xml:space="preserve"> </w:t>
      </w:r>
      <w:r>
        <w:t xml:space="preserve">AI adoption suggest causal mechanisms, when the empirical approach can only establish correlational patterns. Without exogenous variation or quasi-experimental identification strategies, these relationships likely reflect a complex mixture of causal effects, reverse causation, and selection processes.</w:t>
      </w:r>
    </w:p>
    <w:p>
      <w:pPr>
        <w:pStyle w:val="BodyText"/>
      </w:pPr>
      <w:r>
        <w:rPr>
          <w:i/>
          <w:iCs/>
        </w:rPr>
        <w:t xml:space="preserve">Second</w:t>
      </w:r>
      <w:r>
        <w:t xml:space="preserve">, the alternative log-population weighting analysis reveals that some relationships are sensitive to the influence of large metropolitan areas. The most consistent predictor across both weighting schemes is labor market tightness, which maintains strong associations regardless of county size. However, educational attainment shows notably weaker relationships when log-population weights reduce the influence of large metros, suggesting this factor may be less universally important for AI adoption than the original analysis suggests.</w:t>
      </w:r>
    </w:p>
    <w:p>
      <w:pPr>
        <w:pStyle w:val="BodyText"/>
      </w:pPr>
      <w:r>
        <w:rPr>
          <w:i/>
          <w:iCs/>
        </w:rPr>
        <w:t xml:space="preserve">Third</w:t>
      </w:r>
      <w:r>
        <w:t xml:space="preserve">, the industry composition effects prove relatively stable across weighting strategies, with manufacturing intensity consistently showing negative associations and ICT sector concentration showing positive relationships with AI adoption. This suggests that structural economic factors may be more fundamental determinants of technological adoption patterns than demographic characteristics.</w:t>
      </w:r>
    </w:p>
    <w:p>
      <w:pPr>
        <w:pStyle w:val="BodyText"/>
      </w:pPr>
      <w:r>
        <w:rPr>
          <w:i/>
          <w:iCs/>
        </w:rPr>
        <w:t xml:space="preserve">Policy Implications</w:t>
      </w:r>
      <w:r>
        <w:t xml:space="preserve">: These findings suggest that while the correlational patterns documented by</w:t>
      </w:r>
      <w:r>
        <w:t xml:space="preserve"> </w:t>
      </w:r>
      <w:r>
        <w:t xml:space="preserve">Andreadis et al. (</w:t>
      </w:r>
      <w:hyperlink w:anchor="ref-andreadis2025">
        <w:r>
          <w:rPr>
            <w:rStyle w:val="Hyperlink"/>
          </w:rPr>
          <w:t xml:space="preserve">2025</w:t>
        </w:r>
      </w:hyperlink>
      <w:r>
        <w:t xml:space="preserve">)</w:t>
      </w:r>
      <w:r>
        <w:t xml:space="preserve"> </w:t>
      </w:r>
      <w:r>
        <w:t xml:space="preserve">represent meaningful empirical regularities, their policy implications should be interpreted cautiously. Our interpretation suggests that interventions targeting labor market conditions and industry composition may have broader applicability across different county types, while education-focused policies may yield the highest returns in larger metropolitan areas where network effects and complementary institutions are stronger.</w:t>
      </w:r>
    </w:p>
    <w:p>
      <w:pPr>
        <w:pStyle w:val="BodyText"/>
      </w:pPr>
      <w:r>
        <w:t xml:space="preserve">More broadly, this exercise underscores the importance of robustness checks in regional economic research and the need for careful interpretation of correlational evidence in policy contexts. Simple changes in weighting can meaningfully shift both the interpretation and the policy relevance of empirical findings about technological change.</w:t>
      </w:r>
    </w:p>
    <w:bookmarkEnd w:id="49"/>
    <w:bookmarkStart w:id="83" w:name="references"/>
    <w:p>
      <w:pPr>
        <w:pStyle w:val="Heading2"/>
      </w:pPr>
      <w:r>
        <w:t xml:space="preserve">References</w:t>
      </w:r>
    </w:p>
    <w:bookmarkStart w:id="82" w:name="refs"/>
    <w:bookmarkStart w:id="50" w:name="ref-acemoglu2024"/>
    <w:p>
      <w:pPr>
        <w:pStyle w:val="Bibliography"/>
      </w:pPr>
      <w:r>
        <w:t xml:space="preserve">Acemoglu, D. (2024).</w:t>
      </w:r>
      <w:r>
        <w:t xml:space="preserve"> </w:t>
      </w:r>
      <w:r>
        <w:rPr>
          <w:i/>
          <w:iCs/>
        </w:rPr>
        <w:t xml:space="preserve">The simple macroeconomics of AI</w:t>
      </w:r>
      <w:r>
        <w:t xml:space="preserve">.</w:t>
      </w:r>
    </w:p>
    <w:bookmarkEnd w:id="50"/>
    <w:bookmarkStart w:id="51" w:name="ref-acemoglu2019"/>
    <w:p>
      <w:pPr>
        <w:pStyle w:val="Bibliography"/>
      </w:pPr>
      <w:r>
        <w:t xml:space="preserve">Acemoglu, D., &amp; Restrepo, P. (2019). Automation and new tasks: How technology displaces and reinstates labor.</w:t>
      </w:r>
      <w:r>
        <w:t xml:space="preserve"> </w:t>
      </w:r>
      <w:r>
        <w:rPr>
          <w:i/>
          <w:iCs/>
        </w:rPr>
        <w:t xml:space="preserve">Journal of Economic Perspectives</w:t>
      </w:r>
      <w:r>
        <w:t xml:space="preserve">,</w:t>
      </w:r>
      <w:r>
        <w:t xml:space="preserve"> </w:t>
      </w:r>
      <w:r>
        <w:rPr>
          <w:i/>
          <w:iCs/>
        </w:rPr>
        <w:t xml:space="preserve">33</w:t>
      </w:r>
      <w:r>
        <w:t xml:space="preserve">(2), 3–30.</w:t>
      </w:r>
    </w:p>
    <w:bookmarkEnd w:id="51"/>
    <w:bookmarkStart w:id="52" w:name="ref-aghionhowitt1992"/>
    <w:p>
      <w:pPr>
        <w:pStyle w:val="Bibliography"/>
      </w:pPr>
      <w:r>
        <w:t xml:space="preserve">Aghion, P., &amp; Howitt, P. (1992). A model of growth through creative destruction.</w:t>
      </w:r>
      <w:r>
        <w:t xml:space="preserve"> </w:t>
      </w:r>
      <w:r>
        <w:rPr>
          <w:i/>
          <w:iCs/>
        </w:rPr>
        <w:t xml:space="preserve">Econometrica</w:t>
      </w:r>
      <w:r>
        <w:t xml:space="preserve">,</w:t>
      </w:r>
      <w:r>
        <w:t xml:space="preserve"> </w:t>
      </w:r>
      <w:r>
        <w:rPr>
          <w:i/>
          <w:iCs/>
        </w:rPr>
        <w:t xml:space="preserve">60</w:t>
      </w:r>
      <w:r>
        <w:t xml:space="preserve">(2), 323–351.</w:t>
      </w:r>
    </w:p>
    <w:bookmarkEnd w:id="52"/>
    <w:bookmarkStart w:id="53" w:name="ref-aghion2017"/>
    <w:p>
      <w:pPr>
        <w:pStyle w:val="Bibliography"/>
      </w:pPr>
      <w:r>
        <w:t xml:space="preserve">Aghion, P., Jones, B. F., &amp; Jones, C. I. (2017).</w:t>
      </w:r>
      <w:r>
        <w:t xml:space="preserve"> </w:t>
      </w:r>
      <w:r>
        <w:rPr>
          <w:i/>
          <w:iCs/>
        </w:rPr>
        <w:t xml:space="preserve">Artificial intelligence and economic growth</w:t>
      </w:r>
      <w:r>
        <w:t xml:space="preserve"> </w:t>
      </w:r>
      <w:r>
        <w:t xml:space="preserve">[Working Paper]. National Bureau of Economic Research.</w:t>
      </w:r>
    </w:p>
    <w:bookmarkEnd w:id="53"/>
    <w:bookmarkStart w:id="54" w:name="ref-andreadis2024_muni"/>
    <w:p>
      <w:pPr>
        <w:pStyle w:val="Bibliography"/>
      </w:pPr>
      <w:r>
        <w:t xml:space="preserve">Andreadis, L., Chatzikonstantinou, M., Kalotychou, E., Louca, C., &amp; Makridis, C. A. (2024).</w:t>
      </w:r>
      <w:r>
        <w:t xml:space="preserve"> </w:t>
      </w:r>
      <w:r>
        <w:rPr>
          <w:i/>
          <w:iCs/>
        </w:rPr>
        <w:t xml:space="preserve">The local effects of artificial intelligence labor investments: Evidence from the municipal bond market</w:t>
      </w:r>
      <w:r>
        <w:t xml:space="preserve">. SSRN Working Paper.</w:t>
      </w:r>
    </w:p>
    <w:bookmarkEnd w:id="54"/>
    <w:bookmarkStart w:id="55" w:name="ref-andreadis2025"/>
    <w:p>
      <w:pPr>
        <w:pStyle w:val="Bibliography"/>
      </w:pPr>
      <w:r>
        <w:t xml:space="preserve">Andreadis, L., Kalotychou, E., Chatzikonstantinou, M., Louca, C., &amp; Makridis, C. A. (2025). Local heterogeneity in artificial intelligence jobs over time and space.</w:t>
      </w:r>
      <w:r>
        <w:t xml:space="preserve"> </w:t>
      </w:r>
      <w:r>
        <w:rPr>
          <w:i/>
          <w:iCs/>
        </w:rPr>
        <w:t xml:space="preserve">AEA Papers and Proceedings</w:t>
      </w:r>
      <w:r>
        <w:t xml:space="preserve">.</w:t>
      </w:r>
    </w:p>
    <w:bookmarkEnd w:id="55"/>
    <w:bookmarkStart w:id="56" w:name="ref-autor2015"/>
    <w:p>
      <w:pPr>
        <w:pStyle w:val="Bibliography"/>
      </w:pPr>
      <w:r>
        <w:t xml:space="preserve">Autor, D. H. (2015). Why are there still so many jobs? The history and future of workplace automation.</w:t>
      </w:r>
      <w:r>
        <w:t xml:space="preserve"> </w:t>
      </w:r>
      <w:r>
        <w:rPr>
          <w:i/>
          <w:iCs/>
        </w:rPr>
        <w:t xml:space="preserve">Journal of Economic Perspectives</w:t>
      </w:r>
      <w:r>
        <w:t xml:space="preserve">,</w:t>
      </w:r>
      <w:r>
        <w:t xml:space="preserve"> </w:t>
      </w:r>
      <w:r>
        <w:rPr>
          <w:i/>
          <w:iCs/>
        </w:rPr>
        <w:t xml:space="preserve">29</w:t>
      </w:r>
      <w:r>
        <w:t xml:space="preserve">(3), 3–30.</w:t>
      </w:r>
    </w:p>
    <w:bookmarkEnd w:id="56"/>
    <w:bookmarkStart w:id="57" w:name="ref-babina2024"/>
    <w:p>
      <w:pPr>
        <w:pStyle w:val="Bibliography"/>
      </w:pPr>
      <w:r>
        <w:t xml:space="preserve">Babina, T., Fedyk, A., He, A., &amp; Hodson, J. (2024). Artificial intelligence, firm growth, and product innovation.</w:t>
      </w:r>
      <w:r>
        <w:t xml:space="preserve"> </w:t>
      </w:r>
      <w:r>
        <w:rPr>
          <w:i/>
          <w:iCs/>
        </w:rPr>
        <w:t xml:space="preserve">Journal of Financial Economics</w:t>
      </w:r>
      <w:r>
        <w:t xml:space="preserve">,</w:t>
      </w:r>
      <w:r>
        <w:t xml:space="preserve"> </w:t>
      </w:r>
      <w:r>
        <w:rPr>
          <w:i/>
          <w:iCs/>
        </w:rPr>
        <w:t xml:space="preserve">151</w:t>
      </w:r>
      <w:r>
        <w:t xml:space="preserve">, 103745.</w:t>
      </w:r>
    </w:p>
    <w:bookmarkEnd w:id="57"/>
    <w:bookmarkStart w:id="59" w:name="ref-beckett2023"/>
    <w:p>
      <w:pPr>
        <w:pStyle w:val="Bibliography"/>
      </w:pPr>
      <w:r>
        <w:t xml:space="preserve">Beckett, E. (2023).</w:t>
      </w:r>
      <w:r>
        <w:t xml:space="preserve"> </w:t>
      </w:r>
      <w:r>
        <w:rPr>
          <w:i/>
          <w:iCs/>
        </w:rPr>
        <w:t xml:space="preserve">Demand for AI skills continues climbing</w:t>
      </w:r>
      <w:r>
        <w:t xml:space="preserve">. Lightcast Blog.</w:t>
      </w:r>
      <w:r>
        <w:t xml:space="preserve"> </w:t>
      </w:r>
      <w:hyperlink r:id="rId58">
        <w:r>
          <w:rPr>
            <w:rStyle w:val="Hyperlink"/>
          </w:rPr>
          <w:t xml:space="preserve">https://lightcast.io/</w:t>
        </w:r>
      </w:hyperlink>
    </w:p>
    <w:bookmarkEnd w:id="59"/>
    <w:bookmarkStart w:id="60" w:name="ref-bogin2019"/>
    <w:p>
      <w:pPr>
        <w:pStyle w:val="Bibliography"/>
      </w:pPr>
      <w:r>
        <w:t xml:space="preserve">Bogin, A., Doerner, W., &amp; Larson, W. (2019). Local house price dynamics: New indices and stylized facts.</w:t>
      </w:r>
      <w:r>
        <w:t xml:space="preserve"> </w:t>
      </w:r>
      <w:r>
        <w:rPr>
          <w:i/>
          <w:iCs/>
        </w:rPr>
        <w:t xml:space="preserve">Real Estate Economics</w:t>
      </w:r>
      <w:r>
        <w:t xml:space="preserve">,</w:t>
      </w:r>
      <w:r>
        <w:t xml:space="preserve"> </w:t>
      </w:r>
      <w:r>
        <w:rPr>
          <w:i/>
          <w:iCs/>
        </w:rPr>
        <w:t xml:space="preserve">47</w:t>
      </w:r>
      <w:r>
        <w:t xml:space="preserve">(2), 365–398.</w:t>
      </w:r>
    </w:p>
    <w:bookmarkEnd w:id="60"/>
    <w:bookmarkStart w:id="61" w:name="ref-bresnahan1995"/>
    <w:p>
      <w:pPr>
        <w:pStyle w:val="Bibliography"/>
      </w:pPr>
      <w:r>
        <w:t xml:space="preserve">Bresnahan, T. F., &amp; Trajtenberg, M. (1995). General-purpose technologies</w:t>
      </w:r>
      <w:r>
        <w:t xml:space="preserve"> </w:t>
      </w:r>
      <w:r>
        <w:t xml:space="preserve">“engines of growth”</w:t>
      </w:r>
      <w:r>
        <w:t xml:space="preserve">?</w:t>
      </w:r>
      <w:r>
        <w:t xml:space="preserve"> </w:t>
      </w:r>
      <w:r>
        <w:rPr>
          <w:i/>
          <w:iCs/>
        </w:rPr>
        <w:t xml:space="preserve">Journal of Econometrics</w:t>
      </w:r>
      <w:r>
        <w:t xml:space="preserve">,</w:t>
      </w:r>
      <w:r>
        <w:t xml:space="preserve"> </w:t>
      </w:r>
      <w:r>
        <w:rPr>
          <w:i/>
          <w:iCs/>
        </w:rPr>
        <w:t xml:space="preserve">61</w:t>
      </w:r>
      <w:r>
        <w:t xml:space="preserve">(1), 83–108.</w:t>
      </w:r>
    </w:p>
    <w:bookmarkEnd w:id="61"/>
    <w:bookmarkStart w:id="62" w:name="ref-brynjolfsson2021"/>
    <w:p>
      <w:pPr>
        <w:pStyle w:val="Bibliography"/>
      </w:pPr>
      <w:r>
        <w:t xml:space="preserve">Brynjolfsson, E., Rock, D., &amp; Syverson, C. (2021). The productivity j-curve: How intangibles complement general-purpose technologies.</w:t>
      </w:r>
      <w:r>
        <w:t xml:space="preserve"> </w:t>
      </w:r>
      <w:r>
        <w:rPr>
          <w:i/>
          <w:iCs/>
        </w:rPr>
        <w:t xml:space="preserve">American Economic Journal: Macroeconomics</w:t>
      </w:r>
      <w:r>
        <w:t xml:space="preserve">,</w:t>
      </w:r>
      <w:r>
        <w:t xml:space="preserve"> </w:t>
      </w:r>
      <w:r>
        <w:rPr>
          <w:i/>
          <w:iCs/>
        </w:rPr>
        <w:t xml:space="preserve">13</w:t>
      </w:r>
      <w:r>
        <w:t xml:space="preserve">(1), 333–372.</w:t>
      </w:r>
    </w:p>
    <w:bookmarkEnd w:id="62"/>
    <w:bookmarkStart w:id="63" w:name="ref-chen2019"/>
    <w:p>
      <w:pPr>
        <w:pStyle w:val="Bibliography"/>
      </w:pPr>
      <w:r>
        <w:t xml:space="preserve">Chen, M., Wu, Q., &amp; Yang, B. (2019). How valuable is FinTech innovation?</w:t>
      </w:r>
      <w:r>
        <w:t xml:space="preserve"> </w:t>
      </w:r>
      <w:r>
        <w:rPr>
          <w:i/>
          <w:iCs/>
        </w:rPr>
        <w:t xml:space="preserve">The Review of Financial Studies</w:t>
      </w:r>
      <w:r>
        <w:t xml:space="preserve">,</w:t>
      </w:r>
      <w:r>
        <w:t xml:space="preserve"> </w:t>
      </w:r>
      <w:r>
        <w:rPr>
          <w:i/>
          <w:iCs/>
        </w:rPr>
        <w:t xml:space="preserve">32</w:t>
      </w:r>
      <w:r>
        <w:t xml:space="preserve">(5), 2062–2106.</w:t>
      </w:r>
    </w:p>
    <w:bookmarkEnd w:id="63"/>
    <w:bookmarkStart w:id="64" w:name="ref-eloundou2024"/>
    <w:p>
      <w:pPr>
        <w:pStyle w:val="Bibliography"/>
      </w:pPr>
      <w:r>
        <w:t xml:space="preserve">Eloundou, T., Manning, S., Mishkin, P., &amp; Rock, D. (2024). GPTs are GPTs: Labor market impact potential of LLMs.</w:t>
      </w:r>
      <w:r>
        <w:t xml:space="preserve"> </w:t>
      </w:r>
      <w:r>
        <w:rPr>
          <w:i/>
          <w:iCs/>
        </w:rPr>
        <w:t xml:space="preserve">Science</w:t>
      </w:r>
      <w:r>
        <w:t xml:space="preserve">,</w:t>
      </w:r>
      <w:r>
        <w:t xml:space="preserve"> </w:t>
      </w:r>
      <w:r>
        <w:rPr>
          <w:i/>
          <w:iCs/>
        </w:rPr>
        <w:t xml:space="preserve">384</w:t>
      </w:r>
      <w:r>
        <w:t xml:space="preserve">(6702), 1306–1308.</w:t>
      </w:r>
    </w:p>
    <w:bookmarkEnd w:id="64"/>
    <w:bookmarkStart w:id="65" w:name="ref-farboodi2021"/>
    <w:p>
      <w:pPr>
        <w:pStyle w:val="Bibliography"/>
      </w:pPr>
      <w:r>
        <w:t xml:space="preserve">Farboodi, M., &amp; Veldkamp, L. (2021).</w:t>
      </w:r>
      <w:r>
        <w:t xml:space="preserve"> </w:t>
      </w:r>
      <w:r>
        <w:rPr>
          <w:i/>
          <w:iCs/>
        </w:rPr>
        <w:t xml:space="preserve">A model of the data economy</w:t>
      </w:r>
      <w:r>
        <w:t xml:space="preserve"> </w:t>
      </w:r>
      <w:r>
        <w:t xml:space="preserve">[Working Paper]. National Bureau of Economic Research.</w:t>
      </w:r>
    </w:p>
    <w:bookmarkEnd w:id="65"/>
    <w:bookmarkStart w:id="66" w:name="ref-giczy2022"/>
    <w:p>
      <w:pPr>
        <w:pStyle w:val="Bibliography"/>
      </w:pPr>
      <w:r>
        <w:t xml:space="preserve">Giczy, A. V., Pairolero, N. A., &amp; Toole, A. A. (2022). Identifying artificial intelligence (AI) invention: A novel AI patent dataset.</w:t>
      </w:r>
      <w:r>
        <w:t xml:space="preserve"> </w:t>
      </w:r>
      <w:r>
        <w:rPr>
          <w:i/>
          <w:iCs/>
        </w:rPr>
        <w:t xml:space="preserve">The Journal of Technology Transfer</w:t>
      </w:r>
      <w:r>
        <w:t xml:space="preserve">,</w:t>
      </w:r>
      <w:r>
        <w:t xml:space="preserve"> </w:t>
      </w:r>
      <w:r>
        <w:rPr>
          <w:i/>
          <w:iCs/>
        </w:rPr>
        <w:t xml:space="preserve">47</w:t>
      </w:r>
      <w:r>
        <w:t xml:space="preserve">(2), 476–505.</w:t>
      </w:r>
    </w:p>
    <w:bookmarkEnd w:id="66"/>
    <w:bookmarkStart w:id="67" w:name="ref-gofman2024"/>
    <w:p>
      <w:pPr>
        <w:pStyle w:val="Bibliography"/>
      </w:pPr>
      <w:r>
        <w:t xml:space="preserve">Gofman, M., &amp; Jin, Z. (2024). Artificial intelligence, education, and entrepreneurship.</w:t>
      </w:r>
      <w:r>
        <w:t xml:space="preserve"> </w:t>
      </w:r>
      <w:r>
        <w:rPr>
          <w:i/>
          <w:iCs/>
        </w:rPr>
        <w:t xml:space="preserve">The Journal of Finance</w:t>
      </w:r>
      <w:r>
        <w:t xml:space="preserve">,</w:t>
      </w:r>
      <w:r>
        <w:t xml:space="preserve"> </w:t>
      </w:r>
      <w:r>
        <w:rPr>
          <w:i/>
          <w:iCs/>
        </w:rPr>
        <w:t xml:space="preserve">79</w:t>
      </w:r>
      <w:r>
        <w:t xml:space="preserve">(1), 631–667.</w:t>
      </w:r>
    </w:p>
    <w:bookmarkEnd w:id="67"/>
    <w:bookmarkStart w:id="68" w:name="ref-grennan2020"/>
    <w:p>
      <w:pPr>
        <w:pStyle w:val="Bibliography"/>
      </w:pPr>
      <w:r>
        <w:t xml:space="preserve">Grennan, J., &amp; Michaely, R. (2020).</w:t>
      </w:r>
      <w:r>
        <w:t xml:space="preserve"> </w:t>
      </w:r>
      <w:r>
        <w:rPr>
          <w:i/>
          <w:iCs/>
        </w:rPr>
        <w:t xml:space="preserve">Artificial intelligence and high-skilled work: Evidence from analysts</w:t>
      </w:r>
      <w:r>
        <w:t xml:space="preserve"> </w:t>
      </w:r>
      <w:r>
        <w:t xml:space="preserve">(Research Paper 20-84). Swiss Finance Institute.</w:t>
      </w:r>
    </w:p>
    <w:bookmarkEnd w:id="68"/>
    <w:bookmarkStart w:id="70" w:name="ref-holland1986"/>
    <w:p>
      <w:pPr>
        <w:pStyle w:val="Bibliography"/>
      </w:pPr>
      <w:r>
        <w:t xml:space="preserve">Holland, P. W. (1986). Statistics and causal inference.</w:t>
      </w:r>
      <w:r>
        <w:t xml:space="preserve"> </w:t>
      </w:r>
      <w:r>
        <w:rPr>
          <w:i/>
          <w:iCs/>
        </w:rPr>
        <w:t xml:space="preserve">Journal of the American Statistical Association</w:t>
      </w:r>
      <w:r>
        <w:t xml:space="preserve">,</w:t>
      </w:r>
      <w:r>
        <w:t xml:space="preserve"> </w:t>
      </w:r>
      <w:r>
        <w:rPr>
          <w:i/>
          <w:iCs/>
        </w:rPr>
        <w:t xml:space="preserve">81</w:t>
      </w:r>
      <w:r>
        <w:t xml:space="preserve">(396), 945–960.</w:t>
      </w:r>
      <w:r>
        <w:t xml:space="preserve"> </w:t>
      </w:r>
      <w:hyperlink r:id="rId69">
        <w:r>
          <w:rPr>
            <w:rStyle w:val="Hyperlink"/>
          </w:rPr>
          <w:t xml:space="preserve">https://doi.org/10.1080/01621459.1986.10478354</w:t>
        </w:r>
      </w:hyperlink>
    </w:p>
    <w:bookmarkEnd w:id="70"/>
    <w:bookmarkStart w:id="71" w:name="ref-kline2013"/>
    <w:p>
      <w:pPr>
        <w:pStyle w:val="Bibliography"/>
      </w:pPr>
      <w:r>
        <w:t xml:space="preserve">Kline, P., &amp; Moretti, E. (2013). People, places, and public policy: Some simple welfare economics of local economic development programs.</w:t>
      </w:r>
      <w:r>
        <w:t xml:space="preserve"> </w:t>
      </w:r>
      <w:r>
        <w:rPr>
          <w:i/>
          <w:iCs/>
        </w:rPr>
        <w:t xml:space="preserve">Annual Review of Economics</w:t>
      </w:r>
      <w:r>
        <w:t xml:space="preserve">,</w:t>
      </w:r>
      <w:r>
        <w:t xml:space="preserve"> </w:t>
      </w:r>
      <w:r>
        <w:rPr>
          <w:i/>
          <w:iCs/>
        </w:rPr>
        <w:t xml:space="preserve">5</w:t>
      </w:r>
      <w:r>
        <w:t xml:space="preserve">, 629–662.</w:t>
      </w:r>
    </w:p>
    <w:bookmarkEnd w:id="71"/>
    <w:bookmarkStart w:id="72" w:name="ref-mihet2019"/>
    <w:p>
      <w:pPr>
        <w:pStyle w:val="Bibliography"/>
      </w:pPr>
      <w:r>
        <w:t xml:space="preserve">Mihet, R., &amp; Philippon, T. (2019). The economics of big data and artificial intelligence. In</w:t>
      </w:r>
      <w:r>
        <w:t xml:space="preserve"> </w:t>
      </w:r>
      <w:r>
        <w:rPr>
          <w:i/>
          <w:iCs/>
        </w:rPr>
        <w:t xml:space="preserve">International finance review</w:t>
      </w:r>
      <w:r>
        <w:t xml:space="preserve"> </w:t>
      </w:r>
      <w:r>
        <w:t xml:space="preserve">(Vol. 20).</w:t>
      </w:r>
    </w:p>
    <w:bookmarkEnd w:id="72"/>
    <w:bookmarkStart w:id="73" w:name="ref-romer1990"/>
    <w:p>
      <w:pPr>
        <w:pStyle w:val="Bibliography"/>
      </w:pPr>
      <w:r>
        <w:t xml:space="preserve">Romer, P. M. (1990). Endogenous technological change.</w:t>
      </w:r>
      <w:r>
        <w:t xml:space="preserve"> </w:t>
      </w:r>
      <w:r>
        <w:rPr>
          <w:i/>
          <w:iCs/>
        </w:rPr>
        <w:t xml:space="preserve">Journal of Political Economy</w:t>
      </w:r>
      <w:r>
        <w:t xml:space="preserve">,</w:t>
      </w:r>
      <w:r>
        <w:t xml:space="preserve"> </w:t>
      </w:r>
      <w:r>
        <w:rPr>
          <w:i/>
          <w:iCs/>
        </w:rPr>
        <w:t xml:space="preserve">98</w:t>
      </w:r>
      <w:r>
        <w:t xml:space="preserve">(5, Part 2), S71–S102.</w:t>
      </w:r>
    </w:p>
    <w:bookmarkEnd w:id="73"/>
    <w:bookmarkStart w:id="75" w:name="ref-bls_laus"/>
    <w:p>
      <w:pPr>
        <w:pStyle w:val="Bibliography"/>
      </w:pPr>
      <w:r>
        <w:t xml:space="preserve">U.S. Bureau of Labor Statistics. (2024).</w:t>
      </w:r>
      <w:r>
        <w:t xml:space="preserve"> </w:t>
      </w:r>
      <w:r>
        <w:rPr>
          <w:i/>
          <w:iCs/>
        </w:rPr>
        <w:t xml:space="preserve">Local area unemployment statistics (LAUS)</w:t>
      </w:r>
      <w:r>
        <w:t xml:space="preserve">.</w:t>
      </w:r>
      <w:r>
        <w:t xml:space="preserve"> </w:t>
      </w:r>
      <w:hyperlink r:id="rId74">
        <w:r>
          <w:rPr>
            <w:rStyle w:val="Hyperlink"/>
          </w:rPr>
          <w:t xml:space="preserve">https://www.bls.gov/lau/</w:t>
        </w:r>
      </w:hyperlink>
    </w:p>
    <w:bookmarkEnd w:id="75"/>
    <w:bookmarkStart w:id="77" w:name="ref-census_acs"/>
    <w:p>
      <w:pPr>
        <w:pStyle w:val="Bibliography"/>
      </w:pPr>
      <w:r>
        <w:t xml:space="preserve">U.S. Census Bureau. (2024a).</w:t>
      </w:r>
      <w:r>
        <w:t xml:space="preserve"> </w:t>
      </w:r>
      <w:r>
        <w:rPr>
          <w:i/>
          <w:iCs/>
        </w:rPr>
        <w:t xml:space="preserve">American community survey (ACS) 5-year data</w:t>
      </w:r>
      <w:r>
        <w:t xml:space="preserve">.</w:t>
      </w:r>
      <w:r>
        <w:t xml:space="preserve"> </w:t>
      </w:r>
      <w:hyperlink r:id="rId76">
        <w:r>
          <w:rPr>
            <w:rStyle w:val="Hyperlink"/>
          </w:rPr>
          <w:t xml:space="preserve">https://www.census.gov/data/datasets/time-series/econ/acs/acs-datasets.html</w:t>
        </w:r>
      </w:hyperlink>
    </w:p>
    <w:bookmarkEnd w:id="77"/>
    <w:bookmarkStart w:id="79" w:name="ref-census_cbp"/>
    <w:p>
      <w:pPr>
        <w:pStyle w:val="Bibliography"/>
      </w:pPr>
      <w:r>
        <w:t xml:space="preserve">U.S. Census Bureau. (2024b).</w:t>
      </w:r>
      <w:r>
        <w:t xml:space="preserve"> </w:t>
      </w:r>
      <w:r>
        <w:rPr>
          <w:i/>
          <w:iCs/>
        </w:rPr>
        <w:t xml:space="preserve">County business patterns (CBP)</w:t>
      </w:r>
      <w:r>
        <w:t xml:space="preserve">.</w:t>
      </w:r>
      <w:r>
        <w:t xml:space="preserve"> </w:t>
      </w:r>
      <w:hyperlink r:id="rId78">
        <w:r>
          <w:rPr>
            <w:rStyle w:val="Hyperlink"/>
          </w:rPr>
          <w:t xml:space="preserve">https://www.census.gov/programs-surveys/cbp/data/datasets.html</w:t>
        </w:r>
      </w:hyperlink>
    </w:p>
    <w:bookmarkEnd w:id="79"/>
    <w:bookmarkStart w:id="81" w:name="ref-census_qwi"/>
    <w:p>
      <w:pPr>
        <w:pStyle w:val="Bibliography"/>
      </w:pPr>
      <w:r>
        <w:t xml:space="preserve">U.S. Census Bureau. (2024c).</w:t>
      </w:r>
      <w:r>
        <w:t xml:space="preserve"> </w:t>
      </w:r>
      <w:r>
        <w:rPr>
          <w:i/>
          <w:iCs/>
        </w:rPr>
        <w:t xml:space="preserve">Quarterly workforce indicators (QWI)</w:t>
      </w:r>
      <w:r>
        <w:t xml:space="preserve">.</w:t>
      </w:r>
      <w:r>
        <w:t xml:space="preserve"> </w:t>
      </w:r>
      <w:hyperlink r:id="rId80">
        <w:r>
          <w:rPr>
            <w:rStyle w:val="Hyperlink"/>
          </w:rPr>
          <w:t xml:space="preserve">https://lehd.ces.census.gov/data/</w:t>
        </w:r>
      </w:hyperlink>
    </w:p>
    <w:bookmarkEnd w:id="81"/>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
          <w:iCs/>
        </w:rPr>
        <w:t xml:space="preserve">Solon High School.</w:t>
      </w:r>
      <w:r>
        <w:t xml:space="preserve"> </w:t>
      </w:r>
      <w:hyperlink r:id="rId21">
        <w:r>
          <w:rPr>
            <w:rStyle w:val="Hyperlink"/>
          </w:rPr>
          <w:t xml:space="preserve">jacobkhaykin27@solonschools.net</w:t>
        </w:r>
      </w:hyperlink>
    </w:p>
  </w:footnote>
  <w:footnote w:id="22">
    <w:p>
      <w:pPr>
        <w:pStyle w:val="FootnoteText"/>
      </w:pPr>
      <w:r>
        <w:rPr>
          <w:rStyle w:val="FootnoteReference"/>
        </w:rPr>
        <w:footnoteRef/>
      </w:r>
      <w:r>
        <w:t xml:space="preserve"> </w:t>
      </w:r>
      <w:r>
        <w:rPr>
          <w:i/>
          <w:iCs/>
        </w:rPr>
        <w:t xml:space="preserve">IGDORE.</w:t>
      </w:r>
      <w:r>
        <w:t xml:space="preserve"> </w:t>
      </w:r>
      <w:r>
        <w:t xml:space="preserve">Institute for Globally Distributed Open Research and Education (IGDORE)</w:t>
      </w:r>
      <w:r>
        <w:t xml:space="preserve"> </w:t>
      </w:r>
      <w:hyperlink r:id="rId23">
        <w:r>
          <w:rPr>
            <w:rStyle w:val="Hyperlink"/>
          </w:rPr>
          <w:t xml:space="preserve">dave.kane@gmail.com</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hyperlink" Id="rId69" Target="https://doi.org/10.1080/01621459.1986.10478354" TargetMode="External" /><Relationship Type="http://schemas.openxmlformats.org/officeDocument/2006/relationships/hyperlink" Id="rId80" Target="https://lehd.ces.census.gov/data/" TargetMode="External" /><Relationship Type="http://schemas.openxmlformats.org/officeDocument/2006/relationships/hyperlink" Id="rId58" Target="https://lightcast.io/" TargetMode="External" /><Relationship Type="http://schemas.openxmlformats.org/officeDocument/2006/relationships/hyperlink" Id="rId74" Target="https://www.bls.gov/lau/" TargetMode="External" /><Relationship Type="http://schemas.openxmlformats.org/officeDocument/2006/relationships/hyperlink" Id="rId76" Target="https://www.census.gov/data/datasets/time-series/econ/acs/acs-datasets.html" TargetMode="External" /><Relationship Type="http://schemas.openxmlformats.org/officeDocument/2006/relationships/hyperlink" Id="rId78" Target="https://www.census.gov/programs-surveys/cbp/data/datasets.html" TargetMode="External" /><Relationship Type="http://schemas.openxmlformats.org/officeDocument/2006/relationships/hyperlink" Id="rId23" Target="mailto:dave.kane@gmail.com" TargetMode="External" /><Relationship Type="http://schemas.openxmlformats.org/officeDocument/2006/relationships/hyperlink" Id="rId21" Target="mailto:jacobkhaykin27@solonschools.net"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80/01621459.1986.10478354" TargetMode="External" /><Relationship Type="http://schemas.openxmlformats.org/officeDocument/2006/relationships/hyperlink" Id="rId80" Target="https://lehd.ces.census.gov/data/" TargetMode="External" /><Relationship Type="http://schemas.openxmlformats.org/officeDocument/2006/relationships/hyperlink" Id="rId58" Target="https://lightcast.io/" TargetMode="External" /><Relationship Type="http://schemas.openxmlformats.org/officeDocument/2006/relationships/hyperlink" Id="rId74" Target="https://www.bls.gov/lau/" TargetMode="External" /><Relationship Type="http://schemas.openxmlformats.org/officeDocument/2006/relationships/hyperlink" Id="rId76" Target="https://www.census.gov/data/datasets/time-series/econ/acs/acs-datasets.html" TargetMode="External" /><Relationship Type="http://schemas.openxmlformats.org/officeDocument/2006/relationships/hyperlink" Id="rId78" Target="https://www.census.gov/programs-surveys/cbp/data/datasets.html" TargetMode="External" /><Relationship Type="http://schemas.openxmlformats.org/officeDocument/2006/relationships/hyperlink" Id="rId23" Target="mailto:dave.kane@gmail.com" TargetMode="External" /><Relationship Type="http://schemas.openxmlformats.org/officeDocument/2006/relationships/hyperlink" Id="rId21" Target="mailto:jacobkhaykin27@solonschool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Heterogeneity in Artificial Intelligence Jobs Over Time and Space</dc:title>
  <dc:creator>Jacob Khaykin; David Kane</dc:creator>
  <cp:keywords/>
  <dcterms:created xsi:type="dcterms:W3CDTF">2025-08-24T22:32:58Z</dcterms:created>
  <dcterms:modified xsi:type="dcterms:W3CDTF">2025-08-24T22:32:58Z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nocite">
    <vt:lpwstr>@*</vt:lpwstr>
  </property>
  <property fmtid="{D5CDD505-2E9C-101B-9397-08002B2CF9AE}" pid="13" name="params">
    <vt:lpwstr/>
  </property>
  <property fmtid="{D5CDD505-2E9C-101B-9397-08002B2CF9AE}" pid="14" name="profiles">
    <vt:lpwstr/>
  </property>
  <property fmtid="{D5CDD505-2E9C-101B-9397-08002B2CF9AE}" pid="15" name="subtitle">
    <vt:lpwstr>A Replication Study of Andreadis et al. (AEA Papers and Proceedings, 2025)</vt:lpwstr>
  </property>
  <property fmtid="{D5CDD505-2E9C-101B-9397-08002B2CF9AE}" pid="16" name="toc-title">
    <vt:lpwstr>Table of contents</vt:lpwstr>
  </property>
</Properties>
</file>