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IRMMF Ultimate v5</w:t>
        <w:br/>
        <w:t>Methodology Paper (Extended)</w:t>
      </w:r>
    </w:p>
    <w:p>
      <w:pPr>
        <w:jc w:val="center"/>
      </w:pPr>
      <w:r>
        <w:rPr>
          <w:sz w:val="24"/>
        </w:rPr>
        <w:t>Structural Integrity, Control Lag &amp; Friction Model</w:t>
        <w:br/>
        <w:t>Multi-Role Evidence-Gated Assessment with Advanced Scoring, Diagnostics, and Advisory Triggers</w:t>
      </w:r>
    </w:p>
    <w:p>
      <w:pPr>
        <w:jc w:val="center"/>
      </w:pPr>
      <w:r>
        <w:rPr>
          <w:sz w:val="20"/>
        </w:rPr>
        <w:t>Version: v5.1</w:t>
        <w:br/>
        <w:t>Date: January 08, 2026</w:t>
        <w:br/>
        <w:t>Document type: Methodology specification for implementation</w:t>
        <w:br/>
        <w:t>Audience: Product, engineering, data science, and advisory teams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IRMMF Ultimate v5 measures organizational insider-risk readiness as a defensible, multi-perspective system rather than a checklist. It produces a 9-axis security fingerprint and three headline metrics: Operational Reality (OR), Structural Integrity (SI), and Confidence (CI). The scoring engine is evidence-gated, scope-aware, and penalizes weak links through harmonic aggregation and critical-control floor penalties. Two additional drivers of insider risk—Operational Friction (F) and Risk Velocity (W)—are operationalized using measurable indicators, including a Control Lag Index during organizational change. The methodology also quantifies cross-functional disagreement as a fracture signal and provides advisory triggers and roadmaps.</w:t>
      </w:r>
    </w:p>
    <w:p>
      <w:pPr>
        <w:pStyle w:val="ListBullet"/>
      </w:pPr>
      <w:r>
        <w:t>OR answers: How strong is day-to-day execution (regardless of policy)?</w:t>
      </w:r>
    </w:p>
    <w:p>
      <w:pPr>
        <w:pStyle w:val="ListBullet"/>
      </w:pPr>
      <w:r>
        <w:t>SI answers: Does the organization do what it claims (alignment of reality to posture)?</w:t>
      </w:r>
    </w:p>
    <w:p>
      <w:pPr>
        <w:pStyle w:val="ListBullet"/>
      </w:pPr>
      <w:r>
        <w:t>CI answers: How much should we trust the scores (evidence, coverage, and agreement)?</w:t>
      </w:r>
    </w:p>
    <w:p>
      <w:pPr>
        <w:pStyle w:val="ListBullet"/>
      </w:pPr>
      <w:r>
        <w:t>Fractures highlight: misalignment, control lag, friction-driven bypass, and weak-link control failures.</w:t>
      </w:r>
    </w:p>
    <w:p>
      <w:pPr>
        <w:pStyle w:val="Heading1"/>
      </w:pPr>
      <w:r>
        <w:t>1. Scope, Non-Goals, and Design Principles</w:t>
      </w:r>
    </w:p>
    <w:p>
      <w:pPr>
        <w:pStyle w:val="Heading2"/>
      </w:pPr>
      <w:r>
        <w:t>1.1 Scope</w:t>
      </w:r>
    </w:p>
    <w:p>
      <w:r>
        <w:t>This methodology specifies how to design, administer, score, and report a multi-role insider risk assessment aligned to an IRMMF capability model. It is suitable for tool automation and for advisory-led assessments with evidence collection.</w:t>
      </w:r>
    </w:p>
    <w:p>
      <w:pPr>
        <w:pStyle w:val="Heading2"/>
      </w:pPr>
      <w:r>
        <w:t>1.2 Non-Goals</w:t>
      </w:r>
    </w:p>
    <w:p>
      <w:pPr>
        <w:pStyle w:val="ListBullet"/>
      </w:pPr>
      <w:r>
        <w:t>Predicting individual insider behavior or intent.</w:t>
      </w:r>
    </w:p>
    <w:p>
      <w:pPr>
        <w:pStyle w:val="ListBullet"/>
      </w:pPr>
      <w:r>
        <w:t>Replacing legal advice, HR disciplinary procedures, or formal audit attestations.</w:t>
      </w:r>
    </w:p>
    <w:p>
      <w:pPr>
        <w:pStyle w:val="ListBullet"/>
      </w:pPr>
      <w:r>
        <w:t>Providing exact loss predictions; cost-of-inaction outputs are scenario-based ranges.</w:t>
      </w:r>
    </w:p>
    <w:p>
      <w:pPr>
        <w:pStyle w:val="Heading2"/>
      </w:pPr>
      <w:r>
        <w:t>1.3 Design principles</w:t>
      </w:r>
    </w:p>
    <w:p>
      <w:pPr>
        <w:pStyle w:val="ListBullet"/>
      </w:pPr>
      <w:r>
        <w:t>Evidence before elevation: high scores require operational proof or independent verification.</w:t>
      </w:r>
    </w:p>
    <w:p>
      <w:pPr>
        <w:pStyle w:val="ListBullet"/>
      </w:pPr>
      <w:r>
        <w:t>Multi-role truth: critical conclusions require more than one perspective; disagreement is a risk signal.</w:t>
      </w:r>
    </w:p>
    <w:p>
      <w:pPr>
        <w:pStyle w:val="ListBullet"/>
      </w:pPr>
      <w:r>
        <w:t>Conservative aggregation: weak links materially reduce scores; do not rely on simple averages.</w:t>
      </w:r>
    </w:p>
    <w:p>
      <w:pPr>
        <w:pStyle w:val="ListBullet"/>
      </w:pPr>
      <w:r>
        <w:t>Explainability: advanced math remains internal; reports must stay interpretable.</w:t>
      </w:r>
    </w:p>
    <w:p>
      <w:pPr>
        <w:pStyle w:val="ListBullet"/>
      </w:pPr>
      <w:r>
        <w:t>Ethical legality first: monitoring must be proportionate, transparent, and defensible.</w:t>
      </w:r>
    </w:p>
    <w:p>
      <w:pPr>
        <w:pStyle w:val="Heading1"/>
      </w:pPr>
      <w:r>
        <w:t>2. Core Constructs and Terminology</w:t>
      </w:r>
    </w:p>
    <w:p>
      <w:r>
        <w:t>Gap: A missing capability or control expected for the organization’s objectives and risk profile.</w:t>
      </w:r>
    </w:p>
    <w:p>
      <w:r>
        <w:t>Fracture: A misalignment likely to fail under stress (e.g., strong policy but weak execution; strong execution but weak defensibility; high role disagreement; high change with long adaptation delay).</w:t>
      </w:r>
    </w:p>
    <w:p>
      <w:r>
        <w:t>Stated Posture (SP): Declared and evidenced posture of mandate, guardrails, and targeting (primarily Governance, Legal/Privacy, Visibility).</w:t>
      </w:r>
    </w:p>
    <w:p>
      <w:r>
        <w:t>Operational Reality (OR): Evinced operational strength in day-to-day practice (primarily Execution, Technical Orchestration, Resilience).</w:t>
      </w:r>
    </w:p>
    <w:p>
      <w:r>
        <w:t>Structural Integrity (SI): Alignment ratio of OR to SP.</w:t>
      </w:r>
    </w:p>
    <w:p>
      <w:r>
        <w:t>Confidence Index (CI): Trustworthiness of results based on evidence tiers, recency, scope coverage, respondent coverage, and completion depth.</w:t>
      </w:r>
    </w:p>
    <w:p>
      <w:r>
        <w:t>Misalignment (MIS): Measured disagreement between roles; reported as a fracture signal.</w:t>
      </w:r>
    </w:p>
    <w:p>
      <w:pPr>
        <w:pStyle w:val="Heading1"/>
      </w:pPr>
      <w:r>
        <w:t>3. Measurement Model: 9 Axes</w:t>
      </w:r>
    </w:p>
    <w:p>
      <w:r>
        <w:t>Each question maps to at most two axes to avoid double counting. Axis definitions are intentionally tight: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Axis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Operational definition (what is measured)</w:t>
            </w:r>
          </w:p>
        </w:tc>
      </w:tr>
      <w:tr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Governance - The Mandate</w:t>
            </w:r>
          </w:p>
        </w:tc>
        <w:tc>
          <w:tcPr>
            <w:tcW w:type="dxa" w:w="2880"/>
          </w:tcPr>
          <w:p>
            <w:r>
              <w:t>Board sponsorship, funding, decision rights, operating model, accountability, oversight cadence.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Execution - The Habit</w:t>
            </w:r>
          </w:p>
        </w:tc>
        <w:tc>
          <w:tcPr>
            <w:tcW w:type="dxa" w:w="2880"/>
          </w:tcPr>
          <w:p>
            <w:r>
              <w:t>Operational cadence and adherence; processes happen by default and are enforced.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Technical Orchestration - The Scale</w:t>
            </w:r>
          </w:p>
        </w:tc>
        <w:tc>
          <w:tcPr>
            <w:tcW w:type="dxa" w:w="2880"/>
          </w:tcPr>
          <w:p>
            <w:r>
              <w:t>Automation/integration: telemetry pipelines, control enforcement, detection engineering, case workflow tooling (AI/ML optional).</w:t>
            </w:r>
          </w:p>
        </w:tc>
      </w:tr>
      <w:tr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Legal &amp; Privacy - The Guardrail</w:t>
            </w:r>
          </w:p>
        </w:tc>
        <w:tc>
          <w:tcPr>
            <w:tcW w:type="dxa" w:w="2880"/>
          </w:tcPr>
          <w:p>
            <w:r>
              <w:t>Defensibility: lawful basis, DPIA/LIA, transparency, minimization, retention, access auditability, proportionality.</w:t>
            </w:r>
          </w:p>
        </w:tc>
      </w:tr>
      <w:tr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Human Sentiment - The Heart</w:t>
            </w:r>
          </w:p>
        </w:tc>
        <w:tc>
          <w:tcPr>
            <w:tcW w:type="dxa" w:w="2880"/>
          </w:tcPr>
          <w:p>
            <w:r>
              <w:t>Psychological safety, speak-up climate, perceived fairness, manager intervention readiness, trust.</w:t>
            </w:r>
          </w:p>
        </w:tc>
      </w:tr>
      <w:tr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Visibility - The Target</w:t>
            </w:r>
          </w:p>
        </w:tc>
        <w:tc>
          <w:tcPr>
            <w:tcW w:type="dxa" w:w="2880"/>
          </w:tcPr>
          <w:p>
            <w:r>
              <w:t>Crown jewels, data flows, critical role mapping, risk concentration, insider attack paths.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Resilience - The Recovery</w:t>
            </w:r>
          </w:p>
        </w:tc>
        <w:tc>
          <w:tcPr>
            <w:tcW w:type="dxa" w:w="2880"/>
          </w:tcPr>
          <w:p>
            <w:r>
              <w:t>Containment speed, investigation readiness, continuity for sabotage, recovery playbooks, learning loops.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Operational Friction - The Efficiency</w:t>
            </w:r>
          </w:p>
        </w:tc>
        <w:tc>
          <w:tcPr>
            <w:tcW w:type="dxa" w:w="2880"/>
          </w:tcPr>
          <w:p>
            <w:r>
              <w:t>Measured friction and bypass pressure: exceptions, access lead time, workarounds, shadow IT drivers, control usability.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Risk Velocity - The Stability (Control Lag lens)</w:t>
            </w:r>
          </w:p>
        </w:tc>
        <w:tc>
          <w:tcPr>
            <w:tcW w:type="dxa" w:w="2880"/>
          </w:tcPr>
          <w:p>
            <w:r>
              <w:t>Change rate multiplied by adaptation delay: how fast risk changes vs controls/policies/monitoring adapt.</w:t>
            </w:r>
          </w:p>
        </w:tc>
      </w:tr>
    </w:tbl>
    <w:p>
      <w:pPr>
        <w:pStyle w:val="Heading1"/>
      </w:pPr>
      <w:r>
        <w:t>4. Data Collection Architecture</w:t>
      </w:r>
    </w:p>
    <w:p>
      <w:pPr>
        <w:pStyle w:val="Heading2"/>
      </w:pPr>
      <w:r>
        <w:t>4.1 Role Discovery</w:t>
      </w:r>
    </w:p>
    <w:p>
      <w:r>
        <w:t>The assessment begins with a Role Discovery module to determine which functions exist and are in scope, including outsourced responsibilities. The tool uses this to assign role-specific packs and to compute Role Coverage for CI.</w:t>
      </w:r>
    </w:p>
    <w:p>
      <w:pPr>
        <w:pStyle w:val="ListBullet"/>
      </w:pPr>
      <w:r>
        <w:t>Roles present vs outsourced (e.g., SOC, HR, DPO, IAM, Data Governance).</w:t>
      </w:r>
    </w:p>
    <w:p>
      <w:pPr>
        <w:pStyle w:val="ListBullet"/>
      </w:pPr>
      <w:r>
        <w:t>Operating model (centralized, federated, hybrid).</w:t>
      </w:r>
    </w:p>
    <w:p>
      <w:pPr>
        <w:pStyle w:val="ListBullet"/>
      </w:pPr>
      <w:r>
        <w:t>Tool ownership (who runs monitoring, who owns case management).</w:t>
      </w:r>
    </w:p>
    <w:p>
      <w:pPr>
        <w:pStyle w:val="ListBullet"/>
      </w:pPr>
      <w:r>
        <w:t>Investigation authority (who can initiate, who can approve).</w:t>
      </w:r>
    </w:p>
    <w:p>
      <w:pPr>
        <w:pStyle w:val="Heading2"/>
      </w:pPr>
      <w:r>
        <w:t>4.2 Multi-role Packs</w:t>
      </w:r>
    </w:p>
    <w:p>
      <w:r>
        <w:t>Packs are targeted modules assigned to domain experts. Standard v5 packs:</w:t>
      </w:r>
    </w:p>
    <w:p>
      <w:pPr>
        <w:pStyle w:val="ListBullet"/>
      </w:pPr>
      <w:r>
        <w:t>Exec Pack: G, V, W</w:t>
      </w:r>
    </w:p>
    <w:p>
      <w:pPr>
        <w:pStyle w:val="ListBullet"/>
      </w:pPr>
      <w:r>
        <w:t>Security Pack: E, T, V, R</w:t>
      </w:r>
    </w:p>
    <w:p>
      <w:pPr>
        <w:pStyle w:val="ListBullet"/>
      </w:pPr>
      <w:r>
        <w:t>HR Pack: H, E, F</w:t>
      </w:r>
    </w:p>
    <w:p>
      <w:pPr>
        <w:pStyle w:val="ListBullet"/>
      </w:pPr>
      <w:r>
        <w:t>Legal/Privacy Pack: L, G</w:t>
      </w:r>
    </w:p>
    <w:p>
      <w:pPr>
        <w:pStyle w:val="ListBullet"/>
      </w:pPr>
      <w:r>
        <w:t>Data/Business Pack: V, F, W (crown jewels and operational reality)</w:t>
      </w:r>
    </w:p>
    <w:p>
      <w:pPr>
        <w:pStyle w:val="ListBullet"/>
      </w:pPr>
      <w:r>
        <w:t>IT/IAM Pack: E, T, F, R (joiner/mover/leaver and access workflows)</w:t>
      </w:r>
    </w:p>
    <w:p>
      <w:pPr>
        <w:pStyle w:val="ListBullet"/>
      </w:pPr>
      <w:r>
        <w:t>Optional: OT/Physical, Vendor/Procurement, Internal Audit/Risk packs</w:t>
      </w:r>
    </w:p>
    <w:p>
      <w:pPr>
        <w:pStyle w:val="Heading2"/>
      </w:pPr>
      <w:r>
        <w:t>4.3 Adaptive Branching and Shadow Probes</w:t>
      </w:r>
    </w:p>
    <w:p>
      <w:r>
        <w:t>Adaptive branching uses tiers to reduce fatigue while preserving detection of hidden maturity.</w:t>
      </w:r>
    </w:p>
    <w:p>
      <w:r>
        <w:rPr>
          <w:rFonts w:ascii="Courier New" w:hAnsi="Courier New"/>
          <w:sz w:val="18"/>
        </w:rPr>
        <w:t>Tiers:</w:t>
        <w:br/>
        <w:t>Tier 1: Strategic Gatekeepers (3-5 questions per domain/pack)</w:t>
        <w:br/>
        <w:t>Tier 2: Formal vs Informal validation</w:t>
        <w:br/>
        <w:t>Tier 3: Technical nuance / orchestration details</w:t>
        <w:br/>
        <w:t>Tier 4: Evidence &amp; verification prompts</w:t>
        <w:br/>
        <w:br/>
        <w:t>Shadow Probes:</w:t>
        <w:br/>
        <w:t>If Tier 1 is low but early signals show high execution/visibility/resilience, run a minimal Tier 2 subset to detect Shadow Mature patterns.</w:t>
        <w:br/>
      </w:r>
    </w:p>
    <w:p>
      <w:r>
        <w:rPr>
          <w:rFonts w:ascii="Courier New" w:hAnsi="Courier New"/>
          <w:sz w:val="18"/>
        </w:rPr>
        <w:t>Algorithm (high level):</w:t>
        <w:br/>
        <w:t>for each (domain, pack):</w:t>
        <w:br/>
        <w:t xml:space="preserve">    ask Tier1 questions</w:t>
        <w:br/>
        <w:t xml:space="preserve">    if Tier1Score &lt; StopThreshold:</w:t>
        <w:br/>
        <w:t xml:space="preserve">        if ShadowSignal(pack, domain) == true:</w:t>
        <w:br/>
        <w:t xml:space="preserve">            ask ShadowProbeSubset(Tier2)</w:t>
        <w:br/>
        <w:t xml:space="preserve">        else:</w:t>
        <w:br/>
        <w:t xml:space="preserve">            stop deepening and mark Foundational Gap</w:t>
        <w:br/>
        <w:t xml:space="preserve">    else:</w:t>
        <w:br/>
        <w:t xml:space="preserve">        proceed Tier2 -&gt; Tier3 -&gt; Tier4 as applicable</w:t>
        <w:br/>
      </w:r>
    </w:p>
    <w:p>
      <w:pPr>
        <w:pStyle w:val="Heading2"/>
      </w:pPr>
      <w:r>
        <w:t>4.4 Evidence Capture Workflow</w:t>
      </w:r>
    </w:p>
    <w:p>
      <w:r>
        <w:t>Evidence capture is structured and auditable. Each evidence item is tagged to the question and includes type, recency, scope, and sampling metadata.</w:t>
      </w:r>
    </w:p>
    <w:p>
      <w:pPr>
        <w:pStyle w:val="ListBullet"/>
      </w:pPr>
      <w:r>
        <w:t>Evidence type: policy/procedure, system config, log extract, ticket export, case record, audit report, exercise result.</w:t>
      </w:r>
    </w:p>
    <w:p>
      <w:pPr>
        <w:pStyle w:val="ListBullet"/>
      </w:pPr>
      <w:r>
        <w:t>Recency: evidence age in days; operational items must be recent.</w:t>
      </w:r>
    </w:p>
    <w:p>
      <w:pPr>
        <w:pStyle w:val="ListBullet"/>
      </w:pPr>
      <w:r>
        <w:t>Scope: which population/systems are covered.</w:t>
      </w:r>
    </w:p>
    <w:p>
      <w:pPr>
        <w:pStyle w:val="ListBullet"/>
      </w:pPr>
      <w:r>
        <w:t>Sampling: number of samples, selection method, and period covered.</w:t>
      </w:r>
    </w:p>
    <w:p>
      <w:pPr>
        <w:pStyle w:val="ListBullet"/>
      </w:pPr>
      <w:r>
        <w:t>Access: who provided evidence and who approved its use.</w:t>
      </w:r>
    </w:p>
    <w:p>
      <w:pPr>
        <w:pStyle w:val="Heading1"/>
      </w:pPr>
      <w:r>
        <w:t>5. Evidence Model</w:t>
      </w:r>
    </w:p>
    <w:p>
      <w:pPr>
        <w:pStyle w:val="Heading2"/>
      </w:pPr>
      <w:r>
        <w:t>5.1 Evidence tiers and caps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Examples</w:t>
            </w:r>
          </w:p>
        </w:tc>
        <w:tc>
          <w:tcPr>
            <w:tcW w:type="dxa" w:w="2160"/>
          </w:tcPr>
          <w:p>
            <w:r>
              <w:t>Default cap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Assertion</w:t>
            </w:r>
          </w:p>
        </w:tc>
        <w:tc>
          <w:tcPr>
            <w:tcW w:type="dxa" w:w="2160"/>
          </w:tcPr>
          <w:p>
            <w:r>
              <w:t>Respondent claim only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Artifact</w:t>
            </w:r>
          </w:p>
        </w:tc>
        <w:tc>
          <w:tcPr>
            <w:tcW w:type="dxa" w:w="2160"/>
          </w:tcPr>
          <w:p>
            <w:r>
              <w:t>Policy/process, configuration screenshot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Operational proof</w:t>
            </w:r>
          </w:p>
        </w:tc>
        <w:tc>
          <w:tcPr>
            <w:tcW w:type="dxa" w:w="2160"/>
          </w:tcPr>
          <w:p>
            <w:r>
              <w:t>Logs, tickets, case records, metrics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Independent verification</w:t>
            </w:r>
          </w:p>
        </w:tc>
        <w:tc>
          <w:tcPr>
            <w:tcW w:type="dxa" w:w="2160"/>
          </w:tcPr>
          <w:p>
            <w:r>
              <w:t>Audit sampling, exercise, external attestation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pPr>
        <w:pStyle w:val="Heading2"/>
      </w:pPr>
      <w:r>
        <w:t>5.2 Sampling adequacy rules</w:t>
      </w:r>
    </w:p>
    <w:p>
      <w:r>
        <w:t>Sampling adequacy (SA) prevents cherry-picking for Tier C evidence.</w:t>
      </w:r>
    </w:p>
    <w:p>
      <w:r>
        <w:rPr>
          <w:rFonts w:ascii="Courier New" w:hAnsi="Courier New"/>
          <w:sz w:val="18"/>
        </w:rPr>
        <w:t>Default SA rules for operational items:</w:t>
        <w:br/>
        <w:t>n &lt; 3 samples  -&gt; SA = 0.40</w:t>
        <w:br/>
        <w:t>n = 3 samples  -&gt; SA = 0.70</w:t>
        <w:br/>
        <w:t>n = 10 samples -&gt; SA = 1.00</w:t>
        <w:br/>
        <w:t>3 &lt; n &lt; 10     -&gt; linear interpolation between 0.70 and 1.00</w:t>
        <w:br/>
      </w:r>
    </w:p>
    <w:p>
      <w:pPr>
        <w:pStyle w:val="Heading2"/>
      </w:pPr>
      <w:r>
        <w:t>5.3 Negative controls (anti-gaming)</w:t>
      </w:r>
    </w:p>
    <w:p>
      <w:r>
        <w:t>A small set of proof-based ‘negative controls’ is included to detect inflated claims. Failure caps affected scores and reduces CI.</w:t>
      </w:r>
    </w:p>
    <w:p>
      <w:pPr>
        <w:pStyle w:val="ListBullet"/>
      </w:pPr>
      <w:r>
        <w:t>Show recent (redacted) insider-relevant triage records and outcomes.</w:t>
      </w:r>
    </w:p>
    <w:p>
      <w:pPr>
        <w:pStyle w:val="ListBullet"/>
      </w:pPr>
      <w:r>
        <w:t>Show monitoring data retention + access auditability evidence.</w:t>
      </w:r>
    </w:p>
    <w:p>
      <w:pPr>
        <w:pStyle w:val="ListBullet"/>
      </w:pPr>
      <w:r>
        <w:t>Show transparency notices or employee communications about monitoring.</w:t>
      </w:r>
    </w:p>
    <w:p>
      <w:pPr>
        <w:pStyle w:val="ListBullet"/>
      </w:pPr>
      <w:r>
        <w:t>Show offboarding exceptions and approvals.</w:t>
      </w:r>
    </w:p>
    <w:p>
      <w:pPr>
        <w:pStyle w:val="ListBullet"/>
      </w:pPr>
      <w:r>
        <w:t>Show evidence that case management access is role-restricted and audited.</w:t>
      </w:r>
    </w:p>
    <w:p>
      <w:pPr>
        <w:pStyle w:val="Heading1"/>
      </w:pPr>
      <w:r>
        <w:t>6. Scoring Specification</w:t>
      </w:r>
    </w:p>
    <w:p>
      <w:r>
        <w:t>This section defines calculations for question-level scoring, role aggregation, capability aggregation, axis scoring, and headline metrics.</w:t>
      </w:r>
    </w:p>
    <w:p>
      <w:pPr>
        <w:pStyle w:val="Heading2"/>
      </w:pPr>
      <w:r>
        <w:t>6.1 Question-level adjusted score</w:t>
      </w:r>
    </w:p>
    <w:p>
      <w:r>
        <w:rPr>
          <w:rFonts w:ascii="Courier New" w:hAnsi="Courier New"/>
          <w:sz w:val="18"/>
        </w:rPr>
        <w:t>Inputs per answer (q,r):</w:t>
        <w:br/>
        <w:t>BS(q,r) ∈ {0,1,2,3,4}</w:t>
        <w:br/>
        <w:t>ET(q,r) ∈ {A,B,C,D}</w:t>
        <w:br/>
        <w:t>RD(q,r) in days</w:t>
        <w:br/>
        <w:t>SC(q,r) ∈ [0,1]</w:t>
        <w:br/>
        <w:t>SA(q,r) ∈ [0,1]</w:t>
        <w:br/>
        <w:t>AC(q,r) ∈ [0,1] (default 1.0)</w:t>
        <w:br/>
      </w:r>
    </w:p>
    <w:p>
      <w:r>
        <w:rPr>
          <w:rFonts w:ascii="Courier New" w:hAnsi="Courier New"/>
          <w:sz w:val="18"/>
        </w:rPr>
        <w:t>Evidence quality:</w:t>
        <w:br/>
        <w:t>EQ_base(A)=0.40, EQ_base(B)=0.70, EQ_base(C)=0.90, EQ_base(D)=1.00</w:t>
        <w:br/>
        <w:t>EQ(q,r) = EQ_base(ET) × SA(q,r)</w:t>
        <w:br/>
      </w:r>
    </w:p>
    <w:p>
      <w:r>
        <w:rPr>
          <w:rFonts w:ascii="Courier New" w:hAnsi="Courier New"/>
          <w:sz w:val="18"/>
        </w:rPr>
        <w:t>Recency factor RF (default):</w:t>
        <w:br/>
        <w:t>Operational: RD≤90 -&gt;1.00; 91-180-&gt;0.85; 181-365-&gt;0.65; &gt;365-&gt;0.40</w:t>
        <w:br/>
        <w:t>Governance:   RD≤180-&gt;1.00; 181-365-&gt;0.85; 366-730-&gt;0.65; &gt;730-&gt;0.45</w:t>
        <w:br/>
      </w:r>
    </w:p>
    <w:p>
      <w:r>
        <w:rPr>
          <w:rFonts w:ascii="Courier New" w:hAnsi="Courier New"/>
          <w:sz w:val="18"/>
        </w:rPr>
        <w:t>Evidence caps:</w:t>
        <w:br/>
        <w:t>Cap(A)=2; Cap(B)=3; Cap(C/D)=4</w:t>
        <w:br/>
        <w:t>BS_cap(q,r)=min(BS(q,r), Cap(ET))</w:t>
        <w:br/>
      </w:r>
    </w:p>
    <w:p>
      <w:r>
        <w:rPr>
          <w:rFonts w:ascii="Courier New" w:hAnsi="Courier New"/>
          <w:sz w:val="18"/>
        </w:rPr>
        <w:t>Adjusted score:</w:t>
        <w:br/>
        <w:t>AS(q,r)=BS_cap(q,r) × min(EQ(q,r), RF(q,r), SC(q,r), AC(q,r))</w:t>
        <w:br/>
        <w:t>NAS(q,r)=AS(q,r)/4</w:t>
        <w:br/>
      </w:r>
    </w:p>
    <w:p>
      <w:pPr>
        <w:pStyle w:val="Heading2"/>
      </w:pPr>
      <w:r>
        <w:t>6.2 Role-weighted consensus and misalignment</w:t>
      </w:r>
    </w:p>
    <w:p>
      <w:r>
        <w:t>Role weights RW(q,r) are configured per question type and sum to 1 across roles answering q. For example: legal defensibility questions weight Legal/DPO higher; culture questions weight HR higher; technical questions weight Security/IT higher.</w:t>
      </w:r>
    </w:p>
    <w:p>
      <w:r>
        <w:rPr>
          <w:rFonts w:ascii="Courier New" w:hAnsi="Courier New"/>
          <w:sz w:val="18"/>
        </w:rPr>
        <w:t>Consensus:</w:t>
        <w:br/>
        <w:t>CNS(q)=Σ RW(q,r)×NAS(q,r)</w:t>
        <w:br/>
        <w:br/>
        <w:t>Misalignment (choose one global method):</w:t>
        <w:br/>
        <w:t>Option A: MIS(q)=min(1, stdev({NAS(q,r)})/0.25)</w:t>
        <w:br/>
        <w:t>Option B: MIS(q)=max({NAS(q,r)})-min({NAS(q,r)})</w:t>
        <w:br/>
        <w:br/>
        <w:t>Evidence confidence:</w:t>
        <w:br/>
        <w:t>EC(q)=Σ RW(q,r)×(EQ×RF×SC)</w:t>
        <w:br/>
      </w:r>
    </w:p>
    <w:p>
      <w:pPr>
        <w:pStyle w:val="Heading2"/>
      </w:pPr>
      <w:r>
        <w:t>6.3 Capability aggregation (mean + harmonic + floor penalties)</w:t>
      </w:r>
    </w:p>
    <w:p>
      <w:r>
        <w:rPr>
          <w:rFonts w:ascii="Courier New" w:hAnsi="Courier New"/>
          <w:sz w:val="18"/>
        </w:rPr>
        <w:t>For node X with questions QX and criticality weights CW(q):</w:t>
        <w:br/>
        <w:br/>
        <w:t>WM(X)=Σ CW(q)×CNS(q) / Σ CW(q)</w:t>
        <w:br/>
        <w:br/>
        <w:t>WHM(X)=Σ CW(q) / Σ [CW(q)/max(ε,CNS(q))], ε=0.05</w:t>
        <w:br/>
        <w:br/>
        <w:t>Critical-control penalties:</w:t>
        <w:br/>
        <w:t>For each critical q in CQX with threshold TH(q):</w:t>
        <w:br/>
        <w:t>Pen(q)=0 if CNS(q)≥TH(q) else α(q)×(TH(q)-CNS(q))</w:t>
        <w:br/>
        <w:t>FP(X)=Σ Pen(q)</w:t>
        <w:br/>
        <w:br/>
        <w:t>Final score:</w:t>
        <w:br/>
        <w:t>CS(X)=clamp(0.6×WHM(X)+0.4×WM(X)-FP(X),0,1)</w:t>
        <w:br/>
      </w:r>
    </w:p>
    <w:p>
      <w:pPr>
        <w:pStyle w:val="Heading2"/>
      </w:pPr>
      <w:r>
        <w:t>6.4 Axis scoring</w:t>
      </w:r>
    </w:p>
    <w:p>
      <w:r>
        <w:rPr>
          <w:rFonts w:ascii="Courier New" w:hAnsi="Courier New"/>
          <w:sz w:val="18"/>
        </w:rPr>
        <w:t>Axis mapping:</w:t>
        <w:br/>
        <w:t>Each question maps to at most 2 axes with weights AXW(q,a) (sum to 1 over mapped axes).</w:t>
        <w:br/>
        <w:t>WA(q,a)=CW(q)×AXW(q,a)</w:t>
        <w:br/>
        <w:br/>
        <w:t>AxisScore(a)=Σ WA(q,a)×CNS(q) / Σ WA(q,a)</w:t>
        <w:br/>
        <w:t>AxisConf(a)= Σ WA(q,a)×EC(q)  / Σ WA(q,a)</w:t>
        <w:br/>
        <w:t>AxisMIS(a)=  Σ WA(q,a)×MIS(q) / Σ WA(q,a)</w:t>
        <w:br/>
      </w:r>
    </w:p>
    <w:p>
      <w:pPr>
        <w:pStyle w:val="Heading2"/>
      </w:pPr>
      <w:r>
        <w:t>6.5 Headline metrics (OR, SP, SI, CI)</w:t>
      </w:r>
    </w:p>
    <w:p>
      <w:r>
        <w:rPr>
          <w:rFonts w:ascii="Courier New" w:hAnsi="Courier New"/>
          <w:sz w:val="18"/>
        </w:rPr>
        <w:t>Defaults:</w:t>
        <w:br/>
        <w:t>SP=0.35×G+0.35×L+0.30×V</w:t>
        <w:br/>
        <w:t>OR=0.35×E+0.35×T+0.30×R</w:t>
        <w:br/>
        <w:t>(letters are AxisScore values)</w:t>
        <w:br/>
        <w:br/>
        <w:t>Confidence attenuation (optional):</w:t>
        <w:br/>
        <w:t>SP_adj=SP×min(1, AvgConf(G,L,V)+0.2)</w:t>
        <w:br/>
        <w:t>OR_adj=OR×min(1, AvgConf(E,T,R)+0.2)</w:t>
        <w:br/>
        <w:br/>
        <w:t>SI ratio:</w:t>
        <w:br/>
        <w:t>SI=clamp(OR_adj/(SP_adj+ε),0,1), ε=0.05</w:t>
        <w:br/>
        <w:br/>
        <w:t>CI:</w:t>
        <w:br/>
        <w:t>CI=0.5×EvidenceCoverage+0.3×RoleCoverage+0.2×DepthCoverage</w:t>
        <w:br/>
      </w:r>
    </w:p>
    <w:p>
      <w:pPr>
        <w:pStyle w:val="Heading2"/>
      </w:pPr>
      <w:r>
        <w:t>6.6 End-to-end scoring pipeline (implementation pseudocode)</w:t>
      </w:r>
    </w:p>
    <w:p>
      <w:r>
        <w:rPr>
          <w:rFonts w:ascii="Courier New" w:hAnsi="Courier New"/>
          <w:sz w:val="18"/>
        </w:rPr>
        <w:t>Pipeline:</w:t>
        <w:br/>
        <w:t>1) RoleDiscovery() -&gt; present roles, outsourced roles, required packs</w:t>
        <w:br/>
        <w:t>2) CollectResponsesByPack() -&gt; BS, ET, RD, SC, SA, evidence metadata</w:t>
        <w:br/>
        <w:t>3) For each (q,r): compute AS(q,r), NAS(q,r)</w:t>
        <w:br/>
        <w:t>4) For each q: compute CNS(q), MIS(q), EC(q)</w:t>
        <w:br/>
        <w:t>5) For each node X: compute CS(X), EC(X), MIS(X)</w:t>
        <w:br/>
        <w:t>6) For each axis a: compute AxisScore(a), AxisConf(a), AxisMIS(a)</w:t>
        <w:br/>
        <w:t>7) Compute SP, OR, SI, CI</w:t>
        <w:br/>
        <w:t>8) Compute archetype probabilities and fracture list</w:t>
        <w:br/>
        <w:t>9) Apply sector overlay multipliers (if enabled) and recompute affected aggregates</w:t>
        <w:br/>
        <w:t>10) Generate executive + operational reports and service triggers</w:t>
        <w:br/>
      </w:r>
    </w:p>
    <w:p>
      <w:pPr>
        <w:pStyle w:val="Heading1"/>
      </w:pPr>
      <w:r>
        <w:t>7. Operationalizing F and W (Algorithms)</w:t>
      </w:r>
    </w:p>
    <w:p>
      <w:pPr>
        <w:pStyle w:val="Heading2"/>
      </w:pPr>
      <w:r>
        <w:t>7.1 F: Friction indicators and normalization</w:t>
      </w:r>
    </w:p>
    <w:p>
      <w:r>
        <w:t>F is derived from measurable operational indicators, then mapped into question responses or computed directly as an axis sub-score.</w:t>
      </w:r>
    </w:p>
    <w:p>
      <w:r>
        <w:rPr>
          <w:rFonts w:ascii="Courier New" w:hAnsi="Courier New"/>
          <w:sz w:val="18"/>
        </w:rPr>
        <w:t>Example normalization approach (per indicator i):</w:t>
        <w:br/>
        <w:t>- Compute raw metric value m_i (e.g., mean access approval time in days).</w:t>
        <w:br/>
        <w:t>- Convert to percentile p_i relative to peer benchmark or historical baseline.</w:t>
        <w:br/>
        <w:t>- Map to [0,1] risk score: fric_i = p_i (higher percentile = more friction).</w:t>
        <w:br/>
        <w:t>- Combine indicators with weights: F_raw = Σ w_i × fric_i.</w:t>
        <w:br/>
        <w:t>- Convert to AxisScore(F) via evidence-gated questions that validate measurement, ownership, and remediation loop.</w:t>
        <w:br/>
      </w:r>
    </w:p>
    <w:p>
      <w:pPr>
        <w:pStyle w:val="ListBullet"/>
      </w:pPr>
      <w:r>
        <w:t>Suggested friction indicators: exceptions/overrides per 100 users, average access lead time, break-glass frequency, number of unapproved SaaS apps, DLP block rate with override rate, helpdesk tickets tagged security-friction.</w:t>
      </w:r>
    </w:p>
    <w:p>
      <w:pPr>
        <w:pStyle w:val="ListBullet"/>
      </w:pPr>
      <w:r>
        <w:t>Use evidence: ticket exports, IAM workflow metrics, CASB discovery, SIEM tags, service desk analytics.</w:t>
      </w:r>
    </w:p>
    <w:p>
      <w:pPr>
        <w:pStyle w:val="Heading2"/>
      </w:pPr>
      <w:r>
        <w:t>7.2 W: Control Lag Index computation</w:t>
      </w:r>
    </w:p>
    <w:p>
      <w:r>
        <w:t>W is operationalized through Control Lag: Change Rate multiplied by Adaptation Delay. Both components are normalized (0-1) and calibrated.</w:t>
      </w:r>
    </w:p>
    <w:p>
      <w:r>
        <w:rPr>
          <w:rFonts w:ascii="Courier New" w:hAnsi="Courier New"/>
          <w:sz w:val="18"/>
        </w:rPr>
        <w:t>Step 1: ChangeRateIndex (CRI) in [0,1]</w:t>
        <w:br/>
        <w:t>Inputs may include:</w:t>
        <w:br/>
        <w:t>- number of major org events in last 12 months (M&amp;A, layoffs, reorgs, cloud migrations, outsourcing)</w:t>
        <w:br/>
        <w:t>- percent workforce churn</w:t>
        <w:br/>
        <w:t>- percent systems/applications changed or onboarded</w:t>
        <w:br/>
        <w:t>Normalize to CRI using sector/size calibration bands.</w:t>
        <w:br/>
        <w:br/>
        <w:t>Step 2: AdaptationDelayIndex (ADI) in [0,1]</w:t>
        <w:br/>
        <w:t>Inputs may include:</w:t>
        <w:br/>
        <w:t>- median days to update policies/standards after change</w:t>
        <w:br/>
        <w:t>- median days to update JML / access models</w:t>
        <w:br/>
        <w:t>- median days to onboard new systems into telemetry monitoring</w:t>
        <w:br/>
        <w:t>- median days to update training/playbooks</w:t>
        <w:br/>
        <w:t>Normalize to ADI using calibration bands.</w:t>
        <w:br/>
        <w:br/>
        <w:t>ControlLagIndex = CRI × ADI</w:t>
        <w:br/>
        <w:t>W axis score is the inverse of lag (or directly derived via questions):</w:t>
        <w:br/>
        <w:t>W_risk = ControlLagIndex</w:t>
        <w:br/>
        <w:t>W_score = 1 - W_risk</w:t>
        <w:br/>
      </w:r>
    </w:p>
    <w:p>
      <w:pPr>
        <w:pStyle w:val="Heading1"/>
      </w:pPr>
      <w:r>
        <w:t>8. Sector Overlays (Weight Multipliers)</w:t>
      </w:r>
    </w:p>
    <w:p>
      <w:r>
        <w:t>Sector overlays adjust criticality weights or axis weights via documented multipliers. Overlays must be disclosed in reports.</w:t>
      </w:r>
    </w:p>
    <w:p>
      <w:r>
        <w:rPr>
          <w:rFonts w:ascii="Courier New" w:hAnsi="Courier New"/>
          <w:sz w:val="18"/>
        </w:rPr>
        <w:t>Overlay implementation:</w:t>
        <w:br/>
        <w:t>For sector s, define multiplier M_s on either:</w:t>
        <w:br/>
        <w:t>- question criticality: CW'(q)=CW(q)×M_s(q)  (preferred for specificity), or</w:t>
        <w:br/>
        <w:t>- axis weights: WA'(q,a)=WA(q,a)×M_s(a)</w:t>
        <w:br/>
        <w:br/>
        <w:t>Constraints:</w:t>
        <w:br/>
        <w:t>- Multipliers bounded (e.g., 0.75 to 2.0)</w:t>
        <w:br/>
        <w:t>- Total weight is re-normalized per aggregate so scores remain in [0,1]</w:t>
        <w:br/>
        <w:t>- Overlay version and rationale are stored and reported</w:t>
        <w:br/>
      </w:r>
    </w:p>
    <w:p>
      <w:pPr>
        <w:pStyle w:val="Heading1"/>
      </w:pPr>
      <w:r>
        <w:t>9. Fracture Analytics and Cascade Model</w:t>
      </w:r>
    </w:p>
    <w:p>
      <w:pPr>
        <w:pStyle w:val="Heading2"/>
      </w:pPr>
      <w:r>
        <w:t>9.1 Fracture identification rules</w:t>
      </w:r>
    </w:p>
    <w:p>
      <w:pPr>
        <w:pStyle w:val="ListBullet"/>
      </w:pPr>
      <w:r>
        <w:t>SI below threshold (e.g., &lt;0.7) indicates structural lopsidedness; &lt;0.5 is major fracture.</w:t>
      </w:r>
    </w:p>
    <w:p>
      <w:pPr>
        <w:pStyle w:val="ListBullet"/>
      </w:pPr>
      <w:r>
        <w:t>High MIS at critical nodes indicates operating model fracture.</w:t>
      </w:r>
    </w:p>
    <w:p>
      <w:pPr>
        <w:pStyle w:val="ListBullet"/>
      </w:pPr>
      <w:r>
        <w:t>High ControlLagIndex indicates transformation fracture.</w:t>
      </w:r>
    </w:p>
    <w:p>
      <w:pPr>
        <w:pStyle w:val="ListBullet"/>
      </w:pPr>
      <w:r>
        <w:t>High friction indicators plus low H indicate bypass and resentment risk (Toxic Enforcer patterns).</w:t>
      </w:r>
    </w:p>
    <w:p>
      <w:pPr>
        <w:pStyle w:val="ListBullet"/>
      </w:pPr>
      <w:r>
        <w:t>Critical-control failures (CNS&lt;threshold) trigger floor penalties and immediate remediation flags.</w:t>
      </w:r>
    </w:p>
    <w:p>
      <w:pPr>
        <w:pStyle w:val="Heading2"/>
      </w:pPr>
      <w:r>
        <w:t>9.2 Dependency graph and ‘effective capability’</w:t>
      </w:r>
    </w:p>
    <w:p>
      <w:r>
        <w:t>Cascade analysis is implemented as a transparent dependency graph rather than opaque prediction. It estimates how weaknesses in enabling axes reduce effective outcomes in dependent axes.</w:t>
      </w:r>
    </w:p>
    <w:p>
      <w:r>
        <w:rPr>
          <w:rFonts w:ascii="Courier New" w:hAnsi="Courier New"/>
          <w:sz w:val="18"/>
        </w:rPr>
        <w:t>Example dependency edges (illustrative):</w:t>
        <w:br/>
        <w:t>G -&gt; T (investment governance)</w:t>
        <w:br/>
        <w:t>L -&gt; T (defensible monitoring)</w:t>
        <w:br/>
        <w:t>V -&gt; T (targeted instrumentation)</w:t>
        <w:br/>
        <w:t>H -&gt; E (adherence and reporting)</w:t>
        <w:br/>
        <w:t>F -&gt; E (bypass pressure)</w:t>
        <w:br/>
        <w:t>W -&gt; (E,T,R) (change destabilizes operations)</w:t>
        <w:br/>
        <w:br/>
        <w:t>One implementation:</w:t>
        <w:br/>
        <w:t>Let s be vector of axis scores in [0,1]. Let D be a matrix of influence weights in [0,1].</w:t>
        <w:br/>
        <w:t>Compute weakness vector w = 1 - s.</w:t>
        <w:br/>
        <w:t>Propagate: w_eff = clamp(w + D·w, 0, 1)</w:t>
        <w:br/>
        <w:t>Effective scores: s_eff = 1 - w_eff</w:t>
        <w:br/>
        <w:t>Use s_eff for ‘effective capability’ reporting and roadmap prioritization (not for headline SI unless explicitly chosen).</w:t>
        <w:br/>
      </w:r>
    </w:p>
    <w:p>
      <w:pPr>
        <w:pStyle w:val="Heading1"/>
      </w:pPr>
      <w:r>
        <w:t>10. Cost of Inaction (Scenario-Based Ranges)</w:t>
      </w:r>
    </w:p>
    <w:p>
      <w:r>
        <w:t>Cost-of-inaction is communicated as ranges with explicit assumptions. Business owners supply impact inputs; the model supplies likelihood bands based on V and W.</w:t>
      </w:r>
    </w:p>
    <w:p>
      <w:r>
        <w:rPr>
          <w:rFonts w:ascii="Courier New" w:hAnsi="Courier New"/>
          <w:sz w:val="18"/>
        </w:rPr>
        <w:t>Scenario approach:</w:t>
        <w:br/>
        <w:t>1) Select scenario family (data theft, sabotage, fraud, external collusion).</w:t>
        <w:br/>
        <w:t>2) Determine crown jewel exposure band using V (low/medium/high exposure).</w:t>
        <w:br/>
        <w:t>3) Determine volatility band using ControlLagIndex (W).</w:t>
        <w:br/>
        <w:t>4) Use a likelihood band (e.g., 1-3%, 3-8%, 8-15%) calibrated per sector/size.</w:t>
        <w:br/>
        <w:t>5) Use business-provided impact range (e.g., €0.5M-€3M).</w:t>
        <w:br/>
        <w:t>6) ExpectedLossRange = LikelihoodBand × ImpactRange.</w:t>
        <w:br/>
        <w:t>7) Proposed control roadmap estimates reduction in exposure/likelihood bands; publish delta as ‘value at risk reduced’ (range).</w:t>
        <w:br/>
      </w:r>
    </w:p>
    <w:p>
      <w:pPr>
        <w:pStyle w:val="Heading1"/>
      </w:pPr>
      <w:r>
        <w:t>11. Archetype Engine (Probabilistic)</w:t>
      </w:r>
    </w:p>
    <w:p>
      <w:r>
        <w:t>Archetypes are computed as probabilities based on axis patterns, SI, and misalignment. Hybrids are allowed and marked tentative when CI is low.</w:t>
      </w:r>
    </w:p>
    <w:p>
      <w:r>
        <w:rPr>
          <w:rFonts w:ascii="Courier New" w:hAnsi="Courier New"/>
          <w:sz w:val="18"/>
        </w:rPr>
        <w:t>Example archetype scoring (normalize to probabilities):</w:t>
        <w:br/>
        <w:t>PaperDragon = 0.5×SP + 0.5×(1-OR) + 0.5×(1-SI)</w:t>
        <w:br/>
        <w:t>ShadowMature = 0.5×(1-SP) + 0.5×OR + 0.5×(1-SI) + 0.3×MIS_overall</w:t>
        <w:br/>
        <w:t>BlindTitan = 0.3×G + 0.3×T + 0.4×(1-V) + 0.3×(1-H)</w:t>
        <w:br/>
        <w:t>ToxicEnforcer = 0.4×T + 0.4×L + 0.6×(1-H)</w:t>
        <w:br/>
        <w:t>BalancedOperator = 0.4×OR + 0.2×SP + 0.4×SI + 0.2×H + 0.2×V</w:t>
        <w:br/>
        <w:br/>
        <w:t>Confidence gating:</w:t>
        <w:br/>
        <w:t>if CI &lt; 0.6: archetype label = 'tentative'</w:t>
        <w:br/>
      </w:r>
    </w:p>
    <w:p>
      <w:pPr>
        <w:pStyle w:val="Heading1"/>
      </w:pPr>
      <w:r>
        <w:t>12. Reporting and Service Triggers</w:t>
      </w:r>
    </w:p>
    <w:p>
      <w:pPr>
        <w:pStyle w:val="Heading2"/>
      </w:pPr>
      <w:r>
        <w:t>12.1 Executive outputs</w:t>
      </w:r>
    </w:p>
    <w:p>
      <w:pPr>
        <w:pStyle w:val="ListBullet"/>
      </w:pPr>
      <w:r>
        <w:t>9-axis fingerprint with confidence shading.</w:t>
      </w:r>
    </w:p>
    <w:p>
      <w:pPr>
        <w:pStyle w:val="ListBullet"/>
      </w:pPr>
      <w:r>
        <w:t>OR, SI, CI headlines (always publish all three).</w:t>
      </w:r>
    </w:p>
    <w:p>
      <w:pPr>
        <w:pStyle w:val="ListBullet"/>
      </w:pPr>
      <w:r>
        <w:t>Top 5 fractures (misalignment, control lag, friction-bypass, critical failures).</w:t>
      </w:r>
    </w:p>
    <w:p>
      <w:pPr>
        <w:pStyle w:val="ListBullet"/>
      </w:pPr>
      <w:r>
        <w:t>Archetype mix (probabilistic) and narrative.</w:t>
      </w:r>
    </w:p>
    <w:p>
      <w:pPr>
        <w:pStyle w:val="ListBullet"/>
      </w:pPr>
      <w:r>
        <w:t>Roadmap triggers and sequencing recommendations.</w:t>
      </w:r>
    </w:p>
    <w:p>
      <w:pPr>
        <w:pStyle w:val="Heading2"/>
      </w:pPr>
      <w:r>
        <w:t>12.2 Operational outputs</w:t>
      </w:r>
    </w:p>
    <w:p>
      <w:pPr>
        <w:pStyle w:val="ListBullet"/>
      </w:pPr>
      <w:r>
        <w:t>Node-level scores: CS(X), EC(X), MIS(X) for domains/functions/sub-capabilities.</w:t>
      </w:r>
    </w:p>
    <w:p>
      <w:pPr>
        <w:pStyle w:val="ListBullet"/>
      </w:pPr>
      <w:r>
        <w:t>Evidence backlog: where ET is below required for the current score.</w:t>
      </w:r>
    </w:p>
    <w:p>
      <w:pPr>
        <w:pStyle w:val="ListBullet"/>
      </w:pPr>
      <w:r>
        <w:t>Control lag report: high ADI drivers and lag reducers.</w:t>
      </w:r>
    </w:p>
    <w:p>
      <w:pPr>
        <w:pStyle w:val="ListBullet"/>
      </w:pPr>
      <w:r>
        <w:t>Friction report: top bypass drivers and ‘fast UX wins’.</w:t>
      </w:r>
    </w:p>
    <w:p>
      <w:pPr>
        <w:pStyle w:val="ListBullet"/>
      </w:pPr>
      <w:r>
        <w:t>Role disagreement map: where Security/HR/Legal disagree.</w:t>
      </w:r>
    </w:p>
    <w:p>
      <w:pPr>
        <w:pStyle w:val="Heading2"/>
      </w:pPr>
      <w:r>
        <w:t>12.3 Trigger rules (examples)</w:t>
      </w:r>
    </w:p>
    <w:p>
      <w:r>
        <w:rPr>
          <w:rFonts w:ascii="Courier New" w:hAnsi="Courier New"/>
          <w:sz w:val="18"/>
        </w:rPr>
        <w:t>Example triggers:</w:t>
        <w:br/>
        <w:t>If L &lt; 0.55 OR AxisMIS(L) &gt; 0.35 -&gt; Legal &amp; Privacy Defensibility Audit (+ transparency remediation)</w:t>
        <w:br/>
        <w:t>If H &lt; 0.55 -&gt; Cultural Health &amp; Behavioral Design Workshop (+ manager intervention pathways)</w:t>
        <w:br/>
        <w:t>If V &lt; 0.55 -&gt; Data Discovery &amp; Crown Jewel + Critical Role Mapping</w:t>
        <w:br/>
        <w:t>If F &lt; 0.55 -&gt; Security UX &amp; Operational Optimization (reduce bypass/overrides)</w:t>
        <w:br/>
        <w:t>If ControlLagIndex high -&gt; Control Lag Reduction Sprint (policy, telemetry, access, playbooks)</w:t>
        <w:br/>
        <w:t>If R &lt; 0.55 OR SI &lt; 0.70 -&gt; Insider Resilience Playbooks + Tabletop Exercise</w:t>
        <w:br/>
        <w:t>If MIS_overall high -&gt; Operating Model Alignment Workshop</w:t>
        <w:br/>
      </w:r>
    </w:p>
    <w:p>
      <w:pPr>
        <w:pStyle w:val="Heading1"/>
      </w:pPr>
      <w:r>
        <w:t>13. Validation, Calibration, and Governance</w:t>
      </w:r>
    </w:p>
    <w:p>
      <w:pPr>
        <w:pStyle w:val="ListBullet"/>
      </w:pPr>
      <w:r>
        <w:t>Pilot calibration on a representative sample of organizations (5-10) to tune multipliers, recency curves, penalties, and role weights.</w:t>
      </w:r>
    </w:p>
    <w:p>
      <w:pPr>
        <w:pStyle w:val="ListBullet"/>
      </w:pPr>
      <w:r>
        <w:t>Inter-rater reliability checks: two assessors score the same evidence set; tune rubrics until acceptable agreement.</w:t>
      </w:r>
    </w:p>
    <w:p>
      <w:pPr>
        <w:pStyle w:val="ListBullet"/>
      </w:pPr>
      <w:r>
        <w:t>Version control: all rubrics, thresholds, weights, and overlays are versioned and included in report metadata.</w:t>
      </w:r>
    </w:p>
    <w:p>
      <w:pPr>
        <w:pStyle w:val="ListBullet"/>
      </w:pPr>
      <w:r>
        <w:t>Auditability: store a scoring trace that can reproduce every computed number from raw inputs.</w:t>
      </w:r>
    </w:p>
    <w:p>
      <w:pPr>
        <w:pStyle w:val="Heading1"/>
      </w:pPr>
      <w:r>
        <w:t>14. Legal, Privacy, and Ethics Requirements</w:t>
      </w:r>
    </w:p>
    <w:p>
      <w:r>
        <w:t>The methodology explicitly tests lawful basis, transparency, minimization, retention, access auditing, and proportionality. Protected reporting (whistleblowing) is treated as a protective mechanism, not automatically as a threat signal. Assess confidentiality controls, anti-retaliation enforcement, and escalation governance.</w:t>
      </w:r>
    </w:p>
    <w:p>
      <w:pPr>
        <w:pStyle w:val="ListBullet"/>
      </w:pPr>
      <w:r>
        <w:t>Separation of duties for monitoring access (least privilege + audited access).</w:t>
      </w:r>
    </w:p>
    <w:p>
      <w:pPr>
        <w:pStyle w:val="ListBullet"/>
      </w:pPr>
      <w:r>
        <w:t>Clear employee communications about monitoring scope and purpose.</w:t>
      </w:r>
    </w:p>
    <w:p>
      <w:pPr>
        <w:pStyle w:val="ListBullet"/>
      </w:pPr>
      <w:r>
        <w:t>Documented DPIA/LIA where applicable and retention schedules.</w:t>
      </w:r>
    </w:p>
    <w:p>
      <w:pPr>
        <w:pStyle w:val="ListBullet"/>
      </w:pPr>
      <w:r>
        <w:t>Controls to prevent misuse of monitoring data against whistleblowers.</w:t>
      </w:r>
    </w:p>
    <w:p>
      <w:pPr>
        <w:pStyle w:val="Heading1"/>
      </w:pPr>
      <w:r>
        <w:t>Appendix A: Default Parameter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EQ_base tiers</w:t>
            </w:r>
          </w:p>
        </w:tc>
        <w:tc>
          <w:tcPr>
            <w:tcW w:type="dxa" w:w="2880"/>
          </w:tcPr>
          <w:p>
            <w:r>
              <w:t>A=0.40, B=0.70, C=0.90, D=1.00</w:t>
            </w:r>
          </w:p>
        </w:tc>
        <w:tc>
          <w:tcPr>
            <w:tcW w:type="dxa" w:w="2880"/>
          </w:tcPr>
          <w:p>
            <w:r>
              <w:t>Multiply by SA; tune during calibration.</w:t>
            </w:r>
          </w:p>
        </w:tc>
      </w:tr>
      <w:tr>
        <w:tc>
          <w:tcPr>
            <w:tcW w:type="dxa" w:w="2880"/>
          </w:tcPr>
          <w:p>
            <w:r>
              <w:t>Evidence caps</w:t>
            </w:r>
          </w:p>
        </w:tc>
        <w:tc>
          <w:tcPr>
            <w:tcW w:type="dxa" w:w="2880"/>
          </w:tcPr>
          <w:p>
            <w:r>
              <w:t>A cap=2, B cap=3, C/D cap=4</w:t>
            </w:r>
          </w:p>
        </w:tc>
        <w:tc>
          <w:tcPr>
            <w:tcW w:type="dxa" w:w="2880"/>
          </w:tcPr>
          <w:p>
            <w:r>
              <w:t>Prevents policy-only inflation.</w:t>
            </w:r>
          </w:p>
        </w:tc>
      </w:tr>
      <w:tr>
        <w:tc>
          <w:tcPr>
            <w:tcW w:type="dxa" w:w="2880"/>
          </w:tcPr>
          <w:p>
            <w:r>
              <w:t>Recency curves</w:t>
            </w:r>
          </w:p>
        </w:tc>
        <w:tc>
          <w:tcPr>
            <w:tcW w:type="dxa" w:w="2880"/>
          </w:tcPr>
          <w:p>
            <w:r>
              <w:t>Operational: 90/180/365; Governance: 180/365/730</w:t>
            </w:r>
          </w:p>
        </w:tc>
        <w:tc>
          <w:tcPr>
            <w:tcW w:type="dxa" w:w="2880"/>
          </w:tcPr>
          <w:p>
            <w:r>
              <w:t>RF decreases beyond windows.</w:t>
            </w:r>
          </w:p>
        </w:tc>
      </w:tr>
      <w:tr>
        <w:tc>
          <w:tcPr>
            <w:tcW w:type="dxa" w:w="2880"/>
          </w:tcPr>
          <w:p>
            <w:r>
              <w:t>Aggregation blend</w:t>
            </w:r>
          </w:p>
        </w:tc>
        <w:tc>
          <w:tcPr>
            <w:tcW w:type="dxa" w:w="2880"/>
          </w:tcPr>
          <w:p>
            <w:r>
              <w:t>CS=0.6×WHM + 0.4×WM - FP</w:t>
            </w:r>
          </w:p>
        </w:tc>
        <w:tc>
          <w:tcPr>
            <w:tcW w:type="dxa" w:w="2880"/>
          </w:tcPr>
          <w:p>
            <w:r>
              <w:t>Penalizes weak links; avoid pure averages.</w:t>
            </w:r>
          </w:p>
        </w:tc>
      </w:tr>
      <w:tr>
        <w:tc>
          <w:tcPr>
            <w:tcW w:type="dxa" w:w="2880"/>
          </w:tcPr>
          <w:p>
            <w:r>
              <w:t>Epsilon</w:t>
            </w:r>
          </w:p>
        </w:tc>
        <w:tc>
          <w:tcPr>
            <w:tcW w:type="dxa" w:w="2880"/>
          </w:tcPr>
          <w:p>
            <w:r>
              <w:t>ε=0.05</w:t>
            </w:r>
          </w:p>
        </w:tc>
        <w:tc>
          <w:tcPr>
            <w:tcW w:type="dxa" w:w="2880"/>
          </w:tcPr>
          <w:p>
            <w:r>
              <w:t>Avoids division by zero.</w:t>
            </w:r>
          </w:p>
        </w:tc>
      </w:tr>
      <w:tr>
        <w:tc>
          <w:tcPr>
            <w:tcW w:type="dxa" w:w="2880"/>
          </w:tcPr>
          <w:p>
            <w:r>
              <w:t>SI thresholds</w:t>
            </w:r>
          </w:p>
        </w:tc>
        <w:tc>
          <w:tcPr>
            <w:tcW w:type="dxa" w:w="2880"/>
          </w:tcPr>
          <w:p>
            <w:r>
              <w:t>SI&lt;0.7 lopsided; SI&lt;0.5 major fracture</w:t>
            </w:r>
          </w:p>
        </w:tc>
        <w:tc>
          <w:tcPr>
            <w:tcW w:type="dxa" w:w="2880"/>
          </w:tcPr>
          <w:p>
            <w:r>
              <w:t>Use alongside OR and SP.</w:t>
            </w:r>
          </w:p>
        </w:tc>
      </w:tr>
      <w:tr>
        <w:tc>
          <w:tcPr>
            <w:tcW w:type="dxa" w:w="2880"/>
          </w:tcPr>
          <w:p>
            <w:r>
              <w:t>CI weights</w:t>
            </w:r>
          </w:p>
        </w:tc>
        <w:tc>
          <w:tcPr>
            <w:tcW w:type="dxa" w:w="2880"/>
          </w:tcPr>
          <w:p>
            <w:r>
              <w:t>0.5 evidence, 0.3 role, 0.2 depth</w:t>
            </w:r>
          </w:p>
        </w:tc>
        <w:tc>
          <w:tcPr>
            <w:tcW w:type="dxa" w:w="2880"/>
          </w:tcPr>
          <w:p>
            <w:r>
              <w:t>Publish CI with all key scores.</w:t>
            </w:r>
          </w:p>
        </w:tc>
      </w:tr>
      <w:tr>
        <w:tc>
          <w:tcPr>
            <w:tcW w:type="dxa" w:w="2880"/>
          </w:tcPr>
          <w:p>
            <w:r>
              <w:t>MIS method</w:t>
            </w:r>
          </w:p>
        </w:tc>
        <w:tc>
          <w:tcPr>
            <w:tcW w:type="dxa" w:w="2880"/>
          </w:tcPr>
          <w:p>
            <w:r>
              <w:t>stdev/0.25 or range</w:t>
            </w:r>
          </w:p>
        </w:tc>
        <w:tc>
          <w:tcPr>
            <w:tcW w:type="dxa" w:w="2880"/>
          </w:tcPr>
          <w:p>
            <w:r>
              <w:t>Select one method globally for consistency.</w:t>
            </w:r>
          </w:p>
        </w:tc>
      </w:tr>
      <w:tr>
        <w:tc>
          <w:tcPr>
            <w:tcW w:type="dxa" w:w="2880"/>
          </w:tcPr>
          <w:p>
            <w:r>
              <w:t>Overlay bounds</w:t>
            </w:r>
          </w:p>
        </w:tc>
        <w:tc>
          <w:tcPr>
            <w:tcW w:type="dxa" w:w="2880"/>
          </w:tcPr>
          <w:p>
            <w:r>
              <w:t>0.75 to 2.0</w:t>
            </w:r>
          </w:p>
        </w:tc>
        <w:tc>
          <w:tcPr>
            <w:tcW w:type="dxa" w:w="2880"/>
          </w:tcPr>
          <w:p>
            <w:r>
              <w:t>Keep multipliers bounded and disclosed.</w:t>
            </w:r>
          </w:p>
        </w:tc>
      </w:tr>
    </w:tbl>
    <w:p>
      <w:pPr>
        <w:pStyle w:val="Heading1"/>
      </w:pPr>
      <w:r>
        <w:t>Appendix B: Worked Example (illustrative)</w:t>
      </w:r>
    </w:p>
    <w:p>
      <w:r>
        <w:t>This example demonstrates how evidence gating and aggregation work. Numbers are illustrative.</w:t>
      </w:r>
    </w:p>
    <w:p>
      <w:r>
        <w:rPr>
          <w:rFonts w:ascii="Courier New" w:hAnsi="Courier New"/>
          <w:sz w:val="18"/>
        </w:rPr>
        <w:t>Assume question q answered by Security and Legal:</w:t>
        <w:br/>
        <w:t>Security: BS=4, ET=C, SA=0.7, RD=60, SC=0.8</w:t>
        <w:br/>
        <w:t>Legal:    BS=3, ET=B, SA=1.0, RD=120, SC=1.0</w:t>
        <w:br/>
        <w:t>Operational question -&gt; RF(Sec)=1.0, RF(Legal)=0.85</w:t>
        <w:br/>
        <w:t>Caps: Cap(C)=4, Cap(B)=3 -&gt; BS_cap(Sec)=4, BS_cap(Legal)=3</w:t>
        <w:br/>
        <w:br/>
        <w:t>EQ(Sec)=0.90*0.7=0.63</w:t>
        <w:br/>
        <w:t>EQ(Legal)=0.70*1.0=0.70</w:t>
        <w:br/>
        <w:br/>
        <w:t>AS(Sec)=4*min(0.63,1.0,0.8)=4*0.63=2.52 -&gt; NAS=0.63</w:t>
        <w:br/>
        <w:t>AS(Legal)=3*min(0.70,0.85,1.0)=3*0.70=2.10 -&gt; NAS=0.525</w:t>
        <w:br/>
        <w:br/>
        <w:t>Role weights RW: Sec=0.7, Legal=0.3</w:t>
        <w:br/>
        <w:t>CNS=0.7*0.63 + 0.3*0.525 = 0.5985</w:t>
        <w:br/>
        <w:t>MIS(range)=0.63-0.525=0.105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