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3372245"/>
        <w:placeholder>
          <w:docPart w:val="E01A95C5ECCE455D94D96CF61D0C7271"/>
        </w:placeholder>
        <w:dataBinding w:prefixMappings="xmlns:ns0='http://schemas.openxmlformats.org/package/2006/metadata/core-properties' xmlns:ns1='http://purl.org/dc/elements/1.1/'" w:xpath="/ns0:coreProperties[1]/ns1:title[1]" w:storeItemID="{6C3C8BC8-F283-45AE-878A-BAB7291924A1}"/>
        <w:text/>
      </w:sdtPr>
      <w:sdtEndPr/>
      <w:sdtContent>
        <w:p w14:paraId="1ACFA050" w14:textId="6C4B08C1" w:rsidR="00EA5B8B" w:rsidRDefault="00EF5414">
          <w:pPr>
            <w:pStyle w:val="Title"/>
          </w:pPr>
          <w:r>
            <w:t>2023 pentest</w:t>
          </w:r>
        </w:p>
      </w:sdtContent>
    </w:sdt>
    <w:p w14:paraId="2A45D8A2" w14:textId="27D3BB13" w:rsidR="00EA5B8B" w:rsidRDefault="00C14117">
      <w:pPr>
        <w:pStyle w:val="Subtitle"/>
      </w:pPr>
      <w:sdt>
        <w:sdtPr>
          <w:id w:val="1161806749"/>
          <w:placeholder>
            <w:docPart w:val="3E09CEB6A5B147EE9A090CF000923232"/>
          </w:placeholder>
          <w:dataBinding w:prefixMappings="xmlns:ns0='http://schemas.openxmlformats.org/package/2006/metadata/core-properties' xmlns:ns1='http://purl.org/dc/elements/1.1/'" w:xpath="/ns0:coreProperties[1]/ns1:subject[1]" w:storeItemID="{6C3C8BC8-F283-45AE-878A-BAB7291924A1}"/>
          <w:text/>
        </w:sdtPr>
        <w:sdtEndPr/>
        <w:sdtContent>
          <w:r w:rsidR="00EF5414">
            <w:t xml:space="preserve">pre-test </w:t>
          </w:r>
          <w:r w:rsidR="00123415">
            <w:t>write-up</w:t>
          </w:r>
        </w:sdtContent>
      </w:sdt>
      <w:r w:rsidR="00042C92">
        <w:t xml:space="preserve"> </w:t>
      </w:r>
    </w:p>
    <w:p w14:paraId="08049A66" w14:textId="28245DF3" w:rsidR="00EF5414" w:rsidRDefault="00EF5414" w:rsidP="00EF5414">
      <w:pPr>
        <w:pStyle w:val="Heading1"/>
      </w:pPr>
      <w:r>
        <w:t>Executive summary</w:t>
      </w:r>
    </w:p>
    <w:p w14:paraId="386DC5A4" w14:textId="3A0A0A8F" w:rsidR="009B23B7" w:rsidRDefault="00AF76E2" w:rsidP="009B23B7">
      <w:pPr>
        <w:pStyle w:val="Heading2"/>
      </w:pPr>
      <w:r>
        <w:t xml:space="preserve">- </w:t>
      </w:r>
      <w:r w:rsidR="009B23B7">
        <w:t>Objective</w:t>
      </w:r>
      <w:r>
        <w:t>:</w:t>
      </w:r>
    </w:p>
    <w:p w14:paraId="13BFBD87" w14:textId="3499B6C2" w:rsidR="009B23B7" w:rsidRPr="009B23B7" w:rsidRDefault="009B23B7" w:rsidP="00D84FFA">
      <w:r>
        <w:t xml:space="preserve">The purpose and objective of this penetration test is to enumerate the attack surface of </w:t>
      </w:r>
      <w:r w:rsidR="00C14117">
        <w:t>[org]’</w:t>
      </w:r>
      <w:r>
        <w:t xml:space="preserve">s Information Services and Applications. </w:t>
      </w:r>
      <w:r w:rsidR="00AF76E2">
        <w:t xml:space="preserve">The digital infrastructure of the </w:t>
      </w:r>
      <w:r w:rsidR="00C14117">
        <w:t>company</w:t>
      </w:r>
      <w:r w:rsidR="00AF76E2">
        <w:t xml:space="preserve"> will be subject to an extensive series of cyber security attacks meant to gain a better understanding of the holes present in </w:t>
      </w:r>
      <w:r w:rsidR="00D84FFA">
        <w:t>its</w:t>
      </w:r>
      <w:r w:rsidR="00AF76E2">
        <w:t xml:space="preserve"> existing security </w:t>
      </w:r>
      <w:r w:rsidR="00D84FFA">
        <w:t xml:space="preserve">measures. Outlined below are the Scope, Methodology, and Rules of Engagement such that maximum information can be extracted from the penetration test with minimal risk to the service and daily functionalities of </w:t>
      </w:r>
      <w:r w:rsidR="00C14117">
        <w:t>[org]</w:t>
      </w:r>
      <w:r w:rsidR="00D84FFA">
        <w:t xml:space="preserve">’s information services. The findings of this examination will be used to harden </w:t>
      </w:r>
      <w:r w:rsidR="00C14117">
        <w:t>[org]</w:t>
      </w:r>
      <w:r w:rsidR="00D84FFA">
        <w:t>’s defenses towards a resilient cyber infrastructure.</w:t>
      </w:r>
    </w:p>
    <w:p w14:paraId="51519EB1" w14:textId="77777777" w:rsidR="00EF5414" w:rsidRDefault="00EF5414" w:rsidP="00AF76E2">
      <w:pPr>
        <w:pStyle w:val="Heading2"/>
      </w:pPr>
      <w:r w:rsidRPr="00EF5414">
        <w:t xml:space="preserve">- Scope: </w:t>
      </w:r>
    </w:p>
    <w:p w14:paraId="3E5F647D" w14:textId="30FF3AC5" w:rsidR="00D84FFA" w:rsidRPr="00D84FFA" w:rsidRDefault="00D84FFA" w:rsidP="00D84FFA">
      <w:r>
        <w:t xml:space="preserve">The scope of this penetration test is equal to the attack surface of </w:t>
      </w:r>
      <w:r w:rsidR="00C14117">
        <w:t>[org]</w:t>
      </w:r>
      <w:r>
        <w:t xml:space="preserve">’s cyber infrastructure. Barring that which is excluded by the Rules of Engagement, this includes the </w:t>
      </w:r>
      <w:r w:rsidR="00C14117">
        <w:t>[org]’</w:t>
      </w:r>
      <w:r>
        <w:t xml:space="preserve">s web services, virtual databases, active directory, password-protected Wi-Fi access points, ARP tables, mobile devices, the Avaya phone system, Visio camera systems, </w:t>
      </w:r>
      <w:r w:rsidR="00133AB5">
        <w:t>Net motion VPN access, shared file servers, and other information services.</w:t>
      </w:r>
    </w:p>
    <w:p w14:paraId="7870A949" w14:textId="77777777" w:rsidR="00EF5414" w:rsidRDefault="00EF5414" w:rsidP="00AF76E2">
      <w:pPr>
        <w:pStyle w:val="Heading2"/>
      </w:pPr>
      <w:r w:rsidRPr="00EF5414">
        <w:t xml:space="preserve">- Methodology: </w:t>
      </w:r>
    </w:p>
    <w:p w14:paraId="1DDDBEE6" w14:textId="04647563" w:rsidR="00AF76E2" w:rsidRDefault="00133AB5" w:rsidP="00AF76E2">
      <w:r>
        <w:t xml:space="preserve">A testing account has been created for the purpose of this test with variable privileges and access rights that will be used as a stepping-off point for most attacks. All tools are held on a virtualized Kali Linux machine with IP address </w:t>
      </w:r>
      <w:r w:rsidR="00C14117">
        <w:t>[</w:t>
      </w:r>
      <w:proofErr w:type="spellStart"/>
      <w:r w:rsidR="00C14117">
        <w:t>ip</w:t>
      </w:r>
      <w:proofErr w:type="spellEnd"/>
      <w:r w:rsidR="00C14117">
        <w:t>]</w:t>
      </w:r>
      <w:r>
        <w:t xml:space="preserve"> running through and contained within a virtual switch on the machine with FQDN </w:t>
      </w:r>
      <w:r w:rsidR="00C14117">
        <w:t>[name</w:t>
      </w:r>
      <w:proofErr w:type="gramStart"/>
      <w:r w:rsidR="00C14117">
        <w:t>].[</w:t>
      </w:r>
      <w:proofErr w:type="gramEnd"/>
      <w:r w:rsidR="00C14117">
        <w:t>domain]</w:t>
      </w:r>
      <w:r>
        <w:t xml:space="preserve">.local and IP </w:t>
      </w:r>
      <w:r w:rsidR="00C14117">
        <w:t>[</w:t>
      </w:r>
      <w:proofErr w:type="spellStart"/>
      <w:r w:rsidR="00C14117">
        <w:t>ip</w:t>
      </w:r>
      <w:proofErr w:type="spellEnd"/>
      <w:r w:rsidR="00C14117">
        <w:t>]</w:t>
      </w:r>
      <w:r>
        <w:t>.</w:t>
      </w:r>
    </w:p>
    <w:p w14:paraId="542A27CF" w14:textId="464D59C4" w:rsidR="00133AB5" w:rsidRDefault="00133AB5" w:rsidP="00AF76E2">
      <w:r>
        <w:t>Throughout the penetration test, the test account will either gain or be given higher levels of privilege and access for the purpose of demonstrating “defense-in-depth,” which, according to NIST</w:t>
      </w:r>
      <w:r w:rsidR="00D2674F">
        <w:t xml:space="preserve">’s computer security resource center, is an information security strategy which establishes layered barriers </w:t>
      </w:r>
      <w:r w:rsidR="00AC3988">
        <w:t>meant to catch attacks that may be missed by a previous layer.</w:t>
      </w:r>
      <w:r w:rsidR="00AC3988">
        <w:rPr>
          <w:vertAlign w:val="superscript"/>
        </w:rPr>
        <w:t xml:space="preserve">1 </w:t>
      </w:r>
    </w:p>
    <w:p w14:paraId="73594182" w14:textId="51778D00" w:rsidR="00AC3988" w:rsidRDefault="00AC3988" w:rsidP="00AF76E2">
      <w:r>
        <w:t>Specifically, the methodology of the test will take the form outlined by OWASP’s Penetration Testing Execution Standard (PTES)</w:t>
      </w:r>
      <w:r w:rsidR="00D86B65">
        <w:rPr>
          <w:vertAlign w:val="superscript"/>
        </w:rPr>
        <w:t>2</w:t>
      </w:r>
      <w:r>
        <w:t>:</w:t>
      </w:r>
    </w:p>
    <w:p w14:paraId="49D76AAE" w14:textId="77777777" w:rsidR="00AC3988" w:rsidRPr="00AC3988" w:rsidRDefault="00AC3988" w:rsidP="00AC3988">
      <w:pPr>
        <w:numPr>
          <w:ilvl w:val="0"/>
          <w:numId w:val="2"/>
        </w:numPr>
      </w:pPr>
      <w:r w:rsidRPr="00AC3988">
        <w:t>Pre-engagement Interactions</w:t>
      </w:r>
    </w:p>
    <w:p w14:paraId="68247258" w14:textId="77777777" w:rsidR="00AC3988" w:rsidRPr="00AC3988" w:rsidRDefault="00AC3988" w:rsidP="00AC3988">
      <w:pPr>
        <w:numPr>
          <w:ilvl w:val="0"/>
          <w:numId w:val="2"/>
        </w:numPr>
      </w:pPr>
      <w:r w:rsidRPr="00AC3988">
        <w:t>Intelligence Gathering</w:t>
      </w:r>
    </w:p>
    <w:p w14:paraId="594391B4" w14:textId="77777777" w:rsidR="00AC3988" w:rsidRPr="00AC3988" w:rsidRDefault="00AC3988" w:rsidP="00AC3988">
      <w:pPr>
        <w:numPr>
          <w:ilvl w:val="0"/>
          <w:numId w:val="2"/>
        </w:numPr>
      </w:pPr>
      <w:r w:rsidRPr="00AC3988">
        <w:t>Threat Modeling</w:t>
      </w:r>
    </w:p>
    <w:p w14:paraId="10398A46" w14:textId="77777777" w:rsidR="00AC3988" w:rsidRPr="00AC3988" w:rsidRDefault="00AC3988" w:rsidP="00AC3988">
      <w:pPr>
        <w:numPr>
          <w:ilvl w:val="0"/>
          <w:numId w:val="2"/>
        </w:numPr>
      </w:pPr>
      <w:r w:rsidRPr="00AC3988">
        <w:lastRenderedPageBreak/>
        <w:t>Vulnerability Analysis</w:t>
      </w:r>
    </w:p>
    <w:p w14:paraId="0A7A57C8" w14:textId="77777777" w:rsidR="00AC3988" w:rsidRPr="00AC3988" w:rsidRDefault="00AC3988" w:rsidP="00AC3988">
      <w:pPr>
        <w:numPr>
          <w:ilvl w:val="0"/>
          <w:numId w:val="2"/>
        </w:numPr>
      </w:pPr>
      <w:r w:rsidRPr="00AC3988">
        <w:t>Exploitation</w:t>
      </w:r>
    </w:p>
    <w:p w14:paraId="1286378D" w14:textId="77777777" w:rsidR="00AC3988" w:rsidRPr="00AC3988" w:rsidRDefault="00AC3988" w:rsidP="00AC3988">
      <w:pPr>
        <w:numPr>
          <w:ilvl w:val="0"/>
          <w:numId w:val="2"/>
        </w:numPr>
      </w:pPr>
      <w:r w:rsidRPr="00AC3988">
        <w:t>Post Exploitation</w:t>
      </w:r>
    </w:p>
    <w:p w14:paraId="6A144BC2" w14:textId="3610497C" w:rsidR="00AC3988" w:rsidRPr="00AC3988" w:rsidRDefault="00AC3988" w:rsidP="00AF76E2">
      <w:pPr>
        <w:numPr>
          <w:ilvl w:val="0"/>
          <w:numId w:val="2"/>
        </w:numPr>
      </w:pPr>
      <w:r w:rsidRPr="00AC3988">
        <w:t>Reporting</w:t>
      </w:r>
    </w:p>
    <w:p w14:paraId="1B307D27" w14:textId="1A62EA77" w:rsidR="00AC3988" w:rsidRDefault="00EF5414">
      <w:r w:rsidRPr="00AF76E2">
        <w:rPr>
          <w:rStyle w:val="Heading2Char"/>
        </w:rPr>
        <w:t>- R</w:t>
      </w:r>
      <w:r w:rsidR="00123415" w:rsidRPr="00AF76E2">
        <w:rPr>
          <w:rStyle w:val="Heading2Char"/>
        </w:rPr>
        <w:t>ules of Engagement</w:t>
      </w:r>
      <w:r w:rsidR="00C14117">
        <w:rPr>
          <w:rStyle w:val="Heading2Char"/>
        </w:rPr>
        <w:t xml:space="preserve"> (EXAMPLE)</w:t>
      </w:r>
      <w:r w:rsidR="00123415" w:rsidRPr="00AF76E2">
        <w:rPr>
          <w:rStyle w:val="Heading2Char"/>
        </w:rPr>
        <w:t>:</w:t>
      </w:r>
      <w:r w:rsidR="00123415">
        <w:t xml:space="preserve"> </w:t>
      </w:r>
    </w:p>
    <w:p w14:paraId="65B8FD86" w14:textId="582A5392" w:rsidR="00EF5414" w:rsidRDefault="00AC3988">
      <w:r>
        <w:t xml:space="preserve">Aside from the </w:t>
      </w:r>
      <w:proofErr w:type="spellStart"/>
      <w:r>
        <w:t>Pentester’s</w:t>
      </w:r>
      <w:proofErr w:type="spellEnd"/>
      <w:r>
        <w:t xml:space="preserve"> Rules of Engagement outlined by OWASP</w:t>
      </w:r>
      <w:r>
        <w:rPr>
          <w:vertAlign w:val="superscript"/>
        </w:rPr>
        <w:t>2</w:t>
      </w:r>
      <w:r>
        <w:t>, z</w:t>
      </w:r>
      <w:r w:rsidR="00123415">
        <w:t xml:space="preserve">ero service impact </w:t>
      </w:r>
      <w:r>
        <w:t xml:space="preserve">may be tolerated by the attacks. This extends to </w:t>
      </w:r>
      <w:r w:rsidR="00123415">
        <w:t xml:space="preserve">such </w:t>
      </w:r>
      <w:r>
        <w:t xml:space="preserve">attacks </w:t>
      </w:r>
      <w:r w:rsidR="00123415">
        <w:t>as Denial of Service</w:t>
      </w:r>
      <w:r w:rsidR="00D86B65">
        <w:t xml:space="preserve"> and Distributed Denial of Services wherein information systems are intentionally overloaded with internet traffic using APR pings to deny accessibility to those services.</w:t>
      </w:r>
    </w:p>
    <w:p w14:paraId="05CD30B0" w14:textId="4EEF57EC" w:rsidR="00D86B65" w:rsidRDefault="00D86B65">
      <w:r>
        <w:t xml:space="preserve">Also </w:t>
      </w:r>
      <w:r w:rsidR="00C14117">
        <w:t>‘</w:t>
      </w:r>
      <w:r>
        <w:t>off</w:t>
      </w:r>
      <w:r w:rsidR="00C14117">
        <w:t>-</w:t>
      </w:r>
      <w:r>
        <w:t>the</w:t>
      </w:r>
      <w:r w:rsidR="00C14117">
        <w:t>-</w:t>
      </w:r>
      <w:r>
        <w:t>table</w:t>
      </w:r>
      <w:r w:rsidR="00C14117">
        <w:t>’</w:t>
      </w:r>
      <w:r>
        <w:t xml:space="preserve"> is social engineering attacks and phishing (barring explicit approval from the Information Services Director and/or </w:t>
      </w:r>
      <w:r w:rsidR="00C14117">
        <w:t>other authorized persons</w:t>
      </w:r>
      <w:r>
        <w:t>).</w:t>
      </w:r>
    </w:p>
    <w:p w14:paraId="61F2F67E" w14:textId="3D55F3F8" w:rsidR="00D86B65" w:rsidRDefault="00D86B65">
      <w:r>
        <w:t>Finally, all PII will be safeguarded and left in its encrypted state wherever applicable, all HIPPA rules and regulations will be followed</w:t>
      </w:r>
      <w:r>
        <w:rPr>
          <w:vertAlign w:val="superscript"/>
        </w:rPr>
        <w:t>3</w:t>
      </w:r>
      <w:r w:rsidR="00042C92">
        <w:rPr>
          <w:vertAlign w:val="superscript"/>
        </w:rPr>
        <w:t>-</w:t>
      </w:r>
      <w:r>
        <w:t>, no state nor federal information security laws will be violated</w:t>
      </w:r>
      <w:r w:rsidR="00042C92" w:rsidRPr="00042C92">
        <w:rPr>
          <w:vertAlign w:val="superscript"/>
        </w:rPr>
        <w:t>4-15</w:t>
      </w:r>
      <w:r>
        <w:t>, and no confidential information will be altered, read, or otherwise compromised without notice to the proper authorities.</w:t>
      </w:r>
    </w:p>
    <w:p w14:paraId="7609E187" w14:textId="1F617BD6" w:rsidR="00D86B65" w:rsidRDefault="00D86B65" w:rsidP="00D86B65">
      <w:pPr>
        <w:pStyle w:val="Heading1"/>
      </w:pPr>
      <w:r>
        <w:t>References:</w:t>
      </w:r>
    </w:p>
    <w:p w14:paraId="03E04CA0" w14:textId="2EE83910" w:rsidR="00D86B65" w:rsidRDefault="00D86B65" w:rsidP="00D86B65">
      <w:pPr>
        <w:pStyle w:val="ListParagraph"/>
        <w:numPr>
          <w:ilvl w:val="0"/>
          <w:numId w:val="3"/>
        </w:numPr>
      </w:pPr>
      <w:r>
        <w:t xml:space="preserve">(NIST, 2022) </w:t>
      </w:r>
      <w:hyperlink r:id="rId7" w:history="1">
        <w:r w:rsidRPr="00A36DDF">
          <w:rPr>
            <w:rStyle w:val="Hyperlink"/>
          </w:rPr>
          <w:t>https://csrc.nist.gov/glossary/term/defense_in_depth</w:t>
        </w:r>
      </w:hyperlink>
    </w:p>
    <w:p w14:paraId="0EDA1A36" w14:textId="7FA271C0" w:rsidR="00D86B65" w:rsidRDefault="00D86B65" w:rsidP="00D86B65">
      <w:pPr>
        <w:pStyle w:val="ListParagraph"/>
        <w:numPr>
          <w:ilvl w:val="0"/>
          <w:numId w:val="3"/>
        </w:numPr>
      </w:pPr>
      <w:r>
        <w:t xml:space="preserve">(OWASP, 2023) </w:t>
      </w:r>
      <w:hyperlink r:id="rId8" w:history="1">
        <w:r w:rsidRPr="00A36DDF">
          <w:rPr>
            <w:rStyle w:val="Hyperlink"/>
          </w:rPr>
          <w:t>https://owasp.org/www-project-web-security-testing-guide/latest/3-The_OWASP_Testing_Framework/1-Penetration_Testing_Methodologies</w:t>
        </w:r>
      </w:hyperlink>
    </w:p>
    <w:p w14:paraId="5812A034" w14:textId="79FAB2B9" w:rsidR="00042C92" w:rsidRPr="00042C92" w:rsidRDefault="00D86B65" w:rsidP="00042C92">
      <w:pPr>
        <w:pStyle w:val="ListParagraph"/>
        <w:numPr>
          <w:ilvl w:val="0"/>
          <w:numId w:val="3"/>
        </w:numPr>
      </w:pPr>
      <w:r>
        <w:t xml:space="preserve">(Health and Human Services, 2023) </w:t>
      </w:r>
      <w:hyperlink r:id="rId9" w:history="1">
        <w:r w:rsidR="00042C92" w:rsidRPr="00A36DDF">
          <w:rPr>
            <w:rStyle w:val="Hyperlink"/>
          </w:rPr>
          <w:t>https://www.hhs.gov/hipaa/for-professionals/security/guidance/cybersecurity/index.html</w:t>
        </w:r>
      </w:hyperlink>
    </w:p>
    <w:p w14:paraId="4AB4351A" w14:textId="06CD8B42" w:rsidR="00042C92" w:rsidRPr="00042C92" w:rsidRDefault="00042C92" w:rsidP="00042C92">
      <w:pPr>
        <w:pStyle w:val="ListParagraph"/>
        <w:numPr>
          <w:ilvl w:val="0"/>
          <w:numId w:val="3"/>
        </w:numPr>
      </w:pPr>
      <w:r w:rsidRPr="00042C92">
        <w:t>(CDC, 2022), </w:t>
      </w:r>
      <w:hyperlink r:id="rId10" w:history="1">
        <w:r w:rsidRPr="00A36DDF">
          <w:rPr>
            <w:rStyle w:val="Hyperlink"/>
          </w:rPr>
          <w:t>https://www.cdc.gov/phlp/publications/topic/hipaa.html</w:t>
        </w:r>
      </w:hyperlink>
      <w:r w:rsidRPr="00042C92">
        <w:t> </w:t>
      </w:r>
    </w:p>
    <w:p w14:paraId="495AA08D" w14:textId="2F7DC3CE" w:rsidR="00042C92" w:rsidRPr="00042C92" w:rsidRDefault="00042C92" w:rsidP="00042C92">
      <w:pPr>
        <w:pStyle w:val="ListParagraph"/>
        <w:numPr>
          <w:ilvl w:val="0"/>
          <w:numId w:val="3"/>
        </w:numPr>
      </w:pPr>
      <w:r w:rsidRPr="00042C92">
        <w:t>(HHS, 2013), </w:t>
      </w:r>
      <w:hyperlink r:id="rId11" w:history="1">
        <w:r w:rsidRPr="00A36DDF">
          <w:rPr>
            <w:rStyle w:val="Hyperlink"/>
          </w:rPr>
          <w:t>https://www.hhs.gov/hipaa/for-professionals/privacy/laws-regulations/index.html</w:t>
        </w:r>
      </w:hyperlink>
      <w:r w:rsidRPr="00042C92">
        <w:t> </w:t>
      </w:r>
    </w:p>
    <w:p w14:paraId="1BE4A397" w14:textId="1F523311" w:rsidR="00042C92" w:rsidRPr="00042C92" w:rsidRDefault="00042C92" w:rsidP="00042C92">
      <w:pPr>
        <w:pStyle w:val="ListParagraph"/>
        <w:numPr>
          <w:ilvl w:val="0"/>
          <w:numId w:val="3"/>
        </w:numPr>
      </w:pPr>
      <w:r w:rsidRPr="00042C92">
        <w:t>(HHS, 2013), </w:t>
      </w:r>
      <w:hyperlink r:id="rId12" w:history="1">
        <w:r w:rsidRPr="00A36DDF">
          <w:rPr>
            <w:rStyle w:val="Hyperlink"/>
          </w:rPr>
          <w:t>https://www.hhs.gov/hipaa/for-professionals/security/laws-regulations/index.html</w:t>
        </w:r>
      </w:hyperlink>
      <w:r w:rsidRPr="00042C92">
        <w:t> </w:t>
      </w:r>
    </w:p>
    <w:p w14:paraId="07F3EE84" w14:textId="77F579E5" w:rsidR="00042C92" w:rsidRPr="00042C92" w:rsidRDefault="00042C92" w:rsidP="00042C92">
      <w:pPr>
        <w:pStyle w:val="ListParagraph"/>
        <w:numPr>
          <w:ilvl w:val="0"/>
          <w:numId w:val="3"/>
        </w:numPr>
      </w:pPr>
      <w:r w:rsidRPr="00042C92">
        <w:t>(HHS, 2013), </w:t>
      </w:r>
      <w:hyperlink r:id="rId13" w:history="1">
        <w:r w:rsidRPr="00A36DDF">
          <w:rPr>
            <w:rStyle w:val="Hyperlink"/>
          </w:rPr>
          <w:t>https://www.hhs.gov/hipaa/for-professionals/breach-notification/index.html</w:t>
        </w:r>
      </w:hyperlink>
      <w:r w:rsidRPr="00042C92">
        <w:t> </w:t>
      </w:r>
    </w:p>
    <w:p w14:paraId="30988CED" w14:textId="4F93E643" w:rsidR="00042C92" w:rsidRPr="00042C92" w:rsidRDefault="00042C92" w:rsidP="00042C92">
      <w:pPr>
        <w:pStyle w:val="ListParagraph"/>
        <w:numPr>
          <w:ilvl w:val="0"/>
          <w:numId w:val="3"/>
        </w:numPr>
      </w:pPr>
      <w:r w:rsidRPr="00042C92">
        <w:t>(ED, 2022), </w:t>
      </w:r>
      <w:hyperlink r:id="rId14" w:history="1">
        <w:r w:rsidRPr="00A36DDF">
          <w:rPr>
            <w:rStyle w:val="Hyperlink"/>
          </w:rPr>
          <w:t>https://studentprivacy.ed.gov/faq/what-ferpa</w:t>
        </w:r>
      </w:hyperlink>
      <w:r w:rsidRPr="00042C92">
        <w:t> </w:t>
      </w:r>
    </w:p>
    <w:p w14:paraId="6268183D" w14:textId="689FA543" w:rsidR="00042C92" w:rsidRPr="00042C92" w:rsidRDefault="00042C92" w:rsidP="00042C92">
      <w:pPr>
        <w:pStyle w:val="ListParagraph"/>
        <w:numPr>
          <w:ilvl w:val="0"/>
          <w:numId w:val="3"/>
        </w:numPr>
      </w:pPr>
      <w:r w:rsidRPr="00042C92">
        <w:t>(CDC, 2022), </w:t>
      </w:r>
      <w:hyperlink r:id="rId15" w:history="1">
        <w:r w:rsidRPr="00A36DDF">
          <w:rPr>
            <w:rStyle w:val="Hyperlink"/>
          </w:rPr>
          <w:t>https://www.cdc.gov/phlp/publications/topic/ferpa.html</w:t>
        </w:r>
      </w:hyperlink>
      <w:r w:rsidRPr="00042C92">
        <w:t> </w:t>
      </w:r>
    </w:p>
    <w:p w14:paraId="4060F3EC" w14:textId="0F3B14F5" w:rsidR="00042C92" w:rsidRPr="00042C92" w:rsidRDefault="00042C92" w:rsidP="00042C92">
      <w:pPr>
        <w:pStyle w:val="ListParagraph"/>
        <w:numPr>
          <w:ilvl w:val="0"/>
          <w:numId w:val="3"/>
        </w:numPr>
      </w:pPr>
      <w:r w:rsidRPr="00042C92">
        <w:t>(FDIC, 2022), </w:t>
      </w:r>
      <w:hyperlink r:id="rId16" w:history="1">
        <w:r w:rsidRPr="00A36DDF">
          <w:rPr>
            <w:rStyle w:val="Hyperlink"/>
          </w:rPr>
          <w:t>https://www.fdic.gov/resources/bankers/affordable-mortgage-lending-center/glba.html</w:t>
        </w:r>
      </w:hyperlink>
      <w:r w:rsidRPr="00042C92">
        <w:t> </w:t>
      </w:r>
    </w:p>
    <w:p w14:paraId="12678748" w14:textId="08786EB0" w:rsidR="00042C92" w:rsidRPr="00042C92" w:rsidRDefault="00042C92" w:rsidP="00042C92">
      <w:pPr>
        <w:pStyle w:val="ListParagraph"/>
        <w:numPr>
          <w:ilvl w:val="0"/>
          <w:numId w:val="3"/>
        </w:numPr>
      </w:pPr>
      <w:r w:rsidRPr="00042C92">
        <w:t>(Proton AG, 2022), </w:t>
      </w:r>
      <w:hyperlink r:id="rId17" w:history="1">
        <w:r w:rsidRPr="00A36DDF">
          <w:rPr>
            <w:rStyle w:val="Hyperlink"/>
          </w:rPr>
          <w:t>https://gdpr.eu/what-is-gdpr/</w:t>
        </w:r>
      </w:hyperlink>
      <w:r w:rsidRPr="00042C92">
        <w:t> </w:t>
      </w:r>
    </w:p>
    <w:p w14:paraId="0B7731C9" w14:textId="1162703C" w:rsidR="00042C92" w:rsidRPr="00042C92" w:rsidRDefault="00042C92" w:rsidP="00042C92">
      <w:pPr>
        <w:pStyle w:val="ListParagraph"/>
        <w:numPr>
          <w:ilvl w:val="0"/>
          <w:numId w:val="3"/>
        </w:numPr>
      </w:pPr>
      <w:r w:rsidRPr="00042C92">
        <w:t>(EU, 2022), </w:t>
      </w:r>
      <w:hyperlink r:id="rId18" w:history="1">
        <w:r w:rsidRPr="00A36DDF">
          <w:rPr>
            <w:rStyle w:val="Hyperlink"/>
          </w:rPr>
          <w:t>https://eur-lex.europa.eu/legal-content/EN/LSU/?uri=uriserv:OJ.L_.2016.119.01.0001.01.ENG</w:t>
        </w:r>
      </w:hyperlink>
      <w:r w:rsidRPr="00042C92">
        <w:t> </w:t>
      </w:r>
    </w:p>
    <w:p w14:paraId="76BD959A" w14:textId="4BD04E8E" w:rsidR="00042C92" w:rsidRPr="00042C92" w:rsidRDefault="00042C92" w:rsidP="00042C92">
      <w:pPr>
        <w:pStyle w:val="ListParagraph"/>
        <w:numPr>
          <w:ilvl w:val="0"/>
          <w:numId w:val="3"/>
        </w:numPr>
      </w:pPr>
      <w:r w:rsidRPr="00042C92">
        <w:t>(Wikipedia, 2022), </w:t>
      </w:r>
      <w:hyperlink r:id="rId19" w:history="1">
        <w:r w:rsidRPr="00A36DDF">
          <w:rPr>
            <w:rStyle w:val="Hyperlink"/>
          </w:rPr>
          <w:t>https://en.wikipedia.org/wiki/Key_disclosure_law</w:t>
        </w:r>
      </w:hyperlink>
      <w:r w:rsidRPr="00042C92">
        <w:t> </w:t>
      </w:r>
    </w:p>
    <w:p w14:paraId="02D5F610" w14:textId="4EC50007" w:rsidR="00042C92" w:rsidRPr="00042C92" w:rsidRDefault="00042C92" w:rsidP="00042C92">
      <w:pPr>
        <w:pStyle w:val="ListParagraph"/>
        <w:numPr>
          <w:ilvl w:val="0"/>
          <w:numId w:val="3"/>
        </w:numPr>
      </w:pPr>
      <w:r w:rsidRPr="00042C92">
        <w:t>(Open Rights,</w:t>
      </w:r>
      <w:r>
        <w:t xml:space="preserve"> </w:t>
      </w:r>
      <w:r w:rsidRPr="00042C92">
        <w:t>2021), </w:t>
      </w:r>
      <w:hyperlink r:id="rId20" w:history="1">
        <w:r w:rsidRPr="00A36DDF">
          <w:rPr>
            <w:rStyle w:val="Hyperlink"/>
          </w:rPr>
          <w:t>https://wiki.openrightsgroup.org/wiki/Regulation_of_Investigatory_Powers_Act_2000/Part_III</w:t>
        </w:r>
      </w:hyperlink>
      <w:r w:rsidRPr="00042C92">
        <w:t> </w:t>
      </w:r>
    </w:p>
    <w:p w14:paraId="127948DA" w14:textId="5AA9F8D8" w:rsidR="00D86B65" w:rsidRPr="00D86B65" w:rsidRDefault="00042C92" w:rsidP="00D86B65">
      <w:pPr>
        <w:pStyle w:val="ListParagraph"/>
        <w:numPr>
          <w:ilvl w:val="0"/>
          <w:numId w:val="3"/>
        </w:numPr>
      </w:pPr>
      <w:r w:rsidRPr="00042C92">
        <w:t xml:space="preserve">(SoC </w:t>
      </w:r>
      <w:proofErr w:type="spellStart"/>
      <w:r w:rsidRPr="00042C92">
        <w:t>DoJ</w:t>
      </w:r>
      <w:proofErr w:type="spellEnd"/>
      <w:r w:rsidRPr="00042C92">
        <w:t>, 2022), </w:t>
      </w:r>
      <w:hyperlink r:id="rId21" w:history="1">
        <w:r w:rsidRPr="00A36DDF">
          <w:rPr>
            <w:rStyle w:val="Hyperlink"/>
          </w:rPr>
          <w:t>https://oag.ca.gov/privacy/ccpa</w:t>
        </w:r>
      </w:hyperlink>
      <w:r w:rsidRPr="00042C92">
        <w:t> </w:t>
      </w:r>
    </w:p>
    <w:sectPr w:rsidR="00D86B65" w:rsidRPr="00D86B65">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A6537" w14:textId="77777777" w:rsidR="00EF5414" w:rsidRDefault="00EF5414">
      <w:pPr>
        <w:spacing w:after="0" w:line="240" w:lineRule="auto"/>
      </w:pPr>
      <w:r>
        <w:separator/>
      </w:r>
    </w:p>
  </w:endnote>
  <w:endnote w:type="continuationSeparator" w:id="0">
    <w:p w14:paraId="429223EC" w14:textId="77777777" w:rsidR="00EF5414" w:rsidRDefault="00EF5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BBEF" w14:textId="77777777" w:rsidR="00EA5B8B" w:rsidRDefault="00042C92">
    <w:pPr>
      <w:pStyle w:val="Footer"/>
    </w:pPr>
    <w:r>
      <w:rPr>
        <w:noProof/>
        <w:lang w:eastAsia="ja-JP"/>
      </w:rPr>
      <mc:AlternateContent>
        <mc:Choice Requires="wps">
          <w:drawing>
            <wp:anchor distT="0" distB="0" distL="114300" distR="114300" simplePos="0" relativeHeight="251667456" behindDoc="0" locked="0" layoutInCell="1" allowOverlap="1" wp14:anchorId="2B786FF9" wp14:editId="466C7F8B">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8A07F" w14:textId="77777777" w:rsidR="00EA5B8B" w:rsidRDefault="00EA5B8B">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B786FF9" id="_x0000_t202" coordsize="21600,21600" o:spt="202" path="m,l,21600r21600,l21600,xe">
              <v:stroke joinstyle="miter"/>
              <v:path gradientshapeok="t" o:connecttype="rect"/>
            </v:shapetype>
            <v:shape id="Text Box 5" o:spid="_x0000_s1026"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37E8A07F" w14:textId="77777777" w:rsidR="00EA5B8B" w:rsidRDefault="00EA5B8B">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4B65DA67" wp14:editId="1D787245">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A8243" w14:textId="77777777" w:rsidR="00EA5B8B" w:rsidRDefault="00042C92">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5DA67" id="Text Box 6" o:spid="_x0000_s1027"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" filled="f" stroked="f">
              <v:textbox style="layout-flow:vertical">
                <w:txbxContent>
                  <w:p w14:paraId="353A8243" w14:textId="77777777" w:rsidR="00EA5B8B" w:rsidRDefault="00042C92">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30C4742B" wp14:editId="7BA96AD0">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19463ED"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G/tOlUcAgAAJQQAAA4AAAAAAAAAAAAAAAAALgIAAGRycy9lMm9Eb2MueG1sUEsBAi0A&#10;FAAGAAgAAAAhACEu3TrdAAAABwEAAA8AAAAAAAAAAAAAAAAAdgQAAGRycy9kb3ducmV2LnhtbFBL&#10;BQYAAAAABAAEAPMAAACA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2D739B8F" wp14:editId="4723894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6110681B"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39572C56" wp14:editId="604C9F2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FF017ED"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5AFE2" w14:textId="77777777" w:rsidR="00EF5414" w:rsidRDefault="00EF5414">
      <w:pPr>
        <w:spacing w:after="0" w:line="240" w:lineRule="auto"/>
      </w:pPr>
      <w:r>
        <w:separator/>
      </w:r>
    </w:p>
  </w:footnote>
  <w:footnote w:type="continuationSeparator" w:id="0">
    <w:p w14:paraId="0FB1DEAD" w14:textId="77777777" w:rsidR="00EF5414" w:rsidRDefault="00EF5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C0E"/>
    <w:multiLevelType w:val="multilevel"/>
    <w:tmpl w:val="FC3E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A6E81"/>
    <w:multiLevelType w:val="hybridMultilevel"/>
    <w:tmpl w:val="E0B06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A2CCB"/>
    <w:multiLevelType w:val="multilevel"/>
    <w:tmpl w:val="601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4717">
    <w:abstractNumId w:val="0"/>
  </w:num>
  <w:num w:numId="2" w16cid:durableId="583758511">
    <w:abstractNumId w:val="2"/>
  </w:num>
  <w:num w:numId="3" w16cid:durableId="1152715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14"/>
    <w:rsid w:val="00042C92"/>
    <w:rsid w:val="00123415"/>
    <w:rsid w:val="00133AB5"/>
    <w:rsid w:val="009B23B7"/>
    <w:rsid w:val="00AC3988"/>
    <w:rsid w:val="00AF76E2"/>
    <w:rsid w:val="00C14117"/>
    <w:rsid w:val="00D2674F"/>
    <w:rsid w:val="00D84FFA"/>
    <w:rsid w:val="00D86B65"/>
    <w:rsid w:val="00EA5B8B"/>
    <w:rsid w:val="00EF541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03A51"/>
  <w15:docId w15:val="{BCE9E846-072B-48AD-8E7A-9CF62409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D86B65"/>
    <w:rPr>
      <w:color w:val="CC9900" w:themeColor="hyperlink"/>
      <w:u w:val="single"/>
    </w:rPr>
  </w:style>
  <w:style w:type="character" w:styleId="UnresolvedMention">
    <w:name w:val="Unresolved Mention"/>
    <w:basedOn w:val="DefaultParagraphFont"/>
    <w:uiPriority w:val="99"/>
    <w:semiHidden/>
    <w:unhideWhenUsed/>
    <w:rsid w:val="00D86B65"/>
    <w:rPr>
      <w:color w:val="605E5C"/>
      <w:shd w:val="clear" w:color="auto" w:fill="E1DFDD"/>
    </w:rPr>
  </w:style>
  <w:style w:type="paragraph" w:styleId="NormalWeb">
    <w:name w:val="Normal (Web)"/>
    <w:basedOn w:val="Normal"/>
    <w:uiPriority w:val="99"/>
    <w:semiHidden/>
    <w:unhideWhenUsed/>
    <w:rsid w:val="00042C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76399">
      <w:bodyDiv w:val="1"/>
      <w:marLeft w:val="0"/>
      <w:marRight w:val="0"/>
      <w:marTop w:val="0"/>
      <w:marBottom w:val="0"/>
      <w:divBdr>
        <w:top w:val="none" w:sz="0" w:space="0" w:color="auto"/>
        <w:left w:val="none" w:sz="0" w:space="0" w:color="auto"/>
        <w:bottom w:val="none" w:sz="0" w:space="0" w:color="auto"/>
        <w:right w:val="none" w:sz="0" w:space="0" w:color="auto"/>
      </w:divBdr>
    </w:div>
    <w:div w:id="1988784152">
      <w:bodyDiv w:val="1"/>
      <w:marLeft w:val="0"/>
      <w:marRight w:val="0"/>
      <w:marTop w:val="0"/>
      <w:marBottom w:val="0"/>
      <w:divBdr>
        <w:top w:val="none" w:sz="0" w:space="0" w:color="auto"/>
        <w:left w:val="none" w:sz="0" w:space="0" w:color="auto"/>
        <w:bottom w:val="none" w:sz="0" w:space="0" w:color="auto"/>
        <w:right w:val="none" w:sz="0" w:space="0" w:color="auto"/>
      </w:divBdr>
    </w:div>
    <w:div w:id="211204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web-security-testing-guide/latest/3-The_OWASP_Testing_Framework/1-Penetration_Testing_Methodologies" TargetMode="External"/><Relationship Id="rId13" Type="http://schemas.openxmlformats.org/officeDocument/2006/relationships/hyperlink" Target="https://www.hhs.gov/hipaa/for-professionals/breach-notification/index.html" TargetMode="External"/><Relationship Id="rId18" Type="http://schemas.openxmlformats.org/officeDocument/2006/relationships/hyperlink" Target="https://eur-lex.europa.eu/legal-content/EN/LSU/?uri=uriserv:OJ.L_.2016.119.01.0001.01.ENG" TargetMode="External"/><Relationship Id="rId3" Type="http://schemas.openxmlformats.org/officeDocument/2006/relationships/settings" Target="settings.xml"/><Relationship Id="rId21" Type="http://schemas.openxmlformats.org/officeDocument/2006/relationships/hyperlink" Target="https://oag.ca.gov/privacy/ccpa" TargetMode="External"/><Relationship Id="rId7" Type="http://schemas.openxmlformats.org/officeDocument/2006/relationships/hyperlink" Target="https://csrc.nist.gov/glossary/term/defense_in_depth" TargetMode="External"/><Relationship Id="rId12" Type="http://schemas.openxmlformats.org/officeDocument/2006/relationships/hyperlink" Target="https://www.hhs.gov/hipaa/for-professionals/security/laws-regulations/index.html" TargetMode="External"/><Relationship Id="rId17" Type="http://schemas.openxmlformats.org/officeDocument/2006/relationships/hyperlink" Target="https://gdpr.eu/what-is-gdp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dic.gov/resources/bankers/affordable-mortgage-lending-center/glba.html" TargetMode="External"/><Relationship Id="rId20" Type="http://schemas.openxmlformats.org/officeDocument/2006/relationships/hyperlink" Target="https://wiki.openrightsgroup.org/wiki/Regulation_of_Investigatory_Powers_Act_2000/Part_I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hs.gov/hipaa/for-professionals/privacy/laws-regulations/index.html"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cdc.gov/phlp/publications/topic/ferpa.html" TargetMode="External"/><Relationship Id="rId23" Type="http://schemas.openxmlformats.org/officeDocument/2006/relationships/fontTable" Target="fontTable.xml"/><Relationship Id="rId10" Type="http://schemas.openxmlformats.org/officeDocument/2006/relationships/hyperlink" Target="https://www.cdc.gov/phlp/publications/topic/hipaa.html" TargetMode="External"/><Relationship Id="rId19" Type="http://schemas.openxmlformats.org/officeDocument/2006/relationships/hyperlink" Target="https://en.wikipedia.org/wiki/Key_disclosure_law" TargetMode="External"/><Relationship Id="rId4" Type="http://schemas.openxmlformats.org/officeDocument/2006/relationships/webSettings" Target="webSettings.xml"/><Relationship Id="rId9" Type="http://schemas.openxmlformats.org/officeDocument/2006/relationships/hyperlink" Target="https://www.hhs.gov/hipaa/for-professionals/security/guidance/cybersecurity/index.html" TargetMode="External"/><Relationship Id="rId14" Type="http://schemas.openxmlformats.org/officeDocument/2006/relationships/hyperlink" Target="https://studentprivacy.ed.gov/faq/what-ferpa"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1A95C5ECCE455D94D96CF61D0C7271"/>
        <w:category>
          <w:name w:val="General"/>
          <w:gallery w:val="placeholder"/>
        </w:category>
        <w:types>
          <w:type w:val="bbPlcHdr"/>
        </w:types>
        <w:behaviors>
          <w:behavior w:val="content"/>
        </w:behaviors>
        <w:guid w:val="{7149EDE5-5F9F-406E-B56B-9DCC4ECD8B1D}"/>
      </w:docPartPr>
      <w:docPartBody>
        <w:p w:rsidR="004365C0" w:rsidRDefault="004365C0">
          <w:pPr>
            <w:pStyle w:val="E01A95C5ECCE455D94D96CF61D0C7271"/>
          </w:pPr>
          <w:r>
            <w:t>[Type the document title]</w:t>
          </w:r>
        </w:p>
      </w:docPartBody>
    </w:docPart>
    <w:docPart>
      <w:docPartPr>
        <w:name w:val="3E09CEB6A5B147EE9A090CF000923232"/>
        <w:category>
          <w:name w:val="General"/>
          <w:gallery w:val="placeholder"/>
        </w:category>
        <w:types>
          <w:type w:val="bbPlcHdr"/>
        </w:types>
        <w:behaviors>
          <w:behavior w:val="content"/>
        </w:behaviors>
        <w:guid w:val="{EBAB7950-45B6-436B-8828-F8601DB90D96}"/>
      </w:docPartPr>
      <w:docPartBody>
        <w:p w:rsidR="004365C0" w:rsidRDefault="004365C0">
          <w:pPr>
            <w:pStyle w:val="3E09CEB6A5B147EE9A090CF000923232"/>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C0"/>
    <w:rsid w:val="0043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kern w:val="0"/>
      <w:sz w:val="28"/>
      <w:szCs w:val="28"/>
      <w:lang w:eastAsia="ja-JP"/>
      <w14:ligatures w14:val="none"/>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kern w:val="0"/>
      <w:sz w:val="26"/>
      <w:szCs w:val="26"/>
      <w14:ligatures w14:val="none"/>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A95C5ECCE455D94D96CF61D0C7271">
    <w:name w:val="E01A95C5ECCE455D94D96CF61D0C7271"/>
  </w:style>
  <w:style w:type="paragraph" w:customStyle="1" w:styleId="3E09CEB6A5B147EE9A090CF000923232">
    <w:name w:val="3E09CEB6A5B147EE9A090CF000923232"/>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kern w:val="0"/>
      <w:sz w:val="28"/>
      <w:szCs w:val="28"/>
      <w:lang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Pr>
      <w:rFonts w:eastAsiaTheme="majorEastAsia" w:cstheme="majorBidi"/>
      <w:b/>
      <w:bCs/>
      <w:caps/>
      <w:color w:val="44546A" w:themeColor="text2"/>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Template>
  <TotalTime>100</TotalTime>
  <Pages>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pentest</dc:title>
  <dc:subject>pre-test write-up</dc:subject>
  <dc:creator>Membrino, Jacob</dc:creator>
  <cp:lastModifiedBy>Jacob Membrino</cp:lastModifiedBy>
  <cp:revision>2</cp:revision>
  <dcterms:created xsi:type="dcterms:W3CDTF">2023-11-02T13:43:00Z</dcterms:created>
  <dcterms:modified xsi:type="dcterms:W3CDTF">2023-11-14T14:55:00Z</dcterms:modified>
</cp:coreProperties>
</file>