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תרגיל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הגשה</w:t>
      </w:r>
      <w:r w:rsidDel="00000000" w:rsidR="00000000" w:rsidRPr="00000000">
        <w:rPr>
          <w:vertAlign w:val="baseline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bidi w:val="1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מגיש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יעקב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סובולב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Assembly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הכלי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ildasm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שהקובץ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EXE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NET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תארו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A17_Ex01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גרסתו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17:1:1:23571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assembly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התשובות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לסעיפים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MANIFAST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assemblies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וגרסה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ab/>
        <w:t xml:space="preserve">1.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mscorlib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. 2:0:0:0.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ab/>
        <w:t xml:space="preserve">2.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. 2:0:0:0.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81.0" w:type="dxa"/>
        <w:jc w:val="left"/>
        <w:tblInd w:w="-113.0" w:type="dxa"/>
        <w:tblLayout w:type="fixed"/>
        <w:tblLook w:val="0000"/>
      </w:tblPr>
      <w:tblGrid>
        <w:gridCol w:w="5851"/>
        <w:gridCol w:w="1890"/>
        <w:gridCol w:w="1640"/>
        <w:tblGridChange w:id="0">
          <w:tblGrid>
            <w:gridCol w:w="5851"/>
            <w:gridCol w:w="1890"/>
            <w:gridCol w:w="1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 (methods, fields)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(Struct/Class/Enum)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void .ctor()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class DemoPrograms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private enum eMenuOptions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static void RunDemoApps 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private static bool authenticateUser()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private static void displayMenu()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private static valuetype getUserChoice()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DemosExecuter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void .ctor()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static void RunAstrixClock()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static void RunBinaryInput()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private static bool checkIfAscendingSeries(string)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private static bool checkIfDescendingSeries(string)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private static void drawAstrixClock(int)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private static int generateLineOfAstrix(class,int,int)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private static string getInputFromUser(int &amp;)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DemoPrograms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Abort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BinaryInput =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AstrixClock=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eMenuOptions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void .ctor()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static void Main()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 username: 2017A_Ex01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password: C# rocks!!!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</wp:posOffset>
            </wp:positionH>
            <wp:positionV relativeFrom="paragraph">
              <wp:posOffset>5080</wp:posOffset>
            </wp:positionV>
            <wp:extent cx="6331585" cy="3305810"/>
            <wp:effectExtent b="0" l="0" r="0" t="0"/>
            <wp:wrapSquare wrapText="bothSides" distB="0" distT="0" distL="0" distR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05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</wp:posOffset>
            </wp:positionH>
            <wp:positionV relativeFrom="paragraph">
              <wp:posOffset>5080</wp:posOffset>
            </wp:positionV>
            <wp:extent cx="6331585" cy="330581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05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</wp:posOffset>
            </wp:positionH>
            <wp:positionV relativeFrom="paragraph">
              <wp:posOffset>5080</wp:posOffset>
            </wp:positionV>
            <wp:extent cx="6331585" cy="3305810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05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</wp:posOffset>
            </wp:positionH>
            <wp:positionV relativeFrom="paragraph">
              <wp:posOffset>5080</wp:posOffset>
            </wp:positionV>
            <wp:extent cx="6331585" cy="330581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05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</wp:posOffset>
            </wp:positionH>
            <wp:positionV relativeFrom="paragraph">
              <wp:posOffset>5080</wp:posOffset>
            </wp:positionV>
            <wp:extent cx="6331585" cy="3305810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05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</wp:posOffset>
            </wp:positionH>
            <wp:positionV relativeFrom="paragraph">
              <wp:posOffset>5080</wp:posOffset>
            </wp:positionV>
            <wp:extent cx="6331585" cy="3305810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05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</wp:posOffset>
            </wp:positionH>
            <wp:positionV relativeFrom="paragraph">
              <wp:posOffset>5080</wp:posOffset>
            </wp:positionV>
            <wp:extent cx="6331585" cy="330581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05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 Unicode" w:eastAsia="SimSun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ucida Sans Unicode" w:eastAsia="Microsoft YaHei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e-IL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Lucida Sans Unicode" w:eastAsia="SimSun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Lucida Sans Unicode" w:eastAsia="SimSun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 Unicode" w:eastAsia="SimSun" w:hAnsi="Liberation Serif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 Unicode" w:eastAsia="SimSun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after="160" w:before="0" w:line="1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Liberation Serif" w:cs="Lucida Sans Unicode" w:eastAsia="SimSun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 Unicode" w:eastAsia="SimSun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ucida Sans Unicode" w:eastAsia="SimSun" w:hAnsi="Liberation Serif"/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LUscnWymDhrAiq3sFlyPYrHp0g==">CgMxLjA4AHIhMWVxSGcyM2JsY0tmT3BPbFVpN042VXJDZ2c2a3ZmTTRX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2016-12-11T13:10:49Z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