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100"/>
        <w:jc w:val="center"/>
      </w:pPr>
      <w:r>
        <w:rPr>
          <w:b/>
          <w:bCs/>
          <w:color w:val="1F3864"/>
          <w:sz w:val="64"/>
          <w:szCs w:val="64"/>
        </w:rPr>
        <w:t xml:space="preserve">SPLUNK SOC LAB</w:t>
      </w:r>
    </w:p>
    <w:p>
      <w:pPr>
        <w:spacing w:after="300"/>
        <w:jc w:val="center"/>
      </w:pPr>
      <w:r>
        <w:rPr>
          <w:color w:val="2E75B6"/>
          <w:sz w:val="32"/>
          <w:szCs w:val="32"/>
        </w:rPr>
        <w:t xml:space="preserve">Nmap Threat Detection &amp; Risk Triage</w:t>
      </w:r>
    </w:p>
    <w:p>
      <w:pPr>
        <w:pBdr>
          <w:top w:val="single" w:color="2E75B6" w:sz="8" w:space="8"/>
          <w:bottom w:val="single" w:color="2E75B6" w:sz="8" w:space="8"/>
        </w:pBdr>
        <w:spacing w:after="60"/>
        <w:jc w:val="center"/>
      </w:pPr>
      <w:r>
        <w:rPr>
          <w:i/>
          <w:iCs/>
          <w:color w:val="595959"/>
          <w:sz w:val="22"/>
          <w:szCs w:val="22"/>
        </w:rPr>
        <w:t xml:space="preserve">Security Operations Center — Detection Engineering Project</w:t>
      </w:r>
    </w:p>
    <w:p>
      <w:pPr>
        <w:spacing w:before="800"/>
      </w:pPr>
    </w:p>
    <w:p>
      <w:pPr>
        <w:spacing w:after="60"/>
        <w:jc w:val="center"/>
      </w:pPr>
      <w:r>
        <w:rPr>
          <w:color w:val="808080"/>
          <w:sz w:val="20"/>
          <w:szCs w:val="20"/>
        </w:rPr>
        <w:t xml:space="preserve">Prepared by</w:t>
      </w:r>
    </w:p>
    <w:p>
      <w:pPr>
        <w:spacing w:after="240"/>
        <w:jc w:val="center"/>
      </w:pPr>
      <w:r>
        <w:rPr>
          <w:b/>
          <w:bCs/>
          <w:color w:val="1F3864"/>
          <w:sz w:val="30"/>
          <w:szCs w:val="30"/>
        </w:rPr>
        <w:t xml:space="preserve">Vijay S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SOC Analyst / Penetration Tester (Candidate)</w:t>
      </w:r>
    </w:p>
    <w:p>
      <w:pPr>
        <w:spacing w:after="40"/>
        <w:jc w:val="center"/>
      </w:pPr>
      <w:r>
        <w:rPr>
          <w:color w:val="2E75B6"/>
          <w:sz w:val="20"/>
          <w:szCs w:val="20"/>
        </w:rPr>
        <w:t xml:space="preserve">reachvijays20@gmail.com</w:t>
      </w:r>
    </w:p>
    <w:p>
      <w:pPr>
        <w:spacing w:after="40"/>
        <w:jc w:val="center"/>
      </w:pPr>
      <w:r>
        <w:rPr>
          <w:color w:val="2E75B6"/>
          <w:sz w:val="20"/>
          <w:szCs w:val="20"/>
        </w:rPr>
        <w:t xml:space="preserve">github.com/JacobVijay26  ·  linkedin.com/in/vijaycybersecurity</w:t>
      </w:r>
    </w:p>
    <w:p>
      <w:pPr>
        <w:spacing w:before="1400"/>
        <w:jc w:val="center"/>
      </w:pPr>
      <w:r>
        <w:rPr>
          <w:color w:val="808080"/>
          <w:sz w:val="18"/>
          <w:szCs w:val="18"/>
        </w:rPr>
        <w:t xml:space="preserve">Splunk Enterprise 10.4.0   ·   Kali Linux   ·   Metasploitable2</w:t>
      </w:r>
    </w:p>
    <w:p>
      <w:pPr>
        <w:jc w:val="center"/>
      </w:pPr>
      <w:r>
        <w:rPr>
          <w:color w:val="808080"/>
          <w:sz w:val="18"/>
          <w:szCs w:val="18"/>
        </w:rPr>
        <w:t xml:space="preserve">Isolated VMnet1 Host-Only Lab Environment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Bdr>
          <w:bottom w:val="single" w:color="2E75B6" w:sz="6" w:space="4"/>
        </w:pBdr>
        <w:spacing w:after="240"/>
      </w:pPr>
      <w:r>
        <w:rPr>
          <w:b/>
          <w:bCs/>
          <w:color w:val="1F3864"/>
          <w:sz w:val="30"/>
          <w:szCs w:val="30"/>
        </w:rPr>
        <w:t xml:space="preserve">Table of Contents</w:t>
      </w:r>
    </w:p>
    <w:p>
      <w:pPr>
        <w:tabs>
          <w:tab w:val="right" w:pos="9360"/>
        </w:tabs>
        <w:spacing w:after="140"/>
      </w:pPr>
      <w:hyperlink w:history="1" w:anchor="sec1">
        <w:r>
          <w:rPr>
            <w:rStyle w:val="Hyperlink"/>
            <w:b/>
            <w:bCs/>
            <w:color w:val="1F3864"/>
            <w:sz w:val="23"/>
            <w:szCs w:val="23"/>
          </w:rPr>
          <w:t xml:space="preserve">1. Executive Summary</w:t>
        </w:r>
      </w:hyperlink>
      <w:r>
        <w:rPr>
          <w:color w:val="595959"/>
          <w:sz w:val="23"/>
          <w:szCs w:val="23"/>
        </w:rPr>
        <w:t xml:space="preserve">	3</w:t>
      </w:r>
    </w:p>
    <w:p>
      <w:pPr>
        <w:tabs>
          <w:tab w:val="right" w:pos="9360"/>
        </w:tabs>
        <w:spacing w:after="140"/>
      </w:pPr>
      <w:hyperlink w:history="1" w:anchor="sec2">
        <w:r>
          <w:rPr>
            <w:rStyle w:val="Hyperlink"/>
            <w:b/>
            <w:bCs/>
            <w:color w:val="1F3864"/>
            <w:sz w:val="23"/>
            <w:szCs w:val="23"/>
          </w:rPr>
          <w:t xml:space="preserve">2. Lab Environment</w:t>
        </w:r>
      </w:hyperlink>
      <w:r>
        <w:rPr>
          <w:color w:val="595959"/>
          <w:sz w:val="23"/>
          <w:szCs w:val="23"/>
        </w:rPr>
        <w:t xml:space="preserve">	3</w:t>
      </w:r>
    </w:p>
    <w:p>
      <w:pPr>
        <w:tabs>
          <w:tab w:val="right" w:pos="9360"/>
        </w:tabs>
        <w:spacing w:after="140"/>
      </w:pPr>
      <w:hyperlink w:history="1" w:anchor="sec3">
        <w:r>
          <w:rPr>
            <w:rStyle w:val="Hyperlink"/>
            <w:b/>
            <w:bCs/>
            <w:color w:val="1F3864"/>
            <w:sz w:val="23"/>
            <w:szCs w:val="23"/>
          </w:rPr>
          <w:t xml:space="preserve">3. Methodology</w:t>
        </w:r>
      </w:hyperlink>
      <w:r>
        <w:rPr>
          <w:color w:val="595959"/>
          <w:sz w:val="23"/>
          <w:szCs w:val="23"/>
        </w:rPr>
        <w:t xml:space="preserve">	3</w:t>
      </w:r>
    </w:p>
    <w:p>
      <w:pPr>
        <w:tabs>
          <w:tab w:val="right" w:pos="9360"/>
        </w:tabs>
        <w:spacing w:after="100"/>
        <w:ind w:left="360"/>
      </w:pPr>
      <w:hyperlink w:history="1" w:anchor="sec3_1">
        <w:r>
          <w:rPr>
            <w:rStyle w:val="Hyperlink"/>
            <w:b w:val="false"/>
            <w:bCs w:val="false"/>
            <w:color w:val="2E75B6"/>
            <w:sz w:val="21"/>
            <w:szCs w:val="21"/>
          </w:rPr>
          <w:t xml:space="preserve">3.1 Data Ingestion</w:t>
        </w:r>
      </w:hyperlink>
      <w:r>
        <w:rPr>
          <w:color w:val="595959"/>
          <w:sz w:val="21"/>
          <w:szCs w:val="21"/>
        </w:rPr>
        <w:t xml:space="preserve">	3</w:t>
      </w:r>
    </w:p>
    <w:p>
      <w:pPr>
        <w:tabs>
          <w:tab w:val="right" w:pos="9360"/>
        </w:tabs>
        <w:spacing w:after="100"/>
        <w:ind w:left="360"/>
      </w:pPr>
      <w:hyperlink w:history="1" w:anchor="sec3_2">
        <w:r>
          <w:rPr>
            <w:rStyle w:val="Hyperlink"/>
            <w:b w:val="false"/>
            <w:bCs w:val="false"/>
            <w:color w:val="2E75B6"/>
            <w:sz w:val="21"/>
            <w:szCs w:val="21"/>
          </w:rPr>
          <w:t xml:space="preserve">3.2 Baseline SPL Searches</w:t>
        </w:r>
      </w:hyperlink>
      <w:r>
        <w:rPr>
          <w:color w:val="595959"/>
          <w:sz w:val="21"/>
          <w:szCs w:val="21"/>
        </w:rPr>
        <w:t xml:space="preserve">	4</w:t>
      </w:r>
    </w:p>
    <w:p>
      <w:pPr>
        <w:tabs>
          <w:tab w:val="right" w:pos="9360"/>
        </w:tabs>
        <w:spacing w:after="100"/>
        <w:ind w:left="360"/>
      </w:pPr>
      <w:hyperlink w:history="1" w:anchor="sec3_3">
        <w:r>
          <w:rPr>
            <w:rStyle w:val="Hyperlink"/>
            <w:b w:val="false"/>
            <w:bCs w:val="false"/>
            <w:color w:val="2E75B6"/>
            <w:sz w:val="21"/>
            <w:szCs w:val="21"/>
          </w:rPr>
          <w:t xml:space="preserve">3.3 Field Extraction</w:t>
        </w:r>
      </w:hyperlink>
      <w:r>
        <w:rPr>
          <w:color w:val="595959"/>
          <w:sz w:val="21"/>
          <w:szCs w:val="21"/>
        </w:rPr>
        <w:t xml:space="preserve">	4</w:t>
      </w:r>
    </w:p>
    <w:p>
      <w:pPr>
        <w:tabs>
          <w:tab w:val="right" w:pos="9360"/>
        </w:tabs>
        <w:spacing w:after="100"/>
        <w:ind w:left="360"/>
      </w:pPr>
      <w:hyperlink w:history="1" w:anchor="sec3_4">
        <w:r>
          <w:rPr>
            <w:rStyle w:val="Hyperlink"/>
            <w:b w:val="false"/>
            <w:bCs w:val="false"/>
            <w:color w:val="2E75B6"/>
            <w:sz w:val="21"/>
            <w:szCs w:val="21"/>
          </w:rPr>
          <w:t xml:space="preserve">3.4 Multivalue Expansion, Deduplication &amp; Risk Classification</w:t>
        </w:r>
      </w:hyperlink>
      <w:r>
        <w:rPr>
          <w:color w:val="595959"/>
          <w:sz w:val="21"/>
          <w:szCs w:val="21"/>
        </w:rPr>
        <w:t xml:space="preserve">	5</w:t>
      </w:r>
    </w:p>
    <w:p>
      <w:pPr>
        <w:tabs>
          <w:tab w:val="right" w:pos="9360"/>
        </w:tabs>
        <w:spacing w:after="140"/>
      </w:pPr>
      <w:hyperlink w:history="1" w:anchor="sec4">
        <w:r>
          <w:rPr>
            <w:rStyle w:val="Hyperlink"/>
            <w:b/>
            <w:bCs/>
            <w:color w:val="1F3864"/>
            <w:sz w:val="23"/>
            <w:szCs w:val="23"/>
          </w:rPr>
          <w:t xml:space="preserve">4. Risk Classification Model</w:t>
        </w:r>
      </w:hyperlink>
      <w:r>
        <w:rPr>
          <w:color w:val="595959"/>
          <w:sz w:val="23"/>
          <w:szCs w:val="23"/>
        </w:rPr>
        <w:t xml:space="preserve">	6</w:t>
      </w:r>
    </w:p>
    <w:p>
      <w:pPr>
        <w:tabs>
          <w:tab w:val="right" w:pos="9360"/>
        </w:tabs>
        <w:spacing w:after="140"/>
      </w:pPr>
      <w:hyperlink w:history="1" w:anchor="sec5">
        <w:r>
          <w:rPr>
            <w:rStyle w:val="Hyperlink"/>
            <w:b/>
            <w:bCs/>
            <w:color w:val="1F3864"/>
            <w:sz w:val="23"/>
            <w:szCs w:val="23"/>
          </w:rPr>
          <w:t xml:space="preserve">5. SOC Dashboard</w:t>
        </w:r>
      </w:hyperlink>
      <w:r>
        <w:rPr>
          <w:color w:val="595959"/>
          <w:sz w:val="23"/>
          <w:szCs w:val="23"/>
        </w:rPr>
        <w:t xml:space="preserve">	6</w:t>
      </w:r>
    </w:p>
    <w:p>
      <w:pPr>
        <w:tabs>
          <w:tab w:val="right" w:pos="9360"/>
        </w:tabs>
        <w:spacing w:after="140"/>
      </w:pPr>
      <w:hyperlink w:history="1" w:anchor="sec6">
        <w:r>
          <w:rPr>
            <w:rStyle w:val="Hyperlink"/>
            <w:b/>
            <w:bCs/>
            <w:color w:val="1F3864"/>
            <w:sz w:val="23"/>
            <w:szCs w:val="23"/>
          </w:rPr>
          <w:t xml:space="preserve">6. Detection Alert</w:t>
        </w:r>
      </w:hyperlink>
      <w:r>
        <w:rPr>
          <w:color w:val="595959"/>
          <w:sz w:val="23"/>
          <w:szCs w:val="23"/>
        </w:rPr>
        <w:t xml:space="preserve">	7</w:t>
      </w:r>
    </w:p>
    <w:p>
      <w:pPr>
        <w:tabs>
          <w:tab w:val="right" w:pos="9360"/>
        </w:tabs>
        <w:spacing w:after="140"/>
      </w:pPr>
      <w:hyperlink w:history="1" w:anchor="sec7">
        <w:r>
          <w:rPr>
            <w:rStyle w:val="Hyperlink"/>
            <w:b/>
            <w:bCs/>
            <w:color w:val="1F3864"/>
            <w:sz w:val="23"/>
            <w:szCs w:val="23"/>
          </w:rPr>
          <w:t xml:space="preserve">7. Lessons Learned</w:t>
        </w:r>
      </w:hyperlink>
      <w:r>
        <w:rPr>
          <w:color w:val="595959"/>
          <w:sz w:val="23"/>
          <w:szCs w:val="23"/>
        </w:rPr>
        <w:t xml:space="preserve">	8</w:t>
      </w:r>
    </w:p>
    <w:p>
      <w:pPr>
        <w:tabs>
          <w:tab w:val="right" w:pos="9360"/>
        </w:tabs>
        <w:spacing w:after="140"/>
      </w:pPr>
      <w:hyperlink w:history="1" w:anchor="sec8">
        <w:r>
          <w:rPr>
            <w:rStyle w:val="Hyperlink"/>
            <w:b/>
            <w:bCs/>
            <w:color w:val="1F3864"/>
            <w:sz w:val="23"/>
            <w:szCs w:val="23"/>
          </w:rPr>
          <w:t xml:space="preserve">8. Skills Demonstrated</w:t>
        </w:r>
      </w:hyperlink>
      <w:r>
        <w:rPr>
          <w:color w:val="595959"/>
          <w:sz w:val="23"/>
          <w:szCs w:val="23"/>
        </w:rPr>
        <w:t xml:space="preserve">	9</w:t>
      </w:r>
    </w:p>
    <w:p>
      <w:pPr>
        <w:tabs>
          <w:tab w:val="right" w:pos="9360"/>
        </w:tabs>
        <w:spacing w:after="140"/>
      </w:pPr>
      <w:hyperlink w:history="1" w:anchor="sec9">
        <w:r>
          <w:rPr>
            <w:rStyle w:val="Hyperlink"/>
            <w:b/>
            <w:bCs/>
            <w:color w:val="1F3864"/>
            <w:sz w:val="23"/>
            <w:szCs w:val="23"/>
          </w:rPr>
          <w:t xml:space="preserve">9. Next Steps</w:t>
        </w:r>
      </w:hyperlink>
      <w:r>
        <w:rPr>
          <w:color w:val="595959"/>
          <w:sz w:val="23"/>
          <w:szCs w:val="23"/>
        </w:rPr>
        <w:t xml:space="preserve">	9</w:t>
      </w:r>
    </w:p>
    <w:p>
      <w:r>
        <w:br w:type="page"/>
      </w:r>
    </w:p>
    <w:p>
      <w:pPr>
        <w:pStyle w:val="Heading1"/>
      </w:pPr>
      <w:bookmarkStart w:name="sec1" w:id="1"/>
      <w:r>
        <w:t xml:space="preserve">1. Executive Summary</w:t>
      </w:r>
      <w:bookmarkEnd w:id="1"/>
    </w:p>
    <w:p>
      <w:pPr>
        <w:spacing w:after="160" w:line="276"/>
      </w:pPr>
      <w:r>
        <w:rPr>
          <w:sz w:val="22"/>
          <w:szCs w:val="22"/>
        </w:rPr>
        <w:t xml:space="preserve">This project demonstrates an end-to-end Security Operations Center (SOC) workflow built in Splunk Enterprise. Output from a live penetration test against a Metasploitable2 target — specifically an Nmap scan revealing 23 open TCP ports — was ingested into Splunk and engineered into a functioning detection and triage capability.</w:t>
      </w:r>
    </w:p>
    <w:p>
      <w:pPr>
        <w:spacing w:after="160" w:line="276"/>
      </w:pPr>
      <w:r>
        <w:rPr>
          <w:sz w:val="22"/>
          <w:szCs w:val="22"/>
        </w:rPr>
        <w:t xml:space="preserve">Rather than simply storing scan data, the project parses raw events into structured fields, classifies each exposed service by risk severity, visualizes the results in a two-panel SOC dashboard, and configures a scheduled alert that fires when critical backdoor services are detected. The result is a compact but realistic demonstration of the analyst skill set: ingest, parse, classify, visualize, and alert.</w:t>
      </w:r>
    </w:p>
    <w:tbl>
      <w:tblPr>
        <w:tblW w:type="dxa" w:w="9360"/>
        <w:tblBorders>
          <w:top w:val="single" w:color="D5E8F0" w:sz="2"/>
          <w:left w:val="single" w:color="2E75B6" w:sz="24"/>
          <w:bottom w:val="single" w:color="D5E8F0" w:sz="2"/>
          <w:right w:val="single" w:color="D5E8F0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5E8F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  <w:sz w:val="20"/>
                <w:szCs w:val="20"/>
              </w:rPr>
              <w:t xml:space="preserve">OUTCOME  </w:t>
            </w:r>
            <w:r>
              <w:rPr>
                <w:sz w:val="20"/>
                <w:szCs w:val="20"/>
              </w:rPr>
              <w:t xml:space="preserve">A reusable Splunk pipeline that converts raw Nmap output into a severity-ranked SOC dashboard and an automated detection alert for instant-root backdoor services.</w:t>
            </w:r>
          </w:p>
        </w:tc>
      </w:tr>
    </w:tbl>
    <w:p>
      <w:pPr>
        <w:pStyle w:val="Heading1"/>
      </w:pPr>
      <w:bookmarkStart w:name="sec2" w:id="2"/>
      <w:r>
        <w:t xml:space="preserve">2. Lab Environment</w:t>
      </w:r>
      <w:bookmarkEnd w:id="2"/>
    </w:p>
    <w:p>
      <w:pPr>
        <w:spacing w:after="160" w:line="276"/>
      </w:pPr>
      <w:r>
        <w:rPr>
          <w:sz w:val="22"/>
          <w:szCs w:val="22"/>
        </w:rPr>
        <w:t xml:space="preserve">All work was performed inside an isolated, host-only virtual network to ensure no exploit traffic could reach external systems.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SIEM Platform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Splunk Enterprise 10.4.0 (Windows host)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Attacker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Kali Linux — scan origin, host label "kali-attacker"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Target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Metasploitable2 — intentionally vulnerable Linux host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Network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Isolated VMnet1 host-only (no internet egress)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Data Source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Nmap scan output (scan1.txt), sourcetype nmap_scan</w:t>
            </w:r>
          </w:p>
        </w:tc>
      </w:tr>
    </w:tbl>
    <w:p>
      <w:pPr>
        <w:pStyle w:val="Heading1"/>
      </w:pPr>
      <w:bookmarkStart w:name="sec3" w:id="3"/>
      <w:r>
        <w:t xml:space="preserve">3. Methodology</w:t>
      </w:r>
      <w:bookmarkEnd w:id="3"/>
    </w:p>
    <w:p>
      <w:pPr>
        <w:pStyle w:val="Heading2"/>
      </w:pPr>
      <w:bookmarkStart w:name="sec3_1" w:id="4"/>
      <w:r>
        <w:t xml:space="preserve">3.1 Data Ingestion</w:t>
      </w:r>
      <w:bookmarkEnd w:id="4"/>
    </w:p>
    <w:p>
      <w:pPr>
        <w:spacing w:after="160" w:line="276"/>
      </w:pPr>
      <w:r>
        <w:rPr>
          <w:sz w:val="22"/>
          <w:szCs w:val="22"/>
        </w:rPr>
        <w:t xml:space="preserve">The Nmap scan output was uploaded via Settings → Add Data → Upload, configured with a custom, reusable sourcetype and a meaningful host label representing the scan origin: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Sourcetype: nmap_scan (custom)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Host: kali-attacker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Index: default (main)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2600325"/>
                  <wp:effectExtent t="0" r="0" b="0" l="0"/>
                  <wp:docPr id="1" name="Figure 1" descr="Raw Nmap events as ingested into Splunk, showing host, source, and sourcetype fields." title="Raw Nmap events as ingested into Splunk, showing host, source, and sourcetype field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2600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i/>
          <w:iCs/>
          <w:color w:val="595959"/>
          <w:sz w:val="18"/>
          <w:szCs w:val="18"/>
        </w:rPr>
        <w:t xml:space="preserve">Figure 1. Raw Nmap events as ingested into Splunk, showing host, source, and sourcetype fields.</w:t>
      </w:r>
    </w:p>
    <w:p>
      <w:pPr>
        <w:pStyle w:val="Heading2"/>
      </w:pPr>
      <w:bookmarkStart w:name="sec3_2" w:id="5"/>
      <w:r>
        <w:t xml:space="preserve">3.2 Baseline SPL Searches</w:t>
      </w:r>
      <w:bookmarkEnd w:id="5"/>
    </w:p>
    <w:p>
      <w:pPr>
        <w:spacing w:after="160" w:line="276"/>
      </w:pPr>
      <w:r>
        <w:rPr>
          <w:sz w:val="22"/>
          <w:szCs w:val="22"/>
        </w:rPr>
        <w:t xml:space="preserve">Initial Search Processing Language (SPL) queries confirmed ingestion and demonstrated threat-hunting for known-malicious ports: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index=main host="kali-attacker"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index=main sourcetype=nmap_scan "open"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index=main sourcetype=nmap_scan ("1524" OR "445" OR "21")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index=main sourcetype=nmap_scan | stats count</w:t>
            </w:r>
          </w:p>
        </w:tc>
      </w:tr>
    </w:tbl>
    <w:p>
      <w:pPr>
        <w:pStyle w:val="Heading2"/>
      </w:pPr>
      <w:bookmarkStart w:name="sec3_3" w:id="6"/>
      <w:r>
        <w:t xml:space="preserve">3.3 Field Extraction</w:t>
      </w:r>
      <w:bookmarkEnd w:id="6"/>
    </w:p>
    <w:p>
      <w:pPr>
        <w:spacing w:after="160" w:line="276"/>
      </w:pPr>
      <w:r>
        <w:rPr>
          <w:sz w:val="22"/>
          <w:szCs w:val="22"/>
        </w:rPr>
        <w:t xml:space="preserve">Splunk's default extraction captures only the first regex match per event. Using max_match=0 extracts every port/service pair from the raw scan text: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index=main sourcetype=nmap_scan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rex max_match=0 field=_raw "(?&lt;port&gt;\d+)\/tcp\s+open\s+(?&lt;service&gt;\S+)"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table port, service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>This correctly extracted all 23 open ports (ftp, ssh, telnet, smtp, samba, mysql, postgresql, vnc, irc, ingreslock, and others).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2562225"/>
                  <wp:effectExtent t="0" r="0" b="0" l="0"/>
                  <wp:docPr id="1" name="Figure 2" descr="Field extraction result showing all open ports and services parsed from the raw Nmap event." title="Field extraction result showing all open ports and services parsed from the raw Nmap even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2562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i/>
          <w:iCs/>
          <w:color w:val="595959"/>
          <w:sz w:val="18"/>
          <w:szCs w:val="18"/>
        </w:rPr>
        <w:t xml:space="preserve">Figure 2. Field extraction result showing all open ports and services parsed from the raw Nmap event.</w:t>
      </w:r>
    </w:p>
    <w:p>
      <w:pPr>
        <w:pStyle w:val="Heading2"/>
      </w:pPr>
      <w:bookmarkStart w:name="sec3_4" w:id="7"/>
      <w:r>
        <w:t xml:space="preserve">3.4 Multivalue Expansion, Deduplication &amp; Risk Classification</w:t>
      </w:r>
      <w:bookmarkEnd w:id="7"/>
    </w:p>
    <w:p>
      <w:pPr>
        <w:spacing w:after="160" w:line="276"/>
      </w:pPr>
      <w:r>
        <w:rPr>
          <w:sz w:val="22"/>
          <w:szCs w:val="22"/>
        </w:rPr>
        <w:t xml:space="preserve">The extracted fields were multivalue (lists held within a single event), which prevented per-row logic. They were split into discrete rows, deduplicated to remove duplicate ingested events, then classified by risk severity: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index=main sourcetype=nmap_scan earliest=0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rex max_match=0 field=_raw "(?&lt;port&gt;\d+)\/tcp\s+open\s+(?&lt;service&gt;\S+)"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eval pairs=mvzip(port, service, "|")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mvexpand pairs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eval port=mvindex(split(pairs,"|"),0), service=mvindex(split(pairs,"|"),1)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dedup port, service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eval risk=case(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service=="ingreslock" OR service=="shell" OR service=="login"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OR service=="exec", "Critical",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service=="telnet" OR service=="vnc" OR service=="rmiregistry"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OR service=="irc", "High",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service=="ftp" OR service=="mysql" OR service=="postgresql"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OR service=="nfs", "Medium",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1==1, "Low")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eval risk_rank=case(risk=="Critical",4, risk=="High",3,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risk=="Medium",2, risk=="Low",1)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sort - risk_rank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table port, service, risk</w:t>
            </w:r>
          </w:p>
        </w:tc>
      </w:tr>
    </w:tbl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2619375"/>
                  <wp:effectExtent t="0" r="0" b="0" l="0"/>
                  <wp:docPr id="1" name="Figure 3" descr="Risk-classified port inventory, sorted Critical → High → Medium." title="Risk-classified port inventory, sorted Critical → High → Medium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261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i/>
          <w:iCs/>
          <w:color w:val="595959"/>
          <w:sz w:val="18"/>
          <w:szCs w:val="18"/>
        </w:rPr>
        <w:t xml:space="preserve">Figure 3. Risk-classified port inventory, sorted Critical → High → Medium.</w:t>
      </w:r>
    </w:p>
    <w:p>
      <w:pPr>
        <w:pStyle w:val="Heading1"/>
      </w:pPr>
      <w:bookmarkStart w:name="sec4" w:id="8"/>
      <w:r>
        <w:t xml:space="preserve">4. Risk Classification Model</w:t>
      </w:r>
      <w:bookmarkEnd w:id="8"/>
    </w:p>
    <w:p>
      <w:pPr>
        <w:spacing w:after="160" w:line="276"/>
      </w:pPr>
      <w:r>
        <w:rPr>
          <w:sz w:val="22"/>
          <w:szCs w:val="22"/>
        </w:rPr>
        <w:t xml:space="preserve">Each exposed service was assigned a severity tier based on real-world exploitability, informed directly by the penetration test against the same target.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44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Services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ingreslock, shell, login, exec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Instant-root backdoors and unauthenticated remote command execution; exploited directly during the pentest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ED7D31"/>
                <w:sz w:val="20"/>
                <w:szCs w:val="20"/>
              </w:rPr>
              <w:t xml:space="preserve">High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telnet, vnc, rmiregistry, irc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Legacy / weak protocols, cleartext credentials, known remote code execution vectors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BF8F00"/>
                <w:sz w:val="20"/>
                <w:szCs w:val="20"/>
              </w:rPr>
              <w:t xml:space="preserve">Medium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ftp, mysql, postgresql, nfs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Commonly misconfigured services exposing data or weak authentication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808080"/>
                <w:sz w:val="20"/>
                <w:szCs w:val="20"/>
              </w:rPr>
              <w:t xml:space="preserve">Low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all remaining services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Standard services requiring deeper contextual review</w:t>
            </w:r>
          </w:p>
        </w:tc>
      </w:tr>
    </w:tbl>
    <w:p>
      <w:pPr>
        <w:pStyle w:val="Heading1"/>
      </w:pPr>
      <w:bookmarkStart w:name="sec5" w:id="9"/>
      <w:r>
        <w:t xml:space="preserve">5. SOC Dashboard</w:t>
      </w:r>
      <w:bookmarkEnd w:id="9"/>
    </w:p>
    <w:p>
      <w:pPr>
        <w:spacing w:after="160" w:line="276"/>
      </w:pPr>
      <w:r>
        <w:rPr>
          <w:sz w:val="22"/>
          <w:szCs w:val="22"/>
        </w:rPr>
        <w:t xml:space="preserve">A Classic Dashboard titled "Metasploitable2 SOC Dashboard" was built with two statistics-table panels that together form a triage view: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Open Ports — Metasploitable2 Scan: complete raw port/service inventory.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Port Risk Classification: severity-tagged view, sorted Critical → High → Medium → Low for analyst triage.</w:t>
      </w:r>
    </w:p>
    <w:tbl>
      <w:tblPr>
        <w:tblW w:type="dxa" w:w="9360"/>
        <w:tblBorders>
          <w:top w:val="single" w:color="D5E8F0" w:sz="2"/>
          <w:left w:val="single" w:color="2E75B6" w:sz="24"/>
          <w:bottom w:val="single" w:color="D5E8F0" w:sz="2"/>
          <w:right w:val="single" w:color="D5E8F0" w:sz="2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5E8F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  <w:sz w:val="20"/>
                <w:szCs w:val="20"/>
              </w:rPr>
              <w:t xml:space="preserve">DESIGN NOTE  </w:t>
            </w:r>
            <w:r>
              <w:rPr>
                <w:sz w:val="20"/>
                <w:szCs w:val="20"/>
              </w:rPr>
              <w:t xml:space="preserve">The two-panel layout mirrors a real SOC triage screen — a full asset inventory beside a prioritized severity view — so an analyst can move from "what is exposed" to "what must be addressed first" at a glance.</w:t>
            </w:r>
          </w:p>
        </w:tc>
      </w:tr>
    </w:tbl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2686050"/>
                  <wp:effectExtent t="0" r="0" b="0" l="0"/>
                  <wp:docPr id="1" name="Figure 4" descr="Metasploitable2 SOC Dashboard — Open Ports panel." title="Metasploitable2 SOC Dashboard — Open Ports panel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268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i/>
          <w:iCs/>
          <w:color w:val="595959"/>
          <w:sz w:val="18"/>
          <w:szCs w:val="18"/>
        </w:rPr>
        <w:t xml:space="preserve">Figure 4. Metasploitable2 SOC Dashboard — Open Ports panel.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1962150"/>
                  <wp:effectExtent t="0" r="0" b="0" l="0"/>
                  <wp:docPr id="1" name="Figure 5" descr="Metasploitable2 SOC Dashboard — Port Risk Classification panel." title="Metasploitable2 SOC Dashboard — Port Risk Classification panel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i/>
          <w:iCs/>
          <w:color w:val="595959"/>
          <w:sz w:val="18"/>
          <w:szCs w:val="18"/>
        </w:rPr>
        <w:t xml:space="preserve">Figure 5. Metasploitable2 SOC Dashboard — Port Risk Classification panel.</w:t>
      </w:r>
    </w:p>
    <w:p>
      <w:pPr>
        <w:pStyle w:val="Heading1"/>
      </w:pPr>
      <w:bookmarkStart w:name="sec6" w:id="10"/>
      <w:r>
        <w:t xml:space="preserve">6. Detection Alert</w:t>
      </w:r>
      <w:bookmarkEnd w:id="10"/>
    </w:p>
    <w:p>
      <w:pPr>
        <w:spacing w:after="160" w:line="276"/>
      </w:pPr>
      <w:r>
        <w:rPr>
          <w:sz w:val="22"/>
          <w:szCs w:val="22"/>
        </w:rPr>
        <w:t xml:space="preserve">A scheduled alert named "Critical Backdoor Service Detected" was configured to monitor for instant-root backdoor services. The underlying search isolates only Critical-tier findings: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index=main sourcetype=nmap_scan earliest=0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rex max_match=0 field=_raw "(?&lt;port&gt;\d+)\/tcp\s+open\s+(?&lt;service&gt;\S+)"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eval pairs=mvzip(port, service, "|")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mvexpand pairs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eval port=mvindex(split(pairs,"|"),0), service=mvindex(split(pairs,"|"),1)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dedup port, service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where service IN ("ingreslock","shell","login","exec")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Schedule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Hourly (0 minutes past the hour)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Trigger Condition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Number of results is greater than 0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Trigger Action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Add to Triggered Alerts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Permissions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Private (owner: jacob)</w:t>
            </w:r>
          </w:p>
        </w:tc>
      </w:tr>
    </w:tbl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1219200"/>
                  <wp:effectExtent t="0" r="0" b="0" l="0"/>
                  <wp:docPr id="1" name="Figure 6" descr="Saved alert configuration — Critical Backdoor Service Detected." title="Saved alert configuration — Critical Backdoor Service Detecte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i/>
          <w:iCs/>
          <w:color w:val="595959"/>
          <w:sz w:val="18"/>
          <w:szCs w:val="18"/>
        </w:rPr>
        <w:t xml:space="preserve">Figure 6. Saved alert configuration — Critical Backdoor Service Detected.</w:t>
      </w:r>
    </w:p>
    <w:p>
      <w:pPr>
        <w:pStyle w:val="Heading1"/>
      </w:pPr>
      <w:bookmarkStart w:name="sec7" w:id="11"/>
      <w:r>
        <w:t xml:space="preserve">7. Lessons Learned</w:t>
      </w:r>
      <w:bookmarkEnd w:id="11"/>
    </w:p>
    <w:p>
      <w:pPr>
        <w:spacing w:after="160" w:line="276"/>
      </w:pPr>
      <w:r>
        <w:rPr>
          <w:sz w:val="22"/>
          <w:szCs w:val="22"/>
        </w:rPr>
        <w:t xml:space="preserve">Several Splunk-specific behaviors were encountered and resolved during the build. These reflect real operational knowledge a SOC analyst is expected to hold.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Splunk is append-only. </w:t>
      </w:r>
      <w:r>
        <w:rPr>
          <w:sz w:val="22"/>
          <w:szCs w:val="22"/>
        </w:rPr>
        <w:t xml:space="preserve">Re-uploading a file duplicates rather than overwrites data; duplicates require | delete or dedup.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delete is privilege-gated. </w:t>
      </w:r>
      <w:r>
        <w:rPr>
          <w:sz w:val="22"/>
          <w:szCs w:val="22"/>
        </w:rPr>
        <w:t xml:space="preserve">Even the Administrator account lacks the delete_by_keyword capability by default — a deliberate least-privilege control that must be granted at the role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Inline UI field extractions capture only the first match. </w:t>
      </w:r>
      <w:r>
        <w:rPr>
          <w:sz w:val="22"/>
          <w:szCs w:val="22"/>
        </w:rPr>
        <w:t xml:space="preserve">Multivalue extraction needs max_match=0 in-search, or MV_ADD=true in transforms.conf.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The time-range picker does not persist for scheduled alerts. </w:t>
      </w:r>
      <w:r>
        <w:rPr>
          <w:sz w:val="22"/>
          <w:szCs w:val="22"/>
        </w:rPr>
        <w:t xml:space="preserve">Reliable scheduling requires hardcoding the range into the search text (earliest=0).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Manually running an alert search does not fire its actions. </w:t>
      </w:r>
      <w:r>
        <w:rPr>
          <w:sz w:val="22"/>
          <w:szCs w:val="22"/>
        </w:rPr>
        <w:t xml:space="preserve">Only the scheduler firing on the configured cron triggers the alert action.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1114425"/>
                  <wp:effectExtent t="0" r="0" b="0" l="0"/>
                  <wp:docPr id="1" name="Figure 7" descr="User-role assignment confirming the admin role before granting the delete_by_keyword capability." title="User-role assignment confirming the admin role before granting the delete_by_keyword capability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i/>
          <w:iCs/>
          <w:color w:val="595959"/>
          <w:sz w:val="18"/>
          <w:szCs w:val="18"/>
        </w:rPr>
        <w:t xml:space="preserve">Figure 7. User-role assignment confirming the admin role before granting the delete_by_keyword capability.</w:t>
      </w:r>
    </w:p>
    <w:p>
      <w:pPr>
        <w:pStyle w:val="Heading1"/>
      </w:pPr>
      <w:bookmarkStart w:name="sec8" w:id="12"/>
      <w:r>
        <w:t xml:space="preserve">8. Skills Demonstrated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Skill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Data ingestion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Custom sourcetype nmap_scan, host kali-attacker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SPL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Field filtering, Boolean search, stats, keyword highlighting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Field extraction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rex with max_match=0 for full multivalue capture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Multivalue handling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mvzip + mvexpand + mvindex(split())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dedup to collapse duplicate events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Risk classification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eval case() severity tiering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Result ranking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rank field + sort for severity ordering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Dashboards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Classic dashboard, two statistics-table panels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Detection alerting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Scheduled alert with trigger + action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RBAC / capabilities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Granted delete_by_keyword at role level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Time-range scoping</w:t>
            </w:r>
          </w:p>
        </w:tc>
        <w:tc>
          <w:tcPr>
            <w:tcW w:type="dxa" w:w="6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earliest=0 for reliable scheduled search</w:t>
            </w:r>
          </w:p>
        </w:tc>
      </w:tr>
    </w:tbl>
    <w:p>
      <w:pPr>
        <w:pStyle w:val="Heading1"/>
      </w:pPr>
      <w:bookmarkStart w:name="sec9" w:id="13"/>
      <w:r>
        <w:t xml:space="preserve">9. Next Steps</w:t>
      </w:r>
      <w:bookmarkEnd w:id="13"/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Ingest additional data sources (Metasploit exploit logs, DVWA access logs, Wireshark exports) for multi-source correlation.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Add visualization panels such as a severity-distribution bar or pie chart.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Build correlation searches that link reconnaissance, exploitation, and post-exploitation stages.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Progress toward Splunk Core Certified User / Power User certification.</w:t>
      </w:r>
    </w:p>
    <w:p>
      <w:pPr>
        <w:pBdr>
          <w:top w:val="single" w:color="2E75B6" w:sz="6" w:space="6"/>
        </w:pBdr>
        <w:spacing w:before="400"/>
      </w:pPr>
      <w:r>
        <w:rPr>
          <w:i/>
          <w:iCs/>
          <w:color w:val="808080"/>
          <w:sz w:val="20"/>
          <w:szCs w:val="20"/>
        </w:rPr>
        <w:t xml:space="preserve">End of Report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tabs>
        <w:tab w:val="right" w:pos="9360"/>
      </w:tabs>
    </w:pPr>
    <w:r>
      <w:rPr>
        <w:color w:val="808080"/>
        <w:sz w:val="16"/>
        <w:szCs w:val="16"/>
      </w:rPr>
      <w:t xml:space="preserve">Splunk SOC Lab Report</w:t>
    </w:r>
    <w:r>
      <w:rPr>
        <w:color w:val="808080"/>
        <w:sz w:val="16"/>
        <w:szCs w:val="16"/>
      </w:rPr>
      <w:t xml:space="preserve">	Vijay 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d7736f405840985f88bf0bceeb26d0562a125c.png"/><Relationship Id="rId10" Type="http://schemas.openxmlformats.org/officeDocument/2006/relationships/image" Target="media/06101d283d51e44d2b1079914548499de9526fb5.png"/><Relationship Id="rId11" Type="http://schemas.openxmlformats.org/officeDocument/2006/relationships/image" Target="media/2278d64fcb011e4e2ced2a2dad0b918eae40d068.png"/><Relationship Id="rId12" Type="http://schemas.openxmlformats.org/officeDocument/2006/relationships/image" Target="media/cff4c8bd30fddd99fda0a33d50965b833151a1fd.png"/><Relationship Id="rId13" Type="http://schemas.openxmlformats.org/officeDocument/2006/relationships/image" Target="media/abed0fe9e001b6cf0a0508a3fef272ae7b7662bf.png"/><Relationship Id="rId14" Type="http://schemas.openxmlformats.org/officeDocument/2006/relationships/image" Target="media/7f8c2ff5098357767c292dd05f4ea556bce2b0e2.png"/><Relationship Id="rId15" Type="http://schemas.openxmlformats.org/officeDocument/2006/relationships/image" Target="media/97240fe9823dd0646bd6709d30ac8164dfab24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Splunk SOC Lab Report</dc:title>
  <dc:creator>Vijay S</dc:creator>
  <cp:lastModifiedBy>Un-named</cp:lastModifiedBy>
  <cp:revision>1</cp:revision>
  <dcterms:created xsi:type="dcterms:W3CDTF">2026-06-24T06:25:08.700Z</dcterms:created>
  <dcterms:modified xsi:type="dcterms:W3CDTF">2026-06-24T06:25:08.701Z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